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B52C2" w14:textId="46D72848"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EF3DBE" w:rsidRPr="00EF3DBE">
        <w:rPr>
          <w:rFonts w:ascii="Arial" w:eastAsia="SimSun" w:hAnsi="Arial" w:cs="Times New Roman"/>
          <w:b/>
          <w:bCs/>
          <w:sz w:val="24"/>
          <w:szCs w:val="20"/>
          <w:lang w:eastAsia="ja-JP"/>
        </w:rPr>
        <w:t>R4-2313426</w:t>
      </w:r>
    </w:p>
    <w:p w14:paraId="50A2D0EA"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11358557"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D491666"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07ED1EF3" w14:textId="068EAD59"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31914">
        <w:rPr>
          <w:rFonts w:ascii="Arial" w:eastAsia="Calibri" w:hAnsi="Arial" w:cs="Arial"/>
          <w:b/>
          <w:bCs/>
          <w:sz w:val="24"/>
        </w:rPr>
        <w:t>Service continuity and mobility enhancements between TN and NTN</w:t>
      </w:r>
    </w:p>
    <w:p w14:paraId="2EC9063A" w14:textId="7CC8863E" w:rsidR="00841BCD" w:rsidRPr="00031914" w:rsidRDefault="00841BCD" w:rsidP="00841BCD">
      <w:pPr>
        <w:tabs>
          <w:tab w:val="left" w:pos="1985"/>
        </w:tabs>
        <w:spacing w:after="120" w:line="240" w:lineRule="auto"/>
        <w:rPr>
          <w:rFonts w:ascii="Arial" w:eastAsia="MS Mincho" w:hAnsi="Arial" w:cs="Arial"/>
          <w:b/>
          <w:bCs/>
          <w:sz w:val="24"/>
          <w:szCs w:val="20"/>
          <w:lang w:val="pt-BR"/>
        </w:rPr>
      </w:pPr>
      <w:r w:rsidRPr="00031914">
        <w:rPr>
          <w:rFonts w:ascii="Arial" w:eastAsia="MS Mincho" w:hAnsi="Arial" w:cs="Arial"/>
          <w:b/>
          <w:bCs/>
          <w:sz w:val="24"/>
          <w:szCs w:val="20"/>
          <w:lang w:val="pt-BR"/>
        </w:rPr>
        <w:t>Agenda item:</w:t>
      </w:r>
      <w:r w:rsidRPr="00031914">
        <w:rPr>
          <w:rFonts w:ascii="Arial" w:eastAsia="MS Mincho" w:hAnsi="Arial" w:cs="Arial"/>
          <w:b/>
          <w:bCs/>
          <w:sz w:val="24"/>
          <w:szCs w:val="20"/>
          <w:lang w:val="pt-BR"/>
        </w:rPr>
        <w:tab/>
      </w:r>
      <w:r w:rsidR="00031914">
        <w:rPr>
          <w:rFonts w:ascii="Arial" w:eastAsia="MS Mincho" w:hAnsi="Arial" w:cs="Arial"/>
          <w:b/>
          <w:bCs/>
          <w:sz w:val="24"/>
          <w:szCs w:val="20"/>
          <w:lang w:val="pt-BR"/>
        </w:rPr>
        <w:t>8.26.5.3</w:t>
      </w:r>
    </w:p>
    <w:p w14:paraId="7100B084"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4280A2CD" w14:textId="77777777" w:rsidR="00E323E9" w:rsidRPr="008C39F7" w:rsidRDefault="00E323E9" w:rsidP="00841BCD">
      <w:pPr>
        <w:tabs>
          <w:tab w:val="left" w:pos="1985"/>
        </w:tabs>
        <w:rPr>
          <w:rFonts w:ascii="Arial" w:eastAsia="Calibri" w:hAnsi="Arial" w:cs="Arial"/>
          <w:b/>
          <w:bCs/>
          <w:sz w:val="24"/>
        </w:rPr>
      </w:pPr>
    </w:p>
    <w:p w14:paraId="5BF26D36"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C1F9E61" w14:textId="58760445" w:rsidR="00E323E9" w:rsidRPr="008C39F7" w:rsidRDefault="00031914" w:rsidP="005C23A4">
      <w:r w:rsidRPr="00031914">
        <w:t xml:space="preserve">The NTN WI, as presented in [1], includes </w:t>
      </w:r>
      <w:r>
        <w:t>objectives for the NTN enhancements in Rel-18, including improvements on service continuity and mobility enhancements between TN and NTN.:</w:t>
      </w:r>
    </w:p>
    <w:p w14:paraId="340B9BAC" w14:textId="77777777" w:rsidR="0060543D" w:rsidRDefault="0060543D" w:rsidP="005C23A4"/>
    <w:tbl>
      <w:tblPr>
        <w:tblStyle w:val="TableGrid"/>
        <w:tblW w:w="0" w:type="auto"/>
        <w:jc w:val="center"/>
        <w:tblLook w:val="04A0" w:firstRow="1" w:lastRow="0" w:firstColumn="1" w:lastColumn="0" w:noHBand="0" w:noVBand="1"/>
      </w:tblPr>
      <w:tblGrid>
        <w:gridCol w:w="9000"/>
      </w:tblGrid>
      <w:tr w:rsidR="00A520D9" w:rsidRPr="008C39F7" w14:paraId="6C55EE1D" w14:textId="77777777" w:rsidTr="000A62C5">
        <w:trPr>
          <w:jc w:val="center"/>
        </w:trPr>
        <w:tc>
          <w:tcPr>
            <w:tcW w:w="9000" w:type="dxa"/>
          </w:tcPr>
          <w:p w14:paraId="15093318" w14:textId="77777777" w:rsidR="00031914" w:rsidRDefault="00031914" w:rsidP="00031914">
            <w:pPr>
              <w:rPr>
                <w:bCs/>
              </w:rPr>
            </w:pPr>
            <w:r>
              <w:rPr>
                <w:bCs/>
              </w:rPr>
              <w:t>4.1.4</w:t>
            </w:r>
            <w:r>
              <w:rPr>
                <w:bCs/>
              </w:rPr>
              <w:tab/>
              <w:t>NTN-TN and NTN-NTN mobility and service continuity enhancements</w:t>
            </w:r>
          </w:p>
          <w:p w14:paraId="1CF9EE2C" w14:textId="77777777" w:rsidR="00031914" w:rsidRDefault="00031914" w:rsidP="00031914">
            <w:pPr>
              <w:rPr>
                <w:bCs/>
              </w:rPr>
            </w:pPr>
          </w:p>
          <w:p w14:paraId="3B32C847" w14:textId="77777777" w:rsidR="00031914" w:rsidRDefault="00031914" w:rsidP="00031914">
            <w:pPr>
              <w:rPr>
                <w:bCs/>
              </w:rPr>
            </w:pPr>
            <w:r>
              <w:rPr>
                <w:bCs/>
              </w:rPr>
              <w:t>This work considers existing methods from NR TN as well as outcome of Rel-17 NR NTN WI outcome as baseline for NTN-TN mobility.</w:t>
            </w:r>
          </w:p>
          <w:p w14:paraId="263A31C6" w14:textId="77777777" w:rsidR="00031914" w:rsidRDefault="00031914" w:rsidP="00031914">
            <w:pPr>
              <w:rPr>
                <w:bCs/>
              </w:rPr>
            </w:pPr>
          </w:p>
          <w:p w14:paraId="21943493" w14:textId="77777777" w:rsidR="00031914" w:rsidRPr="00031914" w:rsidRDefault="00031914" w:rsidP="00031914">
            <w:pPr>
              <w:numPr>
                <w:ilvl w:val="0"/>
                <w:numId w:val="27"/>
              </w:numPr>
              <w:spacing w:line="256" w:lineRule="auto"/>
              <w:rPr>
                <w:bCs/>
                <w:highlight w:val="cyan"/>
              </w:rPr>
            </w:pPr>
            <w:r w:rsidRPr="00031914">
              <w:rPr>
                <w:bCs/>
                <w:highlight w:val="cyan"/>
              </w:rPr>
              <w:t>Specify NTN-TN and NTN-NTN measurement/mobility and service continuity enhancements [RAN2,RAN3,RAN4]</w:t>
            </w:r>
          </w:p>
          <w:p w14:paraId="4DB1B55B" w14:textId="77777777" w:rsidR="00031914" w:rsidRPr="00031914" w:rsidRDefault="00031914" w:rsidP="00031914">
            <w:pPr>
              <w:numPr>
                <w:ilvl w:val="1"/>
                <w:numId w:val="27"/>
              </w:numPr>
              <w:spacing w:line="256" w:lineRule="auto"/>
              <w:rPr>
                <w:bCs/>
                <w:highlight w:val="cyan"/>
              </w:rPr>
            </w:pPr>
            <w:r w:rsidRPr="00031914">
              <w:rPr>
                <w:bCs/>
                <w:highlight w:val="cyan"/>
              </w:rPr>
              <w:t>For NTN-NTN mobility, specify cell reselection enhancements for earth moving cell, the timing based and location-based cell reselection for quasi-earth fixed cell in Rel-17 can be considered as the starting point. [RAN2, RAN3, RAN4]</w:t>
            </w:r>
          </w:p>
          <w:p w14:paraId="3587489D" w14:textId="77777777" w:rsidR="00031914" w:rsidRDefault="00031914" w:rsidP="00031914">
            <w:pPr>
              <w:numPr>
                <w:ilvl w:val="1"/>
                <w:numId w:val="27"/>
              </w:numPr>
              <w:spacing w:line="256" w:lineRule="auto"/>
              <w:rPr>
                <w:bCs/>
              </w:rPr>
            </w:pPr>
            <w:r>
              <w:rPr>
                <w:bCs/>
              </w:rPr>
              <w:t xml:space="preserve">Specify NTN-NTN handover enhancement for RRC_CONNECTED UEs in the quasi-earth-fixed cell and earth-moving cell to reduce the </w:t>
            </w:r>
            <w:proofErr w:type="spellStart"/>
            <w:r>
              <w:rPr>
                <w:bCs/>
              </w:rPr>
              <w:t>signalling</w:t>
            </w:r>
            <w:proofErr w:type="spellEnd"/>
            <w:r>
              <w:rPr>
                <w:bCs/>
              </w:rPr>
              <w:t xml:space="preserve"> overhead. [RAN2, RAN3]</w:t>
            </w:r>
          </w:p>
          <w:p w14:paraId="21F97FBC" w14:textId="77777777" w:rsidR="00031914" w:rsidRPr="00031914" w:rsidRDefault="00031914" w:rsidP="00031914">
            <w:pPr>
              <w:numPr>
                <w:ilvl w:val="1"/>
                <w:numId w:val="27"/>
              </w:numPr>
              <w:spacing w:line="256" w:lineRule="auto"/>
              <w:rPr>
                <w:bCs/>
                <w:highlight w:val="cyan"/>
              </w:rPr>
            </w:pPr>
            <w:r w:rsidRPr="00031914">
              <w:rPr>
                <w:bCs/>
                <w:highlight w:val="cyan"/>
              </w:rPr>
              <w:t>Specify cell reselection enhancements for RRC_IDLE/INACTIVE UEs to reduce UE power consumption (NTN-TN mobility is prioritized). [RAN2, RAN3, RAN4]</w:t>
            </w:r>
          </w:p>
          <w:p w14:paraId="7BA61AD2" w14:textId="77777777" w:rsidR="00031914" w:rsidRDefault="00031914" w:rsidP="00031914">
            <w:pPr>
              <w:numPr>
                <w:ilvl w:val="1"/>
                <w:numId w:val="27"/>
              </w:numPr>
              <w:spacing w:line="256" w:lineRule="auto"/>
              <w:rPr>
                <w:bCs/>
              </w:rPr>
            </w:pPr>
            <w:r>
              <w:rPr>
                <w:bCs/>
              </w:rPr>
              <w:t xml:space="preserve">Study and, if needed, specify enhancement to </w:t>
            </w:r>
            <w:proofErr w:type="spellStart"/>
            <w:r>
              <w:rPr>
                <w:bCs/>
              </w:rPr>
              <w:t>Xn</w:t>
            </w:r>
            <w:proofErr w:type="spellEnd"/>
            <w:r>
              <w:rPr>
                <w:bCs/>
              </w:rPr>
              <w:t xml:space="preserve">[/NG] </w:t>
            </w:r>
            <w:proofErr w:type="spellStart"/>
            <w:r>
              <w:rPr>
                <w:bCs/>
              </w:rPr>
              <w:t>signalling</w:t>
            </w:r>
            <w:proofErr w:type="spellEnd"/>
            <w:r>
              <w:rPr>
                <w:bCs/>
              </w:rPr>
              <w:t xml:space="preserve"> to support feeder link switch-over, CHO, </w:t>
            </w:r>
            <w:proofErr w:type="gramStart"/>
            <w:r>
              <w:rPr>
                <w:bCs/>
              </w:rPr>
              <w:t>e.g.</w:t>
            </w:r>
            <w:proofErr w:type="gramEnd"/>
            <w:r>
              <w:rPr>
                <w:bCs/>
              </w:rPr>
              <w:t xml:space="preserve"> exchange of necessary information between </w:t>
            </w:r>
            <w:proofErr w:type="spellStart"/>
            <w:r>
              <w:rPr>
                <w:bCs/>
              </w:rPr>
              <w:t>gNBs</w:t>
            </w:r>
            <w:proofErr w:type="spellEnd"/>
            <w:r>
              <w:rPr>
                <w:bCs/>
              </w:rPr>
              <w:t>. [RAN3]</w:t>
            </w:r>
          </w:p>
          <w:p w14:paraId="45C687D6" w14:textId="77777777" w:rsidR="00A520D9" w:rsidRPr="008C39F7" w:rsidRDefault="00A520D9" w:rsidP="000A62C5"/>
        </w:tc>
      </w:tr>
    </w:tbl>
    <w:p w14:paraId="379CB26A" w14:textId="77777777" w:rsidR="00A520D9" w:rsidRPr="008C39F7" w:rsidRDefault="00A520D9" w:rsidP="005C23A4"/>
    <w:p w14:paraId="11756B4C" w14:textId="70E29E0D" w:rsidR="0060543D" w:rsidRPr="008C39F7" w:rsidRDefault="00031914" w:rsidP="005C23A4">
      <w:r>
        <w:t>Besides, in previous meetings, RAN4 has</w:t>
      </w:r>
      <w:r w:rsidR="005B6F0E">
        <w:t xml:space="preserve"> initiated the discussion on the topic and some progress was made and captured in</w:t>
      </w:r>
      <w:r>
        <w:t xml:space="preserve"> </w:t>
      </w:r>
      <w:r>
        <w:fldChar w:fldCharType="begin"/>
      </w:r>
      <w:r>
        <w:instrText xml:space="preserve"> REF _Ref141279246 \r \h </w:instrText>
      </w:r>
      <w:r>
        <w:fldChar w:fldCharType="separate"/>
      </w:r>
      <w:r>
        <w:t>[2]</w:t>
      </w:r>
      <w:r>
        <w:fldChar w:fldCharType="end"/>
      </w:r>
      <w:r w:rsidR="005B6F0E">
        <w:t xml:space="preserve">. This contribution aims at some of the open issues discussed in previous RAN4 meeting and to specify requirements to cover some of the RAN1 and RAN2 agreements on this matter. </w:t>
      </w:r>
    </w:p>
    <w:p w14:paraId="60A1ED77" w14:textId="77777777" w:rsidR="003B659E" w:rsidRPr="008C39F7" w:rsidRDefault="003B659E" w:rsidP="00AE56B1">
      <w:pPr>
        <w:pStyle w:val="RAN4H1"/>
      </w:pPr>
      <w:bookmarkStart w:id="4" w:name="_Toc116995842"/>
      <w:r w:rsidRPr="008C39F7">
        <w:t>Discussion</w:t>
      </w:r>
      <w:bookmarkEnd w:id="4"/>
    </w:p>
    <w:p w14:paraId="5B14D0EA" w14:textId="2B859F4E" w:rsidR="00FD3B2A" w:rsidRDefault="00FD3B2A" w:rsidP="00FD3B2A">
      <w:pPr>
        <w:pStyle w:val="RAN4H2"/>
      </w:pPr>
      <w:r>
        <w:t>Idle Mode Mobility Enhancements</w:t>
      </w:r>
    </w:p>
    <w:p w14:paraId="065CDBD9" w14:textId="3BDCA822" w:rsidR="00FD3B2A" w:rsidRDefault="00421A2B" w:rsidP="00421A2B">
      <w:pPr>
        <w:pStyle w:val="RAN4H3"/>
      </w:pPr>
      <w:r>
        <w:t>Location based measurement initiation in Earth-Moving scenarios.</w:t>
      </w:r>
    </w:p>
    <w:p w14:paraId="447093E7" w14:textId="0D5A1A0A" w:rsidR="00421A2B" w:rsidRDefault="00421A2B" w:rsidP="00421A2B">
      <w:r>
        <w:t>In Rel-17, the location-based measurement initiation for cell reselection was introduced</w:t>
      </w:r>
      <w:r w:rsidR="00EC34B5">
        <w:t xml:space="preserve">, with the basic functionality described in </w:t>
      </w:r>
      <w:r>
        <w:t>TS 38.304</w:t>
      </w:r>
      <w:r w:rsidR="00EC34B5">
        <w:t>, clause 5.2.4.2. However, the concept was limited to earth-fixed cells, as a fixed reference location on Earth was assumed. For Rel-18, one of the enhancements introduced was to have the measurement initiation based on location also extended for Earth moving cells:</w:t>
      </w:r>
    </w:p>
    <w:tbl>
      <w:tblPr>
        <w:tblStyle w:val="TableGrid"/>
        <w:tblW w:w="0" w:type="auto"/>
        <w:tblLook w:val="04A0" w:firstRow="1" w:lastRow="0" w:firstColumn="1" w:lastColumn="0" w:noHBand="0" w:noVBand="1"/>
      </w:tblPr>
      <w:tblGrid>
        <w:gridCol w:w="9617"/>
      </w:tblGrid>
      <w:tr w:rsidR="00EC34B5" w14:paraId="7881013B" w14:textId="77777777" w:rsidTr="00EC34B5">
        <w:tc>
          <w:tcPr>
            <w:tcW w:w="9617" w:type="dxa"/>
          </w:tcPr>
          <w:p w14:paraId="71BC4C20" w14:textId="10FD0066" w:rsidR="00EC34B5" w:rsidRPr="00EC34B5" w:rsidRDefault="00EC34B5" w:rsidP="00421A2B">
            <w:pPr>
              <w:rPr>
                <w:b/>
                <w:bCs/>
                <w:u w:val="single"/>
              </w:rPr>
            </w:pPr>
            <w:r w:rsidRPr="00EC34B5">
              <w:rPr>
                <w:b/>
                <w:bCs/>
                <w:u w:val="single"/>
              </w:rPr>
              <w:t>Agreements on RAN2 #121bis</w:t>
            </w:r>
          </w:p>
          <w:p w14:paraId="4D5392AF" w14:textId="77777777" w:rsidR="00EC34B5" w:rsidRPr="00280C0B" w:rsidRDefault="00EC34B5" w:rsidP="00EC34B5">
            <w:pPr>
              <w:rPr>
                <w:lang w:val="en-GB"/>
              </w:rPr>
            </w:pPr>
            <w:r w:rsidRPr="00280C0B">
              <w:rPr>
                <w:lang w:val="en-GB"/>
              </w:rPr>
              <w:t>1.</w:t>
            </w:r>
            <w:r w:rsidRPr="00280C0B">
              <w:rPr>
                <w:lang w:val="en-GB"/>
              </w:rPr>
              <w:tab/>
              <w:t xml:space="preserve">RAN2 understands that for earth-moving cell reselection, the UE can derive the trajectory of serving cell with rough accuracy based on serving satellite ephemeris and </w:t>
            </w:r>
            <w:proofErr w:type="spellStart"/>
            <w:r w:rsidRPr="00280C0B">
              <w:rPr>
                <w:lang w:val="en-GB"/>
              </w:rPr>
              <w:t>epochTime</w:t>
            </w:r>
            <w:proofErr w:type="spellEnd"/>
            <w:r w:rsidRPr="00280C0B">
              <w:rPr>
                <w:lang w:val="en-GB"/>
              </w:rPr>
              <w:t xml:space="preserve">, with the assumption that the serving cell </w:t>
            </w:r>
            <w:r w:rsidRPr="00280C0B">
              <w:rPr>
                <w:lang w:val="en-GB"/>
              </w:rPr>
              <w:lastRenderedPageBreak/>
              <w:t xml:space="preserve">reference location broadcast by the network is the one at Epoch time (FFS whether a new </w:t>
            </w:r>
            <w:proofErr w:type="spellStart"/>
            <w:r w:rsidRPr="00280C0B">
              <w:rPr>
                <w:lang w:val="en-GB"/>
              </w:rPr>
              <w:t>epochTime</w:t>
            </w:r>
            <w:proofErr w:type="spellEnd"/>
            <w:r w:rsidRPr="00280C0B">
              <w:rPr>
                <w:lang w:val="en-GB"/>
              </w:rPr>
              <w:t xml:space="preserve"> IE is needed). RAN2 understanding is that both PVT and orbital parameters can be used for this. FFS if additional information is needed to allow more accurate measurements.</w:t>
            </w:r>
          </w:p>
          <w:p w14:paraId="1A2F3385" w14:textId="77777777" w:rsidR="00EC34B5" w:rsidRPr="00280C0B" w:rsidRDefault="00EC34B5" w:rsidP="00EC34B5">
            <w:pPr>
              <w:rPr>
                <w:lang w:val="en-GB"/>
              </w:rPr>
            </w:pPr>
            <w:r w:rsidRPr="00280C0B">
              <w:rPr>
                <w:lang w:val="en-GB"/>
              </w:rPr>
              <w:t>2.</w:t>
            </w:r>
            <w:r w:rsidRPr="00280C0B">
              <w:rPr>
                <w:lang w:val="en-GB"/>
              </w:rPr>
              <w:tab/>
              <w:t>For earth-moving cell, new IE is introduced to indicate the reference location of serving cell.</w:t>
            </w:r>
          </w:p>
          <w:p w14:paraId="1FD83708" w14:textId="77777777" w:rsidR="00EC34B5" w:rsidRPr="00280C0B" w:rsidRDefault="00EC34B5" w:rsidP="00EC34B5">
            <w:pPr>
              <w:rPr>
                <w:lang w:val="en-GB"/>
              </w:rPr>
            </w:pPr>
            <w:r w:rsidRPr="00280C0B">
              <w:rPr>
                <w:lang w:val="en-GB"/>
              </w:rPr>
              <w:t>3.</w:t>
            </w:r>
            <w:r w:rsidRPr="00280C0B">
              <w:rPr>
                <w:lang w:val="en-GB"/>
              </w:rPr>
              <w:tab/>
              <w:t xml:space="preserve">For cell (re)selection in earth-moving system, a distance threshold is introduced for location-based measurement initiation, which reuses </w:t>
            </w:r>
            <w:proofErr w:type="spellStart"/>
            <w:r w:rsidRPr="00280C0B">
              <w:rPr>
                <w:lang w:val="en-GB"/>
              </w:rPr>
              <w:t>distanceThresh</w:t>
            </w:r>
            <w:proofErr w:type="spellEnd"/>
            <w:r w:rsidRPr="00280C0B">
              <w:rPr>
                <w:lang w:val="en-GB"/>
              </w:rPr>
              <w:t xml:space="preserve"> in SIB19.</w:t>
            </w:r>
          </w:p>
          <w:p w14:paraId="44C3ECD9" w14:textId="77777777" w:rsidR="00EC34B5" w:rsidRPr="00280C0B" w:rsidRDefault="00EC34B5" w:rsidP="00EC34B5">
            <w:pPr>
              <w:rPr>
                <w:lang w:val="en-GB"/>
              </w:rPr>
            </w:pPr>
            <w:r w:rsidRPr="00280C0B">
              <w:rPr>
                <w:lang w:val="en-GB"/>
              </w:rPr>
              <w:t>4.</w:t>
            </w:r>
            <w:r w:rsidRPr="00280C0B">
              <w:rPr>
                <w:lang w:val="en-GB"/>
              </w:rPr>
              <w:tab/>
              <w:t>For cell (re)selection in earth-moving system, time-based measurement initiation is used to address feeder-link switch case.</w:t>
            </w:r>
          </w:p>
          <w:p w14:paraId="0EA95DE3" w14:textId="77777777" w:rsidR="00EC34B5" w:rsidRDefault="00EC34B5" w:rsidP="00421A2B">
            <w:pPr>
              <w:rPr>
                <w:lang w:val="en-GB"/>
              </w:rPr>
            </w:pPr>
            <w:r w:rsidRPr="00280C0B">
              <w:rPr>
                <w:lang w:val="en-GB"/>
              </w:rPr>
              <w:t>5.</w:t>
            </w:r>
            <w:r w:rsidRPr="00280C0B">
              <w:rPr>
                <w:lang w:val="en-GB"/>
              </w:rPr>
              <w:tab/>
              <w:t xml:space="preserve">Time-based cell reselection criteria </w:t>
            </w:r>
            <w:proofErr w:type="gramStart"/>
            <w:r w:rsidRPr="00280C0B">
              <w:rPr>
                <w:lang w:val="en-GB"/>
              </w:rPr>
              <w:t>is</w:t>
            </w:r>
            <w:proofErr w:type="gramEnd"/>
            <w:r w:rsidRPr="00280C0B">
              <w:rPr>
                <w:lang w:val="en-GB"/>
              </w:rPr>
              <w:t xml:space="preserve"> not pursued in R18.</w:t>
            </w:r>
          </w:p>
          <w:p w14:paraId="5D888618" w14:textId="77777777" w:rsidR="00EC34B5" w:rsidRDefault="00EC34B5" w:rsidP="00421A2B">
            <w:pPr>
              <w:rPr>
                <w:lang w:val="en-GB"/>
              </w:rPr>
            </w:pPr>
          </w:p>
          <w:p w14:paraId="383230A5" w14:textId="6CA05CE7" w:rsidR="00EC34B5" w:rsidRPr="00EC34B5" w:rsidRDefault="00EC34B5" w:rsidP="00421A2B">
            <w:pPr>
              <w:rPr>
                <w:lang w:val="en-GB"/>
              </w:rPr>
            </w:pPr>
            <w:r>
              <w:t>Agreements on RAN2 #122</w:t>
            </w:r>
          </w:p>
        </w:tc>
      </w:tr>
    </w:tbl>
    <w:p w14:paraId="754B2BD8" w14:textId="77777777" w:rsidR="00EC34B5" w:rsidRDefault="00EC34B5" w:rsidP="00421A2B"/>
    <w:p w14:paraId="1C020C0E" w14:textId="2A4405AD" w:rsidR="004F3940" w:rsidRDefault="004F3940" w:rsidP="00421A2B">
      <w:r>
        <w:t xml:space="preserve">At the same time, RAN2 has agreed that the location-based mechanism is limited to be used for the measurement initiation and not for the definition of cell reselection trigger/priorities assignment, </w:t>
      </w:r>
      <w:proofErr w:type="spellStart"/>
      <w:r>
        <w:t>etc</w:t>
      </w:r>
      <w:proofErr w:type="spellEnd"/>
      <w:r>
        <w:t>:</w:t>
      </w:r>
    </w:p>
    <w:tbl>
      <w:tblPr>
        <w:tblStyle w:val="TableGrid"/>
        <w:tblW w:w="0" w:type="auto"/>
        <w:tblLook w:val="04A0" w:firstRow="1" w:lastRow="0" w:firstColumn="1" w:lastColumn="0" w:noHBand="0" w:noVBand="1"/>
      </w:tblPr>
      <w:tblGrid>
        <w:gridCol w:w="9617"/>
      </w:tblGrid>
      <w:tr w:rsidR="004F3940" w14:paraId="0D8A91BA" w14:textId="77777777" w:rsidTr="004F3940">
        <w:tc>
          <w:tcPr>
            <w:tcW w:w="9617" w:type="dxa"/>
          </w:tcPr>
          <w:p w14:paraId="08CF2351" w14:textId="180541FF" w:rsidR="004F3940" w:rsidRDefault="004F3940" w:rsidP="00421A2B">
            <w:r w:rsidRPr="00280C0B">
              <w:rPr>
                <w:lang w:val="en-GB"/>
              </w:rPr>
              <w:t>1.</w:t>
            </w:r>
            <w:r w:rsidRPr="00280C0B">
              <w:rPr>
                <w:lang w:val="en-GB"/>
              </w:rPr>
              <w:tab/>
              <w:t>Location-based cell reselection criteria are not pursued in R18.</w:t>
            </w:r>
          </w:p>
        </w:tc>
      </w:tr>
    </w:tbl>
    <w:p w14:paraId="5B5E10BF" w14:textId="77777777" w:rsidR="004F3940" w:rsidRDefault="004F3940" w:rsidP="00421A2B"/>
    <w:p w14:paraId="1CAD986B" w14:textId="5A76E759" w:rsidR="004F3940" w:rsidRDefault="004F3940" w:rsidP="00421A2B">
      <w:r>
        <w:t xml:space="preserve">The most important feature on the </w:t>
      </w:r>
      <w:proofErr w:type="gramStart"/>
      <w:r>
        <w:t>location based</w:t>
      </w:r>
      <w:proofErr w:type="gramEnd"/>
      <w:r>
        <w:t xml:space="preserve"> measurement initiation for Earth-Moving cells that differentiate it from the mechanism used for  Earth fixed is presented in the first agreement on the box above from RAN2 #121bis: “the UE can derive the trajectory of serving cell with rough accuracy based on serving satellite ephemeris and epoch time”</w:t>
      </w:r>
    </w:p>
    <w:p w14:paraId="018BA26B" w14:textId="42253D45" w:rsidR="004F3940" w:rsidRDefault="004F3940" w:rsidP="004F3940">
      <w:pPr>
        <w:pStyle w:val="RAN4observation0"/>
      </w:pPr>
      <w:bookmarkStart w:id="5" w:name="_Toc142669699"/>
      <w:r>
        <w:t>It is expected that the reference location on Earth Moving cells is moving and that the UE shall derive the trajectory.</w:t>
      </w:r>
      <w:bookmarkEnd w:id="5"/>
    </w:p>
    <w:p w14:paraId="5682EE1D" w14:textId="3563D0F3" w:rsidR="004F3940" w:rsidRDefault="004F3940" w:rsidP="004F3940">
      <w:pPr>
        <w:pStyle w:val="RAN4proposal"/>
      </w:pPr>
      <w:bookmarkStart w:id="6" w:name="_Toc142669700"/>
      <w:r>
        <w:t xml:space="preserve">Define the location-based measurement initiation considering a </w:t>
      </w:r>
      <w:r w:rsidRPr="00C36D89">
        <w:rPr>
          <w:u w:val="single"/>
        </w:rPr>
        <w:t>moving</w:t>
      </w:r>
      <w:r>
        <w:t xml:space="preserve"> reference location where the UE shall derive the trajectory based on satellite ephemeris and epoch Time. FFS on the mechanisms to be used for this derivation.</w:t>
      </w:r>
      <w:bookmarkEnd w:id="6"/>
      <w:r>
        <w:t xml:space="preserve"> </w:t>
      </w:r>
    </w:p>
    <w:p w14:paraId="166806CF" w14:textId="77777777" w:rsidR="004F3940" w:rsidRDefault="004F3940" w:rsidP="004F3940"/>
    <w:p w14:paraId="2736B345" w14:textId="77777777" w:rsidR="004F3940" w:rsidRDefault="004F3940" w:rsidP="00421A2B"/>
    <w:p w14:paraId="59C4875F" w14:textId="4FE78055" w:rsidR="00421A2B" w:rsidRPr="00FD3B2A" w:rsidRDefault="00C36D89" w:rsidP="00421A2B">
      <w:pPr>
        <w:pStyle w:val="RAN4H3"/>
      </w:pPr>
      <w:r>
        <w:t>NTN to TN Cell Reselection</w:t>
      </w:r>
    </w:p>
    <w:p w14:paraId="36A88721" w14:textId="56D63DD5" w:rsidR="00C36D89" w:rsidRDefault="00C36D89" w:rsidP="00300956">
      <w:r>
        <w:t>In  the previous RAN4 meeting,  the following agreement was reached:</w:t>
      </w:r>
    </w:p>
    <w:tbl>
      <w:tblPr>
        <w:tblStyle w:val="TableGrid"/>
        <w:tblW w:w="0" w:type="auto"/>
        <w:tblLook w:val="04A0" w:firstRow="1" w:lastRow="0" w:firstColumn="1" w:lastColumn="0" w:noHBand="0" w:noVBand="1"/>
      </w:tblPr>
      <w:tblGrid>
        <w:gridCol w:w="9617"/>
      </w:tblGrid>
      <w:tr w:rsidR="00C36D89" w14:paraId="021F27C1" w14:textId="77777777" w:rsidTr="00C36D89">
        <w:tc>
          <w:tcPr>
            <w:tcW w:w="9617" w:type="dxa"/>
          </w:tcPr>
          <w:p w14:paraId="6FC69824" w14:textId="77777777" w:rsidR="00C36D89" w:rsidRDefault="00C36D89" w:rsidP="00C36D89">
            <w:pPr>
              <w:spacing w:after="120" w:line="252" w:lineRule="auto"/>
              <w:ind w:firstLine="284"/>
              <w:rPr>
                <w:b/>
                <w:bCs/>
                <w:u w:val="single"/>
                <w:lang w:eastAsia="ja-JP"/>
              </w:rPr>
            </w:pPr>
            <w:r>
              <w:rPr>
                <w:b/>
                <w:bCs/>
                <w:u w:val="single"/>
                <w:lang w:eastAsia="ja-JP"/>
              </w:rPr>
              <w:t>Agreement:</w:t>
            </w:r>
          </w:p>
          <w:p w14:paraId="30C78D19" w14:textId="77777777" w:rsidR="00C36D89" w:rsidRDefault="00C36D89" w:rsidP="00C36D89">
            <w:pPr>
              <w:pStyle w:val="ListParagraph"/>
              <w:numPr>
                <w:ilvl w:val="0"/>
                <w:numId w:val="28"/>
              </w:numPr>
              <w:overflowPunct w:val="0"/>
              <w:autoSpaceDE w:val="0"/>
              <w:autoSpaceDN w:val="0"/>
              <w:adjustRightInd w:val="0"/>
              <w:spacing w:after="180" w:line="276" w:lineRule="auto"/>
              <w:ind w:left="644"/>
              <w:contextualSpacing w:val="0"/>
              <w:rPr>
                <w:szCs w:val="24"/>
                <w:lang w:eastAsia="zh-CN"/>
              </w:rPr>
            </w:pPr>
            <w:r>
              <w:rPr>
                <w:szCs w:val="24"/>
                <w:lang w:eastAsia="zh-CN"/>
              </w:rPr>
              <w:t>RAN4 to define RRM requirements on NTN-to-TN cell reselection requirement without measurement enhancement for the following cases:</w:t>
            </w:r>
          </w:p>
          <w:p w14:paraId="727CC0D6" w14:textId="77777777" w:rsidR="00C36D89" w:rsidRDefault="00C36D89" w:rsidP="00C36D89">
            <w:pPr>
              <w:pStyle w:val="ListParagraph"/>
              <w:numPr>
                <w:ilvl w:val="1"/>
                <w:numId w:val="28"/>
              </w:numPr>
              <w:overflowPunct w:val="0"/>
              <w:autoSpaceDE w:val="0"/>
              <w:autoSpaceDN w:val="0"/>
              <w:adjustRightInd w:val="0"/>
              <w:spacing w:after="180" w:line="276" w:lineRule="auto"/>
              <w:ind w:left="1364"/>
              <w:contextualSpacing w:val="0"/>
              <w:rPr>
                <w:szCs w:val="24"/>
                <w:lang w:eastAsia="zh-CN"/>
              </w:rPr>
            </w:pPr>
            <w:r>
              <w:rPr>
                <w:szCs w:val="24"/>
                <w:lang w:eastAsia="zh-CN"/>
              </w:rPr>
              <w:t>both GSO and non-GSO</w:t>
            </w:r>
          </w:p>
          <w:p w14:paraId="36FEB9E5" w14:textId="77777777" w:rsidR="00C36D89" w:rsidRDefault="00C36D89" w:rsidP="00C36D89">
            <w:pPr>
              <w:pStyle w:val="ListParagraph"/>
              <w:numPr>
                <w:ilvl w:val="1"/>
                <w:numId w:val="28"/>
              </w:numPr>
              <w:overflowPunct w:val="0"/>
              <w:autoSpaceDE w:val="0"/>
              <w:autoSpaceDN w:val="0"/>
              <w:adjustRightInd w:val="0"/>
              <w:spacing w:after="180" w:line="276" w:lineRule="auto"/>
              <w:ind w:left="1364"/>
              <w:contextualSpacing w:val="0"/>
              <w:rPr>
                <w:szCs w:val="24"/>
                <w:lang w:eastAsia="zh-CN"/>
              </w:rPr>
            </w:pPr>
            <w:r>
              <w:rPr>
                <w:szCs w:val="24"/>
                <w:lang w:eastAsia="zh-CN"/>
              </w:rPr>
              <w:t>both earth fixed cell and earth moving cell</w:t>
            </w:r>
          </w:p>
          <w:p w14:paraId="652E4C3F" w14:textId="77777777" w:rsidR="00C36D89" w:rsidRDefault="00C36D89" w:rsidP="00C36D89">
            <w:pPr>
              <w:pStyle w:val="ListParagraph"/>
              <w:numPr>
                <w:ilvl w:val="1"/>
                <w:numId w:val="28"/>
              </w:numPr>
              <w:overflowPunct w:val="0"/>
              <w:autoSpaceDE w:val="0"/>
              <w:autoSpaceDN w:val="0"/>
              <w:adjustRightInd w:val="0"/>
              <w:spacing w:after="180" w:line="276" w:lineRule="auto"/>
              <w:ind w:left="1364"/>
              <w:contextualSpacing w:val="0"/>
              <w:rPr>
                <w:szCs w:val="24"/>
                <w:lang w:eastAsia="zh-CN"/>
              </w:rPr>
            </w:pPr>
            <w:r>
              <w:rPr>
                <w:szCs w:val="24"/>
                <w:lang w:eastAsia="zh-CN"/>
              </w:rPr>
              <w:t xml:space="preserve">FFS on </w:t>
            </w:r>
          </w:p>
          <w:p w14:paraId="38BB3CFA" w14:textId="0EDBBCA3" w:rsidR="00C36D89" w:rsidRPr="00C36D89" w:rsidRDefault="00C36D89" w:rsidP="00C36D89">
            <w:pPr>
              <w:pStyle w:val="ListParagraph"/>
              <w:numPr>
                <w:ilvl w:val="2"/>
                <w:numId w:val="28"/>
              </w:numPr>
              <w:overflowPunct w:val="0"/>
              <w:autoSpaceDE w:val="0"/>
              <w:autoSpaceDN w:val="0"/>
              <w:adjustRightInd w:val="0"/>
              <w:spacing w:after="180" w:line="276" w:lineRule="auto"/>
              <w:ind w:left="2084"/>
              <w:contextualSpacing w:val="0"/>
              <w:rPr>
                <w:szCs w:val="24"/>
                <w:lang w:eastAsia="zh-CN"/>
              </w:rPr>
            </w:pPr>
            <w:r w:rsidRPr="00C36D89">
              <w:rPr>
                <w:szCs w:val="24"/>
                <w:highlight w:val="cyan"/>
                <w:lang w:eastAsia="zh-CN"/>
              </w:rPr>
              <w:t xml:space="preserve">whether/how to define the detailed UE </w:t>
            </w:r>
            <w:proofErr w:type="spellStart"/>
            <w:r w:rsidRPr="00C36D89">
              <w:rPr>
                <w:szCs w:val="24"/>
                <w:highlight w:val="cyan"/>
                <w:lang w:eastAsia="zh-CN"/>
              </w:rPr>
              <w:t>behaviour</w:t>
            </w:r>
            <w:proofErr w:type="spellEnd"/>
            <w:r w:rsidRPr="00C36D89">
              <w:rPr>
                <w:szCs w:val="24"/>
                <w:highlight w:val="cyan"/>
                <w:lang w:eastAsia="zh-CN"/>
              </w:rPr>
              <w:t xml:space="preserve"> when the UE is out of TN coverage.</w:t>
            </w:r>
          </w:p>
        </w:tc>
      </w:tr>
    </w:tbl>
    <w:p w14:paraId="081151D8" w14:textId="77777777" w:rsidR="00C36D89" w:rsidRDefault="00C36D89" w:rsidP="00300956"/>
    <w:p w14:paraId="0526FC01" w14:textId="4620BB93" w:rsidR="00C36D89" w:rsidRDefault="00C36D89" w:rsidP="00300956">
      <w:r>
        <w:t xml:space="preserve">The item left as FFS is a very important aspect of the present work item, being declared as one of the objectives in the WID </w:t>
      </w:r>
      <w:r>
        <w:fldChar w:fldCharType="begin"/>
      </w:r>
      <w:r>
        <w:instrText xml:space="preserve"> REF _Ref141960737 \r \h </w:instrText>
      </w:r>
      <w:r>
        <w:fldChar w:fldCharType="separate"/>
      </w:r>
      <w:r>
        <w:t>[1]</w:t>
      </w:r>
      <w:r>
        <w:fldChar w:fldCharType="end"/>
      </w:r>
      <w:r>
        <w:t xml:space="preserve"> as highlighted in the introduction of this paper. RAN2 has been working diligently to provide signaling enhancements that allow the UE to estimate whether it is in an area (or close to it) where there is TN coverage. The concept is that UEs outside of TN coverage are not expected to perform measurements towards TN targets. Examples of such progress obtained by RAN2 is provided in the list of agreements in the box below</w:t>
      </w:r>
      <w:r w:rsidR="008D4FB9">
        <w:t xml:space="preserve"> (list is not extensive)</w:t>
      </w:r>
      <w:r>
        <w:t>:</w:t>
      </w:r>
    </w:p>
    <w:tbl>
      <w:tblPr>
        <w:tblStyle w:val="TableGrid"/>
        <w:tblW w:w="0" w:type="auto"/>
        <w:tblLook w:val="04A0" w:firstRow="1" w:lastRow="0" w:firstColumn="1" w:lastColumn="0" w:noHBand="0" w:noVBand="1"/>
      </w:tblPr>
      <w:tblGrid>
        <w:gridCol w:w="9617"/>
      </w:tblGrid>
      <w:tr w:rsidR="00C36D89" w14:paraId="305BF61E" w14:textId="77777777" w:rsidTr="00C36D89">
        <w:tc>
          <w:tcPr>
            <w:tcW w:w="9617" w:type="dxa"/>
          </w:tcPr>
          <w:p w14:paraId="4A043DD3" w14:textId="4A5118BF" w:rsidR="00C36D89" w:rsidRPr="008D4FB9" w:rsidRDefault="008D4FB9" w:rsidP="00300956">
            <w:pPr>
              <w:rPr>
                <w:b/>
                <w:bCs/>
                <w:u w:val="single"/>
              </w:rPr>
            </w:pPr>
            <w:r>
              <w:rPr>
                <w:b/>
                <w:bCs/>
                <w:u w:val="single"/>
              </w:rPr>
              <w:t>RAN 2 #121</w:t>
            </w:r>
            <w:r w:rsidRPr="008D4FB9">
              <w:rPr>
                <w:b/>
                <w:bCs/>
                <w:u w:val="single"/>
              </w:rPr>
              <w:t>:</w:t>
            </w:r>
          </w:p>
          <w:p w14:paraId="021F7569" w14:textId="77777777" w:rsidR="008D4FB9" w:rsidRPr="00A46DD5" w:rsidRDefault="008D4FB9" w:rsidP="00A46DD5">
            <w:pPr>
              <w:pStyle w:val="ListParagraph"/>
              <w:numPr>
                <w:ilvl w:val="0"/>
                <w:numId w:val="30"/>
              </w:numPr>
              <w:rPr>
                <w:lang w:val="en-GB"/>
              </w:rPr>
            </w:pPr>
            <w:r w:rsidRPr="00A46DD5">
              <w:rPr>
                <w:lang w:val="en-GB"/>
              </w:rPr>
              <w:t xml:space="preserve">TN coverage area information will be associated to the </w:t>
            </w:r>
            <w:r w:rsidRPr="00A46DD5">
              <w:rPr>
                <w:highlight w:val="cyan"/>
                <w:lang w:val="en-GB"/>
              </w:rPr>
              <w:t>frequency information</w:t>
            </w:r>
            <w:r w:rsidRPr="00A46DD5">
              <w:rPr>
                <w:lang w:val="en-GB"/>
              </w:rPr>
              <w:t>. (RAN2 #121)</w:t>
            </w:r>
          </w:p>
          <w:p w14:paraId="2C5B41E2" w14:textId="77777777" w:rsidR="008D4FB9" w:rsidRPr="00A46DD5" w:rsidRDefault="008D4FB9" w:rsidP="00A46DD5">
            <w:pPr>
              <w:pStyle w:val="ListParagraph"/>
              <w:numPr>
                <w:ilvl w:val="0"/>
                <w:numId w:val="30"/>
              </w:numPr>
              <w:rPr>
                <w:lang w:val="en-GB"/>
              </w:rPr>
            </w:pPr>
            <w:r w:rsidRPr="00A46DD5">
              <w:rPr>
                <w:lang w:val="en-GB"/>
              </w:rPr>
              <w:lastRenderedPageBreak/>
              <w:t>As a baseline, broadcast signalling is used to provide the information on the TN coverage area for UEs supporting NTN.</w:t>
            </w:r>
          </w:p>
          <w:p w14:paraId="6534FCDD" w14:textId="404A8033" w:rsidR="008D4FB9" w:rsidRPr="008D4FB9" w:rsidRDefault="008D4FB9" w:rsidP="008D4FB9">
            <w:pPr>
              <w:rPr>
                <w:b/>
                <w:bCs/>
                <w:u w:val="single"/>
              </w:rPr>
            </w:pPr>
            <w:r>
              <w:rPr>
                <w:b/>
                <w:bCs/>
                <w:u w:val="single"/>
              </w:rPr>
              <w:t>RAN 2 #121bis</w:t>
            </w:r>
            <w:r w:rsidRPr="008D4FB9">
              <w:rPr>
                <w:b/>
                <w:bCs/>
                <w:u w:val="single"/>
              </w:rPr>
              <w:t>:</w:t>
            </w:r>
          </w:p>
          <w:p w14:paraId="14AAABAE" w14:textId="77777777" w:rsidR="008D4FB9" w:rsidRDefault="008D4FB9" w:rsidP="00300956">
            <w:pPr>
              <w:rPr>
                <w:lang w:val="en-GB"/>
              </w:rPr>
            </w:pPr>
          </w:p>
          <w:p w14:paraId="71B1472D" w14:textId="77777777" w:rsidR="008D4FB9" w:rsidRPr="00A46DD5" w:rsidRDefault="008D4FB9" w:rsidP="00A46DD5">
            <w:pPr>
              <w:pStyle w:val="ListParagraph"/>
              <w:numPr>
                <w:ilvl w:val="0"/>
                <w:numId w:val="29"/>
              </w:numPr>
              <w:rPr>
                <w:lang w:val="en-GB"/>
              </w:rPr>
            </w:pPr>
            <w:r w:rsidRPr="00A46DD5">
              <w:rPr>
                <w:lang w:val="en-GB"/>
              </w:rPr>
              <w:t xml:space="preserve">For </w:t>
            </w:r>
            <w:proofErr w:type="spellStart"/>
            <w:r w:rsidRPr="00A46DD5">
              <w:rPr>
                <w:lang w:val="en-GB"/>
              </w:rPr>
              <w:t>signaling</w:t>
            </w:r>
            <w:proofErr w:type="spellEnd"/>
            <w:r w:rsidRPr="00A46DD5">
              <w:rPr>
                <w:lang w:val="en-GB"/>
              </w:rPr>
              <w:t xml:space="preserve"> the TN coverage, the corresponding geographical area information is provided by broadcast signalling by the network via a list of (possibly overlapping) areas where each area is defined using </w:t>
            </w:r>
            <w:proofErr w:type="spellStart"/>
            <w:r w:rsidRPr="00A46DD5">
              <w:rPr>
                <w:lang w:val="en-GB"/>
              </w:rPr>
              <w:t>center</w:t>
            </w:r>
            <w:proofErr w:type="spellEnd"/>
            <w:r w:rsidRPr="00A46DD5">
              <w:rPr>
                <w:lang w:val="en-GB"/>
              </w:rPr>
              <w:t xml:space="preserve"> location coordinates + radius (where the area is meant to describe a group of cells, not just </w:t>
            </w:r>
            <w:proofErr w:type="gramStart"/>
            <w:r w:rsidRPr="00A46DD5">
              <w:rPr>
                <w:lang w:val="en-GB"/>
              </w:rPr>
              <w:t>a single one</w:t>
            </w:r>
            <w:proofErr w:type="gramEnd"/>
            <w:r w:rsidRPr="00A46DD5">
              <w:rPr>
                <w:lang w:val="en-GB"/>
              </w:rPr>
              <w:t>). FFS on the SIB. FFS on whether additional information in dedicated signalling is needed/</w:t>
            </w:r>
            <w:proofErr w:type="gramStart"/>
            <w:r w:rsidRPr="00A46DD5">
              <w:rPr>
                <w:lang w:val="en-GB"/>
              </w:rPr>
              <w:t>useful</w:t>
            </w:r>
            <w:proofErr w:type="gramEnd"/>
          </w:p>
          <w:p w14:paraId="0E41CC50" w14:textId="77777777" w:rsidR="008D4FB9" w:rsidRDefault="008D4FB9" w:rsidP="008D4FB9">
            <w:pPr>
              <w:rPr>
                <w:lang w:val="en-GB"/>
              </w:rPr>
            </w:pPr>
          </w:p>
          <w:p w14:paraId="390471E0" w14:textId="395F0B50" w:rsidR="008D4FB9" w:rsidRPr="00A46DD5" w:rsidRDefault="008D4FB9" w:rsidP="00A46DD5">
            <w:pPr>
              <w:pStyle w:val="ListParagraph"/>
              <w:numPr>
                <w:ilvl w:val="0"/>
                <w:numId w:val="29"/>
              </w:numPr>
              <w:rPr>
                <w:lang w:val="en-GB"/>
              </w:rPr>
            </w:pPr>
            <w:r w:rsidRPr="00A46DD5">
              <w:rPr>
                <w:lang w:val="en-GB"/>
              </w:rPr>
              <w:t xml:space="preserve">Area </w:t>
            </w:r>
            <w:proofErr w:type="spellStart"/>
            <w:r w:rsidRPr="00A46DD5">
              <w:rPr>
                <w:lang w:val="en-GB"/>
              </w:rPr>
              <w:t>center</w:t>
            </w:r>
            <w:proofErr w:type="spellEnd"/>
            <w:r w:rsidRPr="00A46DD5">
              <w:rPr>
                <w:lang w:val="en-GB"/>
              </w:rPr>
              <w:t xml:space="preserve"> location and its radius for TN coverage information is signalled using Ellipsoid-Point and radius separately. FFS if Rel-17 </w:t>
            </w:r>
            <w:proofErr w:type="spellStart"/>
            <w:r w:rsidRPr="00A46DD5">
              <w:rPr>
                <w:lang w:val="en-GB"/>
              </w:rPr>
              <w:t>referenceLocation</w:t>
            </w:r>
            <w:proofErr w:type="spellEnd"/>
            <w:r w:rsidRPr="00A46DD5">
              <w:rPr>
                <w:lang w:val="en-GB"/>
              </w:rPr>
              <w:t xml:space="preserve"> and </w:t>
            </w:r>
            <w:proofErr w:type="spellStart"/>
            <w:r w:rsidRPr="00A46DD5">
              <w:rPr>
                <w:lang w:val="en-GB"/>
              </w:rPr>
              <w:t>distanceThresh</w:t>
            </w:r>
            <w:proofErr w:type="spellEnd"/>
            <w:r w:rsidRPr="00A46DD5">
              <w:rPr>
                <w:lang w:val="en-GB"/>
              </w:rPr>
              <w:t xml:space="preserve"> are directly </w:t>
            </w:r>
            <w:proofErr w:type="gramStart"/>
            <w:r w:rsidRPr="00A46DD5">
              <w:rPr>
                <w:lang w:val="en-GB"/>
              </w:rPr>
              <w:t>reused</w:t>
            </w:r>
            <w:proofErr w:type="gramEnd"/>
          </w:p>
          <w:p w14:paraId="2C2FA597" w14:textId="77777777" w:rsidR="008D4FB9" w:rsidRDefault="008D4FB9" w:rsidP="008D4FB9">
            <w:pPr>
              <w:rPr>
                <w:lang w:val="en-GB"/>
              </w:rPr>
            </w:pPr>
          </w:p>
          <w:p w14:paraId="5E03E0BD" w14:textId="1B2D1948" w:rsidR="008D4FB9" w:rsidRPr="00A46DD5" w:rsidRDefault="008D4FB9" w:rsidP="00A46DD5">
            <w:pPr>
              <w:pStyle w:val="ListParagraph"/>
              <w:numPr>
                <w:ilvl w:val="0"/>
                <w:numId w:val="29"/>
              </w:numPr>
              <w:rPr>
                <w:lang w:val="en-GB"/>
              </w:rPr>
            </w:pPr>
            <w:r w:rsidRPr="00A46DD5">
              <w:rPr>
                <w:lang w:val="en-GB"/>
              </w:rPr>
              <w:t>On a frequency band number shared by TN and NTN (e.g., n1</w:t>
            </w:r>
            <w:r w:rsidRPr="00A46DD5">
              <w:rPr>
                <w:highlight w:val="cyan"/>
                <w:lang w:val="en-GB"/>
              </w:rPr>
              <w:t>), if NTN-specific assistance information is NOT provided for a neighbour cell configured in SIB3/SIB4</w:t>
            </w:r>
            <w:r w:rsidRPr="00A46DD5">
              <w:rPr>
                <w:lang w:val="en-GB"/>
              </w:rPr>
              <w:t>, UE assumes this is a TN neighbour cell. This understanding is also applicable for Rel-</w:t>
            </w:r>
            <w:proofErr w:type="gramStart"/>
            <w:r w:rsidRPr="00A46DD5">
              <w:rPr>
                <w:lang w:val="en-GB"/>
              </w:rPr>
              <w:t>17</w:t>
            </w:r>
            <w:proofErr w:type="gramEnd"/>
            <w:r w:rsidRPr="00A46DD5">
              <w:rPr>
                <w:lang w:val="en-GB"/>
              </w:rPr>
              <w:t xml:space="preserve"> and it does not need any spec update</w:t>
            </w:r>
          </w:p>
          <w:p w14:paraId="549A48F3" w14:textId="77777777" w:rsidR="008D4FB9" w:rsidRDefault="008D4FB9" w:rsidP="008D4FB9">
            <w:pPr>
              <w:rPr>
                <w:lang w:val="en-GB"/>
              </w:rPr>
            </w:pPr>
          </w:p>
          <w:p w14:paraId="5BC36541" w14:textId="77777777" w:rsidR="008D4FB9" w:rsidRDefault="008D4FB9" w:rsidP="008D4FB9">
            <w:pPr>
              <w:rPr>
                <w:lang w:val="en-GB"/>
              </w:rPr>
            </w:pPr>
          </w:p>
          <w:p w14:paraId="1995183E" w14:textId="4C0026A5" w:rsidR="008D4FB9" w:rsidRPr="008D4FB9" w:rsidRDefault="008D4FB9" w:rsidP="008D4FB9">
            <w:pPr>
              <w:rPr>
                <w:b/>
                <w:bCs/>
                <w:u w:val="single"/>
              </w:rPr>
            </w:pPr>
            <w:r>
              <w:rPr>
                <w:b/>
                <w:bCs/>
                <w:u w:val="single"/>
              </w:rPr>
              <w:t>RAN 2 #122</w:t>
            </w:r>
            <w:r w:rsidRPr="008D4FB9">
              <w:rPr>
                <w:b/>
                <w:bCs/>
                <w:u w:val="single"/>
              </w:rPr>
              <w:t>:</w:t>
            </w:r>
          </w:p>
          <w:p w14:paraId="6574C03C" w14:textId="77777777" w:rsidR="008D4FB9" w:rsidRDefault="008D4FB9" w:rsidP="008D4FB9">
            <w:pPr>
              <w:rPr>
                <w:lang w:val="en-GB"/>
              </w:rPr>
            </w:pPr>
          </w:p>
          <w:p w14:paraId="2162886A" w14:textId="7D776B61" w:rsidR="008D4FB9" w:rsidRPr="00A46DD5" w:rsidRDefault="008D4FB9" w:rsidP="00A46DD5">
            <w:pPr>
              <w:pStyle w:val="ListParagraph"/>
              <w:numPr>
                <w:ilvl w:val="0"/>
                <w:numId w:val="31"/>
              </w:numPr>
              <w:rPr>
                <w:lang w:val="en-GB"/>
              </w:rPr>
            </w:pPr>
            <w:r w:rsidRPr="00A46DD5">
              <w:rPr>
                <w:lang w:val="en-GB"/>
              </w:rPr>
              <w:t xml:space="preserve">An RRC_IDLE/RRC_INACTIVE </w:t>
            </w:r>
            <w:r w:rsidRPr="00A46DD5">
              <w:rPr>
                <w:highlight w:val="cyan"/>
                <w:lang w:val="en-GB"/>
              </w:rPr>
              <w:t>UE is not required to perform neighbour cell measurements for cell reselection for a TN frequency in the area</w:t>
            </w:r>
            <w:r w:rsidRPr="00A46DD5">
              <w:rPr>
                <w:lang w:val="en-GB"/>
              </w:rPr>
              <w:t xml:space="preserve">, if configured, where there is no coverage of that frequency, regardless of the frequency </w:t>
            </w:r>
            <w:proofErr w:type="gramStart"/>
            <w:r w:rsidRPr="00A46DD5">
              <w:rPr>
                <w:lang w:val="en-GB"/>
              </w:rPr>
              <w:t>priority</w:t>
            </w:r>
            <w:proofErr w:type="gramEnd"/>
          </w:p>
          <w:p w14:paraId="5C180613" w14:textId="77777777" w:rsidR="008D4FB9" w:rsidRPr="00A46DD5" w:rsidRDefault="008D4FB9" w:rsidP="00A46DD5">
            <w:pPr>
              <w:pStyle w:val="ListParagraph"/>
              <w:numPr>
                <w:ilvl w:val="0"/>
                <w:numId w:val="31"/>
              </w:numPr>
              <w:rPr>
                <w:lang w:val="en-GB"/>
              </w:rPr>
            </w:pPr>
            <w:r w:rsidRPr="00A46DD5">
              <w:rPr>
                <w:lang w:val="en-GB"/>
              </w:rPr>
              <w:t xml:space="preserve">Reuse the same format of Rel-17 </w:t>
            </w:r>
            <w:proofErr w:type="spellStart"/>
            <w:r w:rsidRPr="00A46DD5">
              <w:rPr>
                <w:lang w:val="en-GB"/>
              </w:rPr>
              <w:t>referenceLocation</w:t>
            </w:r>
            <w:proofErr w:type="spellEnd"/>
            <w:r w:rsidRPr="00A46DD5">
              <w:rPr>
                <w:lang w:val="en-GB"/>
              </w:rPr>
              <w:t xml:space="preserve"> and </w:t>
            </w:r>
            <w:proofErr w:type="spellStart"/>
            <w:r w:rsidRPr="00A46DD5">
              <w:rPr>
                <w:lang w:val="en-GB"/>
              </w:rPr>
              <w:t>distanceThresh</w:t>
            </w:r>
            <w:proofErr w:type="spellEnd"/>
            <w:r w:rsidRPr="00A46DD5">
              <w:rPr>
                <w:lang w:val="en-GB"/>
              </w:rPr>
              <w:t xml:space="preserve"> for </w:t>
            </w:r>
            <w:proofErr w:type="spellStart"/>
            <w:r w:rsidRPr="00A46DD5">
              <w:rPr>
                <w:lang w:val="en-GB"/>
              </w:rPr>
              <w:t>signaling</w:t>
            </w:r>
            <w:proofErr w:type="spellEnd"/>
            <w:r w:rsidRPr="00A46DD5">
              <w:rPr>
                <w:lang w:val="en-GB"/>
              </w:rPr>
              <w:t xml:space="preserve"> the TN coverage area centre and </w:t>
            </w:r>
            <w:proofErr w:type="gramStart"/>
            <w:r w:rsidRPr="00A46DD5">
              <w:rPr>
                <w:lang w:val="en-GB"/>
              </w:rPr>
              <w:t>radius</w:t>
            </w:r>
            <w:proofErr w:type="gramEnd"/>
          </w:p>
          <w:p w14:paraId="0E5A1172" w14:textId="4AFFB5C2" w:rsidR="008D4FB9" w:rsidRPr="008D4FB9" w:rsidRDefault="008D4FB9" w:rsidP="008D4FB9">
            <w:pPr>
              <w:rPr>
                <w:lang w:val="en-GB"/>
              </w:rPr>
            </w:pPr>
          </w:p>
        </w:tc>
      </w:tr>
    </w:tbl>
    <w:p w14:paraId="0724B9FF" w14:textId="2EC98CB0" w:rsidR="00C36D89" w:rsidRDefault="00C36D89" w:rsidP="00300956">
      <w:r>
        <w:lastRenderedPageBreak/>
        <w:t xml:space="preserve"> </w:t>
      </w:r>
    </w:p>
    <w:p w14:paraId="62B368E7" w14:textId="4DC9D80E" w:rsidR="00525C99" w:rsidRDefault="00381849" w:rsidP="00300956">
      <w:proofErr w:type="gramStart"/>
      <w:r>
        <w:t xml:space="preserve">It is clear that </w:t>
      </w:r>
      <w:r w:rsidR="00525C99">
        <w:t>the</w:t>
      </w:r>
      <w:proofErr w:type="gramEnd"/>
      <w:r w:rsidR="00525C99">
        <w:t xml:space="preserve"> cell reselection from NTN to TN is relevant enough for being discussed for several meetings by RAN 2 and for having designated objective for energy saving enhancements by RAN plenary. However, in Rel-17, RAN4 has agreed to limit the mobility work to neighbor cells on the same layer as the serving cell. As provided by the applicability rules in TS 38.133:</w:t>
      </w:r>
    </w:p>
    <w:tbl>
      <w:tblPr>
        <w:tblStyle w:val="TableGrid"/>
        <w:tblW w:w="0" w:type="auto"/>
        <w:tblLook w:val="04A0" w:firstRow="1" w:lastRow="0" w:firstColumn="1" w:lastColumn="0" w:noHBand="0" w:noVBand="1"/>
      </w:tblPr>
      <w:tblGrid>
        <w:gridCol w:w="9617"/>
      </w:tblGrid>
      <w:tr w:rsidR="00525C99" w14:paraId="26D10CF9" w14:textId="77777777" w:rsidTr="00525C99">
        <w:tc>
          <w:tcPr>
            <w:tcW w:w="9617" w:type="dxa"/>
          </w:tcPr>
          <w:p w14:paraId="75DBC061" w14:textId="77777777" w:rsidR="00525C99" w:rsidRDefault="00525C99" w:rsidP="00525C99">
            <w:pPr>
              <w:pStyle w:val="Heading3"/>
            </w:pPr>
            <w:r>
              <w:rPr>
                <w:lang w:eastAsia="ko-KR"/>
              </w:rPr>
              <w:t>3.6.12</w:t>
            </w:r>
            <w:r>
              <w:rPr>
                <w:lang w:eastAsia="ko-KR"/>
              </w:rPr>
              <w:tab/>
            </w:r>
            <w:r>
              <w:t>Applicability of requirements for Satellite Access</w:t>
            </w:r>
          </w:p>
          <w:p w14:paraId="0A702D59" w14:textId="77777777" w:rsidR="00525C99" w:rsidRDefault="00525C99" w:rsidP="00525C99">
            <w:pPr>
              <w:rPr>
                <w:lang w:eastAsia="zh-CN"/>
              </w:rPr>
            </w:pPr>
            <w:r>
              <w:rPr>
                <w:lang w:eastAsia="zh-CN"/>
              </w:rPr>
              <w:t xml:space="preserve">The requirements </w:t>
            </w:r>
            <w:r>
              <w:t xml:space="preserve">for Satellite Access defined in clauses with suffix ‘C’ </w:t>
            </w:r>
            <w:r>
              <w:rPr>
                <w:lang w:eastAsia="zh-CN"/>
              </w:rPr>
              <w:t xml:space="preserve">apply </w:t>
            </w:r>
            <w:proofErr w:type="gramStart"/>
            <w:r>
              <w:rPr>
                <w:lang w:eastAsia="zh-CN"/>
              </w:rPr>
              <w:t>provided that</w:t>
            </w:r>
            <w:proofErr w:type="gramEnd"/>
            <w:r>
              <w:rPr>
                <w:lang w:eastAsia="zh-CN"/>
              </w:rPr>
              <w:t xml:space="preserve"> UE indicates </w:t>
            </w:r>
            <w:proofErr w:type="spellStart"/>
            <w:r>
              <w:rPr>
                <w:i/>
                <w:lang w:eastAsia="zh-CN"/>
              </w:rPr>
              <w:t>nonTerrestrialNetwork</w:t>
            </w:r>
            <w:proofErr w:type="spellEnd"/>
            <w:r>
              <w:rPr>
                <w:lang w:eastAsia="zh-CN"/>
              </w:rPr>
              <w:t xml:space="preserve"> and is accessing a cell served by a</w:t>
            </w:r>
            <w:r>
              <w:rPr>
                <w:szCs w:val="24"/>
                <w:lang w:eastAsia="zh-CN"/>
              </w:rPr>
              <w:t xml:space="preserve"> Satellite Access Node (SAN)</w:t>
            </w:r>
            <w:r>
              <w:rPr>
                <w:lang w:eastAsia="zh-CN"/>
              </w:rPr>
              <w:t>.</w:t>
            </w:r>
            <w:r>
              <w:t xml:space="preserve"> </w:t>
            </w:r>
            <w:r>
              <w:rPr>
                <w:lang w:eastAsia="zh-CN"/>
              </w:rPr>
              <w:t xml:space="preserve">The requirements apply </w:t>
            </w:r>
            <w:r w:rsidRPr="00525C99">
              <w:rPr>
                <w:b/>
                <w:bCs/>
                <w:highlight w:val="cyan"/>
                <w:lang w:eastAsia="zh-CN"/>
              </w:rPr>
              <w:t xml:space="preserve">provided that serving and all </w:t>
            </w:r>
            <w:proofErr w:type="spellStart"/>
            <w:r w:rsidRPr="00525C99">
              <w:rPr>
                <w:b/>
                <w:bCs/>
                <w:highlight w:val="cyan"/>
                <w:lang w:eastAsia="zh-CN"/>
              </w:rPr>
              <w:t>neighbour</w:t>
            </w:r>
            <w:proofErr w:type="spellEnd"/>
            <w:r w:rsidRPr="00525C99">
              <w:rPr>
                <w:b/>
                <w:bCs/>
                <w:highlight w:val="cyan"/>
                <w:lang w:eastAsia="zh-CN"/>
              </w:rPr>
              <w:t xml:space="preserve"> satellites on the same layer are of same satellite type</w:t>
            </w:r>
            <w:r>
              <w:rPr>
                <w:lang w:eastAsia="zh-CN"/>
              </w:rPr>
              <w:t xml:space="preserve"> (LEO or GEO).</w:t>
            </w:r>
          </w:p>
          <w:p w14:paraId="3A3F3B41" w14:textId="77777777" w:rsidR="00525C99" w:rsidRDefault="00525C99" w:rsidP="00300956"/>
        </w:tc>
      </w:tr>
    </w:tbl>
    <w:p w14:paraId="68854BDF" w14:textId="77777777" w:rsidR="00525C99" w:rsidRDefault="00525C99" w:rsidP="00300956"/>
    <w:p w14:paraId="12EEB362" w14:textId="77777777" w:rsidR="00525C99" w:rsidRDefault="00525C99" w:rsidP="00300956">
      <w:r>
        <w:t xml:space="preserve">It is important that the RAN4 work is aligned to the other RAN groups to provide meaningful requirements for the intended operation of the devices and features developed across the different RAN WG. Therefore, for Release 18, RAN 4 </w:t>
      </w:r>
      <w:proofErr w:type="gramStart"/>
      <w:r>
        <w:t>has to</w:t>
      </w:r>
      <w:proofErr w:type="gramEnd"/>
      <w:r>
        <w:t xml:space="preserve"> revisit the previous applicability rules:</w:t>
      </w:r>
    </w:p>
    <w:p w14:paraId="03E1EE33" w14:textId="7A5C825A" w:rsidR="00525C99" w:rsidRDefault="007D4B7B" w:rsidP="00525C99">
      <w:pPr>
        <w:pStyle w:val="RAN4proposal"/>
      </w:pPr>
      <w:bookmarkStart w:id="7" w:name="_Toc142669701"/>
      <w:r>
        <w:t xml:space="preserve">In Rel-18, remove the limitation that requirements will only apply if </w:t>
      </w:r>
      <w:r w:rsidR="00525C99">
        <w:t xml:space="preserve"> serving and </w:t>
      </w:r>
      <w:proofErr w:type="spellStart"/>
      <w:r w:rsidR="00525C99">
        <w:t>neighbour</w:t>
      </w:r>
      <w:proofErr w:type="spellEnd"/>
      <w:r w:rsidR="00525C99">
        <w:t xml:space="preserve"> cells belonging to the same satellite type</w:t>
      </w:r>
      <w:r>
        <w:t>, at least for cell reselection requirements</w:t>
      </w:r>
      <w:r w:rsidR="00525C99">
        <w:t>.</w:t>
      </w:r>
      <w:bookmarkEnd w:id="7"/>
      <w:r w:rsidR="00525C99">
        <w:t xml:space="preserve">   </w:t>
      </w:r>
    </w:p>
    <w:p w14:paraId="31020AEC" w14:textId="3C7C3481" w:rsidR="007D4B7B" w:rsidRDefault="007D4B7B" w:rsidP="007D4B7B">
      <w:pPr>
        <w:pStyle w:val="RAN4proposal"/>
      </w:pPr>
      <w:bookmarkStart w:id="8" w:name="_Toc142669702"/>
      <w:r>
        <w:t>Define requirements for the mobility from NTN to TN in the specifications (at least for bands below 10 GHz).</w:t>
      </w:r>
      <w:bookmarkEnd w:id="8"/>
    </w:p>
    <w:p w14:paraId="5EF71BAB" w14:textId="1357E77F" w:rsidR="007D4B7B" w:rsidRPr="007D4B7B" w:rsidRDefault="007D4B7B" w:rsidP="007D4B7B">
      <w:r>
        <w:t xml:space="preserve">And </w:t>
      </w:r>
      <w:proofErr w:type="gramStart"/>
      <w:r>
        <w:t>in order to</w:t>
      </w:r>
      <w:proofErr w:type="gramEnd"/>
      <w:r>
        <w:t xml:space="preserve"> follow the agreements achieved by RAN2, when designing the requirements for cell reselection between NTN and TN </w:t>
      </w:r>
    </w:p>
    <w:p w14:paraId="211377FD" w14:textId="08D71FB9" w:rsidR="007D4B7B" w:rsidRDefault="007D4B7B" w:rsidP="007D4B7B">
      <w:pPr>
        <w:pStyle w:val="RAN4proposal"/>
      </w:pPr>
      <w:bookmarkStart w:id="9" w:name="_Toc142669703"/>
      <w:r>
        <w:t>If a UE is provided with TN coverage information, and the UE is outside of the overlapping of the coverage areas</w:t>
      </w:r>
      <w:r w:rsidR="00E806DF">
        <w:t xml:space="preserve"> configured by the network</w:t>
      </w:r>
      <w:r>
        <w:t>, the UE is not required to measure TN target cells. If the TN frequency is not in use by other NTN cells,  the UE is not required to measure this frequency, regardless of frequency priorities.</w:t>
      </w:r>
      <w:bookmarkEnd w:id="9"/>
      <w:r>
        <w:t xml:space="preserve"> </w:t>
      </w:r>
    </w:p>
    <w:p w14:paraId="031E710D" w14:textId="31E88E75" w:rsidR="007D4B7B" w:rsidRDefault="007D4B7B" w:rsidP="007D4B7B">
      <w:r>
        <w:t xml:space="preserve">For the case where a frequency </w:t>
      </w:r>
      <w:proofErr w:type="gramStart"/>
      <w:r>
        <w:t>can</w:t>
      </w:r>
      <w:proofErr w:type="gramEnd"/>
      <w:r>
        <w:t xml:space="preserve"> be reused by both TN and NTN cells, RAN2 has designed a rule that shall be captured in the RAN4 specifications:</w:t>
      </w:r>
    </w:p>
    <w:p w14:paraId="3F352685" w14:textId="3798CBC9" w:rsidR="007D4B7B" w:rsidRDefault="007D4B7B" w:rsidP="007D4B7B">
      <w:pPr>
        <w:pStyle w:val="RAN4proposal"/>
      </w:pPr>
      <w:bookmarkStart w:id="10" w:name="_Toc135062938"/>
      <w:bookmarkStart w:id="11" w:name="_Toc142669704"/>
      <w:r>
        <w:lastRenderedPageBreak/>
        <w:t xml:space="preserve">Capture in TS 38.133 that when a cell is configured in a frequency band shared by TN and NTN, if </w:t>
      </w:r>
      <w:r w:rsidR="00E806DF">
        <w:t>satellite assistance</w:t>
      </w:r>
      <w:r>
        <w:t xml:space="preserve"> information </w:t>
      </w:r>
      <w:r w:rsidRPr="002D5514">
        <w:t xml:space="preserve">is NOT provided for a </w:t>
      </w:r>
      <w:proofErr w:type="spellStart"/>
      <w:r w:rsidRPr="002D5514">
        <w:t>neighbour</w:t>
      </w:r>
      <w:proofErr w:type="spellEnd"/>
      <w:r w:rsidRPr="002D5514">
        <w:t xml:space="preserve"> cell configured in SIB3/SIB4, UE assumes this is a TN </w:t>
      </w:r>
      <w:proofErr w:type="spellStart"/>
      <w:r w:rsidRPr="002D5514">
        <w:t>neighbour</w:t>
      </w:r>
      <w:proofErr w:type="spellEnd"/>
      <w:r w:rsidRPr="002D5514">
        <w:t xml:space="preserve"> cell and the specific requirements for NTN-&gt;TN cell reselection apply.</w:t>
      </w:r>
      <w:bookmarkEnd w:id="10"/>
      <w:bookmarkEnd w:id="11"/>
      <w:r>
        <w:rPr>
          <w:rStyle w:val="normaltextrun"/>
          <w:rFonts w:ascii="Calibri" w:hAnsi="Calibri" w:cs="Calibri"/>
          <w:sz w:val="22"/>
          <w:szCs w:val="22"/>
        </w:rPr>
        <w:t xml:space="preserve"> </w:t>
      </w:r>
      <w:r>
        <w:t xml:space="preserve"> </w:t>
      </w:r>
    </w:p>
    <w:p w14:paraId="25EEABB5" w14:textId="77777777" w:rsidR="007D4B7B" w:rsidRPr="00CC748F" w:rsidRDefault="007D4B7B" w:rsidP="007D4B7B">
      <w:pPr>
        <w:pStyle w:val="RAN4proposal"/>
      </w:pPr>
      <w:bookmarkStart w:id="12" w:name="_Toc135062939"/>
      <w:bookmarkStart w:id="13" w:name="_Toc142669705"/>
      <w:r>
        <w:t xml:space="preserve">If the UE </w:t>
      </w:r>
      <w:proofErr w:type="gramStart"/>
      <w:r>
        <w:t>has to</w:t>
      </w:r>
      <w:proofErr w:type="gramEnd"/>
      <w:r>
        <w:t xml:space="preserve"> measure NTN and TN cells in the same frequency, update the description of K</w:t>
      </w:r>
      <w:r w:rsidRPr="00041269">
        <w:rPr>
          <w:vertAlign w:val="subscript"/>
        </w:rPr>
        <w:t>SMTC</w:t>
      </w:r>
      <w:r>
        <w:rPr>
          <w:vertAlign w:val="subscript"/>
        </w:rPr>
        <w:t xml:space="preserve"> </w:t>
      </w:r>
      <w:r>
        <w:t>to accommodate for measurements over TN cells as well.</w:t>
      </w:r>
      <w:bookmarkEnd w:id="12"/>
      <w:bookmarkEnd w:id="13"/>
      <w:r>
        <w:t xml:space="preserve"> </w:t>
      </w:r>
    </w:p>
    <w:p w14:paraId="1708E122" w14:textId="77777777" w:rsidR="00847264" w:rsidRPr="008C39F7" w:rsidRDefault="00847264" w:rsidP="00300956"/>
    <w:p w14:paraId="4AB19EA2" w14:textId="3ACDA12F" w:rsidR="00CB22B2" w:rsidRPr="008C39F7" w:rsidRDefault="00C91873" w:rsidP="00496606">
      <w:pPr>
        <w:pStyle w:val="RAN4H2"/>
      </w:pPr>
      <w:r>
        <w:t xml:space="preserve">HARD </w:t>
      </w:r>
      <w:r w:rsidR="00E806DF">
        <w:t xml:space="preserve">Satellite switch with same </w:t>
      </w:r>
      <w:r>
        <w:t xml:space="preserve">PCI </w:t>
      </w:r>
    </w:p>
    <w:p w14:paraId="2217769A" w14:textId="77777777" w:rsidR="00E806DF" w:rsidRDefault="00E806DF" w:rsidP="005C23A4">
      <w:r>
        <w:t>During the HARD PCI switch with same PCI, the serving satellite switches, but the PCI is maintained, which means the procedures in the higher layers is maintained. In this case, at some point, the UE will stop transmitting towards one satellite and start transmission toward the other satellite. This indicates a sudden transition in timing advance.  RAN2 has indicated that this is a possible scenario, and the UE needs to know how to deal with the timing advance:</w:t>
      </w:r>
    </w:p>
    <w:tbl>
      <w:tblPr>
        <w:tblStyle w:val="TableGrid"/>
        <w:tblW w:w="0" w:type="auto"/>
        <w:tblLook w:val="04A0" w:firstRow="1" w:lastRow="0" w:firstColumn="1" w:lastColumn="0" w:noHBand="0" w:noVBand="1"/>
      </w:tblPr>
      <w:tblGrid>
        <w:gridCol w:w="9617"/>
      </w:tblGrid>
      <w:tr w:rsidR="00E806DF" w14:paraId="177755CA" w14:textId="77777777" w:rsidTr="00E806DF">
        <w:tc>
          <w:tcPr>
            <w:tcW w:w="9617" w:type="dxa"/>
          </w:tcPr>
          <w:p w14:paraId="5B877CDB" w14:textId="77777777" w:rsidR="00E806DF" w:rsidRDefault="00E806DF" w:rsidP="005C23A4">
            <w:r>
              <w:t>RAN2 agreement from RAN2 #122:</w:t>
            </w:r>
          </w:p>
          <w:p w14:paraId="18CA5249" w14:textId="77777777" w:rsidR="00E806DF" w:rsidRDefault="00E806DF" w:rsidP="005C23A4"/>
          <w:p w14:paraId="66F31B9D" w14:textId="75ABFF3F" w:rsidR="00E806DF" w:rsidRDefault="00E806DF" w:rsidP="005C23A4">
            <w:r w:rsidRPr="00280C0B">
              <w:rPr>
                <w:lang w:val="en-GB"/>
              </w:rPr>
              <w:t>-&gt;</w:t>
            </w:r>
            <w:r w:rsidRPr="00280C0B">
              <w:rPr>
                <w:lang w:val="en-GB"/>
              </w:rPr>
              <w:tab/>
              <w:t>In hard switch unchanged PCI scenario (</w:t>
            </w:r>
            <w:proofErr w:type="gramStart"/>
            <w:r w:rsidRPr="00280C0B">
              <w:rPr>
                <w:lang w:val="en-GB"/>
              </w:rPr>
              <w:t>i.e.</w:t>
            </w:r>
            <w:proofErr w:type="gramEnd"/>
            <w:r w:rsidRPr="00280C0B">
              <w:rPr>
                <w:lang w:val="en-GB"/>
              </w:rPr>
              <w:t xml:space="preserve"> no handover), the UE needs to know the time the UE attempts to re-synchronize. (FFS whether a new “t-Start” / a t-gap is needed or whether t-Service can be reused (</w:t>
            </w:r>
            <w:proofErr w:type="gramStart"/>
            <w:r w:rsidRPr="00280C0B">
              <w:rPr>
                <w:lang w:val="en-GB"/>
              </w:rPr>
              <w:t>i.e.</w:t>
            </w:r>
            <w:proofErr w:type="gramEnd"/>
            <w:r w:rsidRPr="00280C0B">
              <w:rPr>
                <w:lang w:val="en-GB"/>
              </w:rPr>
              <w:t xml:space="preserve"> no other IE) if the gap is very short/zero).</w:t>
            </w:r>
          </w:p>
        </w:tc>
      </w:tr>
    </w:tbl>
    <w:p w14:paraId="1B1F790E" w14:textId="5752E491" w:rsidR="005C23A4" w:rsidRPr="008C39F7" w:rsidRDefault="00E806DF" w:rsidP="005C23A4">
      <w:r>
        <w:t xml:space="preserve"> </w:t>
      </w:r>
    </w:p>
    <w:p w14:paraId="7505B2BE" w14:textId="21283ABA" w:rsidR="00E437D2" w:rsidRPr="008C39F7" w:rsidRDefault="00E806DF" w:rsidP="00E55751">
      <w:pPr>
        <w:pStyle w:val="RAN4proposal"/>
      </w:pPr>
      <w:bookmarkStart w:id="14" w:name="_Toc142669706"/>
      <w:r>
        <w:t>RAN4 to consider the timing advance requirements during the transition window between different satellites.</w:t>
      </w:r>
      <w:bookmarkEnd w:id="14"/>
      <w:r>
        <w:t xml:space="preserve"> </w:t>
      </w:r>
    </w:p>
    <w:p w14:paraId="76A72027" w14:textId="77777777" w:rsidR="00110481" w:rsidRPr="008C39F7" w:rsidRDefault="00110481" w:rsidP="005C23A4"/>
    <w:p w14:paraId="511B1712" w14:textId="77777777" w:rsidR="0060543D" w:rsidRPr="008C39F7" w:rsidRDefault="0060543D" w:rsidP="0060543D"/>
    <w:p w14:paraId="1750F338" w14:textId="77777777" w:rsidR="0060543D" w:rsidRPr="008C39F7" w:rsidRDefault="0060543D" w:rsidP="0060543D"/>
    <w:p w14:paraId="178F717B" w14:textId="77777777" w:rsidR="00CD7492" w:rsidRPr="008C39F7" w:rsidRDefault="00CD7492" w:rsidP="00A37002">
      <w:pPr>
        <w:pStyle w:val="RAN4H1"/>
      </w:pPr>
      <w:bookmarkStart w:id="15" w:name="_Toc116995848"/>
      <w:r w:rsidRPr="008C39F7">
        <w:t>Conclusion</w:t>
      </w:r>
      <w:bookmarkEnd w:id="15"/>
    </w:p>
    <w:p w14:paraId="75012FC1" w14:textId="30F35B32" w:rsidR="008B0961" w:rsidRDefault="00E806DF" w:rsidP="005C23A4">
      <w:r>
        <w:t xml:space="preserve">In this paper we have analyzed the mobility enhancements for </w:t>
      </w:r>
      <w:proofErr w:type="gramStart"/>
      <w:r>
        <w:t>NTN UEs, and</w:t>
      </w:r>
      <w:proofErr w:type="gramEnd"/>
      <w:r>
        <w:t xml:space="preserve"> have discussed the impact of such enhancements in RRM requirements. Based on this discussion, we make the following set of observations and proposals:</w:t>
      </w:r>
    </w:p>
    <w:p w14:paraId="7CDC9B34" w14:textId="0F2027F4" w:rsidR="00EF3DBE" w:rsidRDefault="00EF3DBE">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69699" w:history="1">
        <w:r w:rsidRPr="002072CF">
          <w:rPr>
            <w:rStyle w:val="Hyperlink"/>
          </w:rPr>
          <w:t>Observation 1: It is expected that the reference location on Earth Moving cells is moving and that the UE shall derive the trajectory.</w:t>
        </w:r>
      </w:hyperlink>
    </w:p>
    <w:p w14:paraId="363B0471" w14:textId="01A9F88E"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0" w:history="1">
        <w:r w:rsidRPr="002072CF">
          <w:rPr>
            <w:rStyle w:val="Hyperlink"/>
          </w:rPr>
          <w:t>Proposal 1: Define the location-based measurement initiation considering a moving reference location where the UE shall derive the trajectory based on satellite ephemeris and epoch Time. FFS on the mechanisms to be used for this derivation.</w:t>
        </w:r>
      </w:hyperlink>
    </w:p>
    <w:p w14:paraId="112621EB" w14:textId="520A5772"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1" w:history="1">
        <w:r w:rsidRPr="002072CF">
          <w:rPr>
            <w:rStyle w:val="Hyperlink"/>
          </w:rPr>
          <w:t>Proposal 2: In Rel-18, remove the limitation that requirements will only apply if  serving and neighbour cells belonging to the same satellite type, at least for cell reselection requirements.</w:t>
        </w:r>
      </w:hyperlink>
    </w:p>
    <w:p w14:paraId="7EEFF70E" w14:textId="5BEC2FBB"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2" w:history="1">
        <w:r w:rsidRPr="002072CF">
          <w:rPr>
            <w:rStyle w:val="Hyperlink"/>
          </w:rPr>
          <w:t>Proposal 3: Define requirements for the mobility from NTN to TN in the specifications (at least for bands below 10 GHz).</w:t>
        </w:r>
      </w:hyperlink>
    </w:p>
    <w:p w14:paraId="56E5C740" w14:textId="2A4C390C"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3" w:history="1">
        <w:r w:rsidRPr="002072CF">
          <w:rPr>
            <w:rStyle w:val="Hyperlink"/>
          </w:rPr>
          <w:t>Proposal 4: If a UE is provided with TN coverage information, and the UE is outside of the overlapping of the coverage areas configured by the network, the UE is not required to measure TN target cells. If the TN frequency is not in use by other NTN cells,  the UE is not required to measure this frequency, regardless of frequency priorities.</w:t>
        </w:r>
      </w:hyperlink>
    </w:p>
    <w:p w14:paraId="4819C322" w14:textId="1B0A7277"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4" w:history="1">
        <w:r w:rsidRPr="002072CF">
          <w:rPr>
            <w:rStyle w:val="Hyperlink"/>
          </w:rPr>
          <w:t>Proposal 5: Capture in TS 38.133 that when a cell is configured in a frequency band shared by TN and NTN, if satellite assistance information is NOT provided for a neighbour cell configured in SIB3/SIB4, UE assumes this is a TN neighbour cell and the specific requirements for NTN-&gt;TN cell reselection apply.</w:t>
        </w:r>
      </w:hyperlink>
    </w:p>
    <w:p w14:paraId="1F5FC3DF" w14:textId="002B34A2"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5" w:history="1">
        <w:r w:rsidRPr="002072CF">
          <w:rPr>
            <w:rStyle w:val="Hyperlink"/>
          </w:rPr>
          <w:t>Proposal 6: If the UE has to measure NTN and TN cells in the same frequency, update the description of K</w:t>
        </w:r>
        <w:r w:rsidRPr="002072CF">
          <w:rPr>
            <w:rStyle w:val="Hyperlink"/>
            <w:vertAlign w:val="subscript"/>
          </w:rPr>
          <w:t xml:space="preserve">SMTC </w:t>
        </w:r>
        <w:r w:rsidRPr="002072CF">
          <w:rPr>
            <w:rStyle w:val="Hyperlink"/>
          </w:rPr>
          <w:t>to accommodate for measurements over TN cells as well.</w:t>
        </w:r>
      </w:hyperlink>
    </w:p>
    <w:p w14:paraId="37EA17A8" w14:textId="469B1DB5" w:rsidR="00EF3DBE" w:rsidRDefault="00EF3DBE">
      <w:pPr>
        <w:pStyle w:val="TOC1"/>
        <w:rPr>
          <w:rFonts w:asciiTheme="minorHAnsi" w:eastAsiaTheme="minorEastAsia" w:hAnsiTheme="minorHAnsi"/>
          <w:b w:val="0"/>
          <w:iCs w:val="0"/>
          <w:kern w:val="2"/>
          <w:sz w:val="22"/>
          <w:lang w:val="en-GB" w:eastAsia="en-GB"/>
          <w14:ligatures w14:val="standardContextual"/>
        </w:rPr>
      </w:pPr>
      <w:hyperlink w:anchor="_Toc142669706" w:history="1">
        <w:r w:rsidRPr="002072CF">
          <w:rPr>
            <w:rStyle w:val="Hyperlink"/>
          </w:rPr>
          <w:t>Proposal 7: RAN4 to consider the timing advance requirements during the transition window between different satellites.</w:t>
        </w:r>
      </w:hyperlink>
    </w:p>
    <w:p w14:paraId="70CE908E" w14:textId="2A9A531C" w:rsidR="00E806DF" w:rsidRPr="008C39F7" w:rsidRDefault="00EF3DBE" w:rsidP="005C23A4">
      <w:r>
        <w:fldChar w:fldCharType="end"/>
      </w:r>
    </w:p>
    <w:p w14:paraId="3215B7A1" w14:textId="64FFDAD6" w:rsidR="00847264" w:rsidRPr="008C39F7" w:rsidRDefault="00847264" w:rsidP="008C39F7">
      <w:bookmarkStart w:id="16" w:name="_Toc116995849"/>
    </w:p>
    <w:p w14:paraId="06325D94" w14:textId="77777777" w:rsidR="003B659E" w:rsidRPr="008C39F7" w:rsidRDefault="003B659E" w:rsidP="0060543D">
      <w:pPr>
        <w:pStyle w:val="RAN4H1"/>
        <w:numPr>
          <w:ilvl w:val="0"/>
          <w:numId w:val="0"/>
        </w:numPr>
        <w:ind w:left="360" w:hanging="360"/>
      </w:pPr>
      <w:r w:rsidRPr="008C39F7">
        <w:t>References</w:t>
      </w:r>
      <w:bookmarkEnd w:id="16"/>
    </w:p>
    <w:p w14:paraId="1A853C1E"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17" w:name="_Ref114500673"/>
      <w:bookmarkStart w:id="18" w:name="_Ref54013899"/>
      <w:bookmarkStart w:id="19" w:name="_Ref141960737"/>
      <w:bookmarkEnd w:id="17"/>
      <w:r w:rsidRPr="00FD51CE">
        <w:t>RP-223534</w:t>
      </w:r>
      <w:r w:rsidRPr="00FF6B64">
        <w:t xml:space="preserve">, </w:t>
      </w:r>
      <w:bookmarkEnd w:id="18"/>
      <w:r w:rsidRPr="001D7FDE">
        <w:t>NR NTN (Non-Terrestrial Networks) enhancements</w:t>
      </w:r>
      <w:r>
        <w:t>, Thales</w:t>
      </w:r>
      <w:bookmarkEnd w:id="19"/>
    </w:p>
    <w:p w14:paraId="046004E6"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20" w:name="_Ref141279246"/>
      <w:r w:rsidRPr="00C07B05">
        <w:t>R4-2310168</w:t>
      </w:r>
      <w:r>
        <w:t xml:space="preserve">, </w:t>
      </w:r>
      <w:r w:rsidRPr="00C07B05">
        <w:rPr>
          <w:i/>
          <w:iCs/>
        </w:rPr>
        <w:t>WF on NR NTN enhancements RRM requirements</w:t>
      </w:r>
      <w:r>
        <w:t>, Qualcomm Incorporated, 3GPP WG RAN4 #107, Incheon</w:t>
      </w:r>
      <w:bookmarkEnd w:id="20"/>
      <w:r>
        <w:t xml:space="preserve"> </w:t>
      </w:r>
    </w:p>
    <w:p w14:paraId="72A88F4B"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21" w:name="_Ref134708583"/>
      <w:r w:rsidRPr="00D71116">
        <w:t>R4-2302998</w:t>
      </w:r>
      <w:r w:rsidRPr="00FF6B64">
        <w:t xml:space="preserve">, </w:t>
      </w:r>
      <w:r w:rsidRPr="00D71116">
        <w:rPr>
          <w:i/>
          <w:iCs/>
        </w:rPr>
        <w:t>WF for system parameters of above 10 GHz NTN band</w:t>
      </w:r>
      <w:r>
        <w:t>, Thales (Moderator)</w:t>
      </w:r>
      <w:bookmarkEnd w:id="21"/>
    </w:p>
    <w:p w14:paraId="478E22BD" w14:textId="77777777" w:rsidR="00031914" w:rsidRDefault="00031914" w:rsidP="00031914">
      <w:pPr>
        <w:numPr>
          <w:ilvl w:val="0"/>
          <w:numId w:val="21"/>
        </w:numPr>
        <w:overflowPunct w:val="0"/>
        <w:autoSpaceDE w:val="0"/>
        <w:autoSpaceDN w:val="0"/>
        <w:adjustRightInd w:val="0"/>
        <w:spacing w:after="0" w:line="240" w:lineRule="auto"/>
        <w:jc w:val="both"/>
        <w:textAlignment w:val="baseline"/>
      </w:pPr>
      <w:bookmarkStart w:id="22" w:name="_Ref141279468"/>
      <w:r w:rsidRPr="008863ED">
        <w:t>R4-2306169</w:t>
      </w:r>
      <w:r>
        <w:t xml:space="preserve">, </w:t>
      </w:r>
      <w:r w:rsidRPr="00C07B05">
        <w:rPr>
          <w:i/>
          <w:iCs/>
        </w:rPr>
        <w:t>WF on NR NTN enhancements RRM requirements</w:t>
      </w:r>
      <w:r>
        <w:t>, Qualcomm Incorporated, 3GPP WG RAN4#106-bis, electronic meeting</w:t>
      </w:r>
      <w:bookmarkEnd w:id="22"/>
    </w:p>
    <w:p w14:paraId="148C907D" w14:textId="68AEF1F5" w:rsidR="000040DC" w:rsidRPr="00847264" w:rsidRDefault="000040DC" w:rsidP="00EF3DBE">
      <w:pPr>
        <w:pStyle w:val="ListParagraph"/>
        <w:ind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56FF" w14:textId="77777777" w:rsidR="00604841" w:rsidRDefault="00604841" w:rsidP="00001C9B">
      <w:pPr>
        <w:spacing w:after="0" w:line="240" w:lineRule="auto"/>
      </w:pPr>
      <w:r>
        <w:separator/>
      </w:r>
    </w:p>
  </w:endnote>
  <w:endnote w:type="continuationSeparator" w:id="0">
    <w:p w14:paraId="3A6949B6" w14:textId="77777777" w:rsidR="00604841" w:rsidRDefault="0060484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BEAA" w14:textId="77777777" w:rsidR="00604841" w:rsidRDefault="00604841" w:rsidP="00001C9B">
      <w:pPr>
        <w:spacing w:after="0" w:line="240" w:lineRule="auto"/>
      </w:pPr>
      <w:r>
        <w:separator/>
      </w:r>
    </w:p>
  </w:footnote>
  <w:footnote w:type="continuationSeparator" w:id="0">
    <w:p w14:paraId="6F24C67C" w14:textId="77777777" w:rsidR="00604841" w:rsidRDefault="0060484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3F7B7F"/>
    <w:multiLevelType w:val="hybridMultilevel"/>
    <w:tmpl w:val="3A1C9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942677"/>
    <w:multiLevelType w:val="hybridMultilevel"/>
    <w:tmpl w:val="DF30D2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1F0375A"/>
    <w:multiLevelType w:val="hybridMultilevel"/>
    <w:tmpl w:val="494C6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8"/>
  </w:num>
  <w:num w:numId="3" w16cid:durableId="1792749823">
    <w:abstractNumId w:val="12"/>
  </w:num>
  <w:num w:numId="4" w16cid:durableId="517735681">
    <w:abstractNumId w:val="7"/>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3"/>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299697709">
    <w:abstractNumId w:val="18"/>
  </w:num>
  <w:num w:numId="28" w16cid:durableId="249850146">
    <w:abstractNumId w:val="15"/>
  </w:num>
  <w:num w:numId="29" w16cid:durableId="455176836">
    <w:abstractNumId w:val="4"/>
  </w:num>
  <w:num w:numId="30" w16cid:durableId="1254826386">
    <w:abstractNumId w:val="2"/>
  </w:num>
  <w:num w:numId="31" w16cid:durableId="13633584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430379"/>
    <w:rsid w:val="00001C9B"/>
    <w:rsid w:val="000040DC"/>
    <w:rsid w:val="00011784"/>
    <w:rsid w:val="000151EF"/>
    <w:rsid w:val="000239F5"/>
    <w:rsid w:val="00031914"/>
    <w:rsid w:val="00043DBC"/>
    <w:rsid w:val="0008612A"/>
    <w:rsid w:val="00090E18"/>
    <w:rsid w:val="000A10BC"/>
    <w:rsid w:val="000A62C5"/>
    <w:rsid w:val="000B0056"/>
    <w:rsid w:val="000B6C2A"/>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E30F6"/>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7FEC"/>
    <w:rsid w:val="003509DF"/>
    <w:rsid w:val="00356F45"/>
    <w:rsid w:val="00366B74"/>
    <w:rsid w:val="00381849"/>
    <w:rsid w:val="00397E0C"/>
    <w:rsid w:val="003A710A"/>
    <w:rsid w:val="003B659E"/>
    <w:rsid w:val="003C275E"/>
    <w:rsid w:val="003C4FDE"/>
    <w:rsid w:val="003E58DF"/>
    <w:rsid w:val="00404C4C"/>
    <w:rsid w:val="0041423F"/>
    <w:rsid w:val="00414F81"/>
    <w:rsid w:val="00421A2B"/>
    <w:rsid w:val="00430379"/>
    <w:rsid w:val="00436A0F"/>
    <w:rsid w:val="00437150"/>
    <w:rsid w:val="0043750A"/>
    <w:rsid w:val="00447577"/>
    <w:rsid w:val="004732E9"/>
    <w:rsid w:val="004854BB"/>
    <w:rsid w:val="00494493"/>
    <w:rsid w:val="00496606"/>
    <w:rsid w:val="004E5E66"/>
    <w:rsid w:val="004E7ADB"/>
    <w:rsid w:val="004F3940"/>
    <w:rsid w:val="00503B4D"/>
    <w:rsid w:val="00504EE9"/>
    <w:rsid w:val="00505053"/>
    <w:rsid w:val="00521576"/>
    <w:rsid w:val="005250E6"/>
    <w:rsid w:val="00525C99"/>
    <w:rsid w:val="00542D23"/>
    <w:rsid w:val="0054442C"/>
    <w:rsid w:val="00550285"/>
    <w:rsid w:val="00562492"/>
    <w:rsid w:val="00572A20"/>
    <w:rsid w:val="005836F8"/>
    <w:rsid w:val="005918FA"/>
    <w:rsid w:val="00592A86"/>
    <w:rsid w:val="005B4801"/>
    <w:rsid w:val="005B6F0E"/>
    <w:rsid w:val="005C23A4"/>
    <w:rsid w:val="005D1CDF"/>
    <w:rsid w:val="005D2BB7"/>
    <w:rsid w:val="005E61A8"/>
    <w:rsid w:val="005F6419"/>
    <w:rsid w:val="00604841"/>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D4B7B"/>
    <w:rsid w:val="007F54B9"/>
    <w:rsid w:val="00806A76"/>
    <w:rsid w:val="00811C9D"/>
    <w:rsid w:val="00816C80"/>
    <w:rsid w:val="00841BCD"/>
    <w:rsid w:val="00847264"/>
    <w:rsid w:val="00851A8E"/>
    <w:rsid w:val="0085365B"/>
    <w:rsid w:val="008826C1"/>
    <w:rsid w:val="00883DFD"/>
    <w:rsid w:val="008A1BF7"/>
    <w:rsid w:val="008A5B0E"/>
    <w:rsid w:val="008B0961"/>
    <w:rsid w:val="008C39F7"/>
    <w:rsid w:val="008D4FB9"/>
    <w:rsid w:val="0090091A"/>
    <w:rsid w:val="009042BD"/>
    <w:rsid w:val="00904FE4"/>
    <w:rsid w:val="00936159"/>
    <w:rsid w:val="00977E1D"/>
    <w:rsid w:val="009B0573"/>
    <w:rsid w:val="009B7B4B"/>
    <w:rsid w:val="009B7C21"/>
    <w:rsid w:val="00A04992"/>
    <w:rsid w:val="00A147AA"/>
    <w:rsid w:val="00A21D71"/>
    <w:rsid w:val="00A22B78"/>
    <w:rsid w:val="00A25AE5"/>
    <w:rsid w:val="00A37002"/>
    <w:rsid w:val="00A4355E"/>
    <w:rsid w:val="00A46DD5"/>
    <w:rsid w:val="00A520D9"/>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A6B66"/>
    <w:rsid w:val="00BA6E48"/>
    <w:rsid w:val="00BE0AF6"/>
    <w:rsid w:val="00BE1F03"/>
    <w:rsid w:val="00BE58A7"/>
    <w:rsid w:val="00BF2218"/>
    <w:rsid w:val="00C0426B"/>
    <w:rsid w:val="00C045DF"/>
    <w:rsid w:val="00C26D43"/>
    <w:rsid w:val="00C3569E"/>
    <w:rsid w:val="00C36D89"/>
    <w:rsid w:val="00C46548"/>
    <w:rsid w:val="00C574D5"/>
    <w:rsid w:val="00C73F32"/>
    <w:rsid w:val="00C87462"/>
    <w:rsid w:val="00C91873"/>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10BC4"/>
    <w:rsid w:val="00E1415D"/>
    <w:rsid w:val="00E323E9"/>
    <w:rsid w:val="00E34018"/>
    <w:rsid w:val="00E437D2"/>
    <w:rsid w:val="00E55751"/>
    <w:rsid w:val="00E806DF"/>
    <w:rsid w:val="00EA2311"/>
    <w:rsid w:val="00EC34B5"/>
    <w:rsid w:val="00EC7BC3"/>
    <w:rsid w:val="00ED7600"/>
    <w:rsid w:val="00EF3DBE"/>
    <w:rsid w:val="00EF6073"/>
    <w:rsid w:val="00EF698B"/>
    <w:rsid w:val="00F1362C"/>
    <w:rsid w:val="00F14AA1"/>
    <w:rsid w:val="00F367CA"/>
    <w:rsid w:val="00F414F1"/>
    <w:rsid w:val="00F508B8"/>
    <w:rsid w:val="00F72CB1"/>
    <w:rsid w:val="00F8215E"/>
    <w:rsid w:val="00F824F5"/>
    <w:rsid w:val="00F90FAB"/>
    <w:rsid w:val="00F9374D"/>
    <w:rsid w:val="00FC29B9"/>
    <w:rsid w:val="00FC6FD3"/>
    <w:rsid w:val="00FD3B2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80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FB9"/>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F3DBE"/>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arlett" w:hAnsi="Marlet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semiHidden/>
    <w:qFormat/>
    <w:locked/>
    <w:rsid w:val="00525C99"/>
    <w:rPr>
      <w:rFonts w:ascii="Arial" w:eastAsia="Times New Roman" w:hAnsi="Arial" w:cs="Times New Roman"/>
      <w:sz w:val="28"/>
      <w:szCs w:val="20"/>
      <w:lang w:val="en-GB" w:eastAsia="en-GB"/>
    </w:rPr>
  </w:style>
  <w:style w:type="character" w:customStyle="1" w:styleId="normaltextrun">
    <w:name w:val="normaltextrun"/>
    <w:basedOn w:val="DefaultParagraphFont"/>
    <w:rsid w:val="007D4B7B"/>
  </w:style>
  <w:style w:type="paragraph" w:styleId="Header">
    <w:name w:val="header"/>
    <w:basedOn w:val="Normal"/>
    <w:link w:val="HeaderChar"/>
    <w:uiPriority w:val="99"/>
    <w:unhideWhenUsed/>
    <w:rsid w:val="000B6C2A"/>
    <w:pPr>
      <w:tabs>
        <w:tab w:val="center" w:pos="4819"/>
        <w:tab w:val="right" w:pos="9638"/>
      </w:tabs>
      <w:spacing w:after="0" w:line="240" w:lineRule="auto"/>
    </w:pPr>
  </w:style>
  <w:style w:type="character" w:customStyle="1" w:styleId="HeaderChar">
    <w:name w:val="Header Char"/>
    <w:basedOn w:val="DefaultParagraphFont"/>
    <w:link w:val="Header"/>
    <w:uiPriority w:val="99"/>
    <w:rsid w:val="000B6C2A"/>
    <w:rPr>
      <w:rFonts w:ascii="Times New Roman" w:hAnsi="Times New Roman"/>
      <w:sz w:val="20"/>
    </w:rPr>
  </w:style>
  <w:style w:type="paragraph" w:styleId="Footer">
    <w:name w:val="footer"/>
    <w:basedOn w:val="Normal"/>
    <w:link w:val="FooterChar"/>
    <w:uiPriority w:val="99"/>
    <w:unhideWhenUsed/>
    <w:rsid w:val="000B6C2A"/>
    <w:pPr>
      <w:tabs>
        <w:tab w:val="center" w:pos="4819"/>
        <w:tab w:val="right" w:pos="9638"/>
      </w:tabs>
      <w:spacing w:after="0" w:line="240" w:lineRule="auto"/>
    </w:pPr>
  </w:style>
  <w:style w:type="character" w:customStyle="1" w:styleId="FooterChar">
    <w:name w:val="Footer Char"/>
    <w:basedOn w:val="DefaultParagraphFont"/>
    <w:link w:val="Footer"/>
    <w:uiPriority w:val="99"/>
    <w:rsid w:val="000B6C2A"/>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154762">
      <w:bodyDiv w:val="1"/>
      <w:marLeft w:val="0"/>
      <w:marRight w:val="0"/>
      <w:marTop w:val="0"/>
      <w:marBottom w:val="0"/>
      <w:divBdr>
        <w:top w:val="none" w:sz="0" w:space="0" w:color="auto"/>
        <w:left w:val="none" w:sz="0" w:space="0" w:color="auto"/>
        <w:bottom w:val="none" w:sz="0" w:space="0" w:color="auto"/>
        <w:right w:val="none" w:sz="0" w:space="0" w:color="auto"/>
      </w:divBdr>
    </w:div>
    <w:div w:id="1552228409">
      <w:bodyDiv w:val="1"/>
      <w:marLeft w:val="0"/>
      <w:marRight w:val="0"/>
      <w:marTop w:val="0"/>
      <w:marBottom w:val="0"/>
      <w:divBdr>
        <w:top w:val="none" w:sz="0" w:space="0" w:color="auto"/>
        <w:left w:val="none" w:sz="0" w:space="0" w:color="auto"/>
        <w:bottom w:val="none" w:sz="0" w:space="0" w:color="auto"/>
        <w:right w:val="none" w:sz="0" w:space="0" w:color="auto"/>
      </w:divBdr>
    </w:div>
    <w:div w:id="1883051584">
      <w:bodyDiv w:val="1"/>
      <w:marLeft w:val="0"/>
      <w:marRight w:val="0"/>
      <w:marTop w:val="0"/>
      <w:marBottom w:val="0"/>
      <w:divBdr>
        <w:top w:val="none" w:sz="0" w:space="0" w:color="auto"/>
        <w:left w:val="none" w:sz="0" w:space="0" w:color="auto"/>
        <w:bottom w:val="none" w:sz="0" w:space="0" w:color="auto"/>
        <w:right w:val="none" w:sz="0" w:space="0" w:color="auto"/>
      </w:divBdr>
    </w:div>
    <w:div w:id="2088457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1891</Words>
  <Characters>10783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2023-08-11T16:13:00Z</dcterms:created>
  <dcterms:modified xsi:type="dcterms:W3CDTF">2023-08-11T16:13:00Z</dcterms:modified>
</cp:coreProperties>
</file>