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CB935" w14:textId="6679896F"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884953" w:rsidRPr="00884953">
        <w:rPr>
          <w:rFonts w:ascii="Arial" w:eastAsia="SimSun" w:hAnsi="Arial" w:cs="Times New Roman"/>
          <w:b/>
          <w:bCs/>
          <w:sz w:val="24"/>
          <w:szCs w:val="20"/>
          <w:lang w:eastAsia="ja-JP"/>
        </w:rPr>
        <w:t>R4-2313425</w:t>
      </w:r>
    </w:p>
    <w:p w14:paraId="10EA087D" w14:textId="77777777" w:rsidR="00841BCD" w:rsidRPr="008C39F7" w:rsidRDefault="003509D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7D545BE7"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856AB79"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1FFD12DB" w14:textId="2A133DF7"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321F34">
        <w:rPr>
          <w:rFonts w:ascii="Arial" w:eastAsia="Calibri" w:hAnsi="Arial" w:cs="Arial"/>
          <w:b/>
          <w:bCs/>
          <w:sz w:val="24"/>
        </w:rPr>
        <w:t>Discussion on updating the RX-TX measurements for NTN</w:t>
      </w:r>
    </w:p>
    <w:p w14:paraId="4AC9237D" w14:textId="549A60E5" w:rsidR="00841BCD" w:rsidRPr="00321F34" w:rsidRDefault="00841BCD" w:rsidP="00841BCD">
      <w:pPr>
        <w:tabs>
          <w:tab w:val="left" w:pos="1985"/>
        </w:tabs>
        <w:spacing w:after="120" w:line="240" w:lineRule="auto"/>
        <w:rPr>
          <w:rFonts w:ascii="Arial" w:eastAsia="MS Mincho" w:hAnsi="Arial" w:cs="Arial"/>
          <w:b/>
          <w:bCs/>
          <w:sz w:val="24"/>
          <w:szCs w:val="20"/>
          <w:lang w:val="pt-BR"/>
        </w:rPr>
      </w:pPr>
      <w:r w:rsidRPr="00321F34">
        <w:rPr>
          <w:rFonts w:ascii="Arial" w:eastAsia="MS Mincho" w:hAnsi="Arial" w:cs="Arial"/>
          <w:b/>
          <w:bCs/>
          <w:sz w:val="24"/>
          <w:szCs w:val="20"/>
          <w:lang w:val="pt-BR"/>
        </w:rPr>
        <w:t>Agenda item:</w:t>
      </w:r>
      <w:r w:rsidRPr="00321F34">
        <w:rPr>
          <w:rFonts w:ascii="Arial" w:eastAsia="MS Mincho" w:hAnsi="Arial" w:cs="Arial"/>
          <w:b/>
          <w:bCs/>
          <w:sz w:val="24"/>
          <w:szCs w:val="20"/>
          <w:lang w:val="pt-BR"/>
        </w:rPr>
        <w:tab/>
      </w:r>
      <w:r w:rsidR="00321F34">
        <w:rPr>
          <w:rFonts w:ascii="Arial" w:eastAsia="MS Mincho" w:hAnsi="Arial" w:cs="Arial"/>
          <w:b/>
          <w:bCs/>
          <w:sz w:val="24"/>
          <w:szCs w:val="20"/>
          <w:lang w:val="pt-BR"/>
        </w:rPr>
        <w:t>8.26.5.</w:t>
      </w:r>
      <w:r w:rsidR="00FD5D0D">
        <w:rPr>
          <w:rFonts w:ascii="Arial" w:eastAsia="MS Mincho" w:hAnsi="Arial" w:cs="Arial"/>
          <w:b/>
          <w:bCs/>
          <w:sz w:val="24"/>
          <w:szCs w:val="20"/>
          <w:lang w:val="pt-BR"/>
        </w:rPr>
        <w:t>2</w:t>
      </w:r>
    </w:p>
    <w:p w14:paraId="21635AA3"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7B98EC17" w14:textId="77777777" w:rsidR="00E323E9" w:rsidRPr="008C39F7" w:rsidRDefault="00E323E9" w:rsidP="00841BCD">
      <w:pPr>
        <w:tabs>
          <w:tab w:val="left" w:pos="1985"/>
        </w:tabs>
        <w:rPr>
          <w:rFonts w:ascii="Arial" w:eastAsia="Calibri" w:hAnsi="Arial" w:cs="Arial"/>
          <w:b/>
          <w:bCs/>
          <w:sz w:val="24"/>
        </w:rPr>
      </w:pPr>
    </w:p>
    <w:p w14:paraId="34A61622"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8F39EC1" w14:textId="695CD89B" w:rsidR="00321F34" w:rsidRPr="008C39F7" w:rsidRDefault="00321F34" w:rsidP="00321F34">
      <w:r w:rsidRPr="00031914">
        <w:t xml:space="preserve">The NTN WI, as presented in [1], includes </w:t>
      </w:r>
      <w:r>
        <w:t>objectives for the NTN enhancements in Rel-18, including the introduction of a feature of network verified UE location.:</w:t>
      </w:r>
    </w:p>
    <w:p w14:paraId="051E05E5" w14:textId="77777777" w:rsidR="00321F34" w:rsidRDefault="00321F34" w:rsidP="00321F34"/>
    <w:tbl>
      <w:tblPr>
        <w:tblStyle w:val="TableGrid"/>
        <w:tblW w:w="0" w:type="auto"/>
        <w:jc w:val="center"/>
        <w:tblLook w:val="04A0" w:firstRow="1" w:lastRow="0" w:firstColumn="1" w:lastColumn="0" w:noHBand="0" w:noVBand="1"/>
      </w:tblPr>
      <w:tblGrid>
        <w:gridCol w:w="9000"/>
      </w:tblGrid>
      <w:tr w:rsidR="00321F34" w:rsidRPr="008C39F7" w14:paraId="2FB3923E" w14:textId="77777777">
        <w:trPr>
          <w:jc w:val="center"/>
        </w:trPr>
        <w:tc>
          <w:tcPr>
            <w:tcW w:w="9000" w:type="dxa"/>
          </w:tcPr>
          <w:p w14:paraId="34BE544C" w14:textId="77777777" w:rsidR="00321F34" w:rsidRDefault="00321F34" w:rsidP="00321F34">
            <w:pPr>
              <w:rPr>
                <w:bCs/>
              </w:rPr>
            </w:pPr>
            <w:r>
              <w:rPr>
                <w:bCs/>
              </w:rPr>
              <w:t>4.1.3</w:t>
            </w:r>
            <w:r>
              <w:rPr>
                <w:bCs/>
              </w:rPr>
              <w:tab/>
              <w:t>Network verified UE location</w:t>
            </w:r>
          </w:p>
          <w:p w14:paraId="04B4A55B" w14:textId="77777777" w:rsidR="00321F34" w:rsidRDefault="00321F34" w:rsidP="00321F34">
            <w:pPr>
              <w:rPr>
                <w:bCs/>
              </w:rPr>
            </w:pPr>
          </w:p>
          <w:p w14:paraId="21383AF3" w14:textId="77777777" w:rsidR="00321F34" w:rsidRDefault="00321F34" w:rsidP="00321F34">
            <w:pPr>
              <w:rPr>
                <w:bCs/>
                <w:highlight w:val="yellow"/>
              </w:rPr>
            </w:pPr>
          </w:p>
          <w:p w14:paraId="053A3A2C" w14:textId="77777777" w:rsidR="00321F34" w:rsidRDefault="00321F34" w:rsidP="00321F34">
            <w:pPr>
              <w:rPr>
                <w:bCs/>
              </w:rPr>
            </w:pPr>
            <w:r>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14:paraId="25D65ED0" w14:textId="77777777" w:rsidR="00321F34" w:rsidRDefault="00321F34" w:rsidP="00321F34">
            <w:pPr>
              <w:rPr>
                <w:bCs/>
              </w:rPr>
            </w:pPr>
          </w:p>
          <w:p w14:paraId="2C000736" w14:textId="77777777" w:rsidR="00321F34" w:rsidRDefault="00321F34" w:rsidP="00321F34">
            <w:pPr>
              <w:rPr>
                <w:bCs/>
              </w:rPr>
            </w:pPr>
            <w:r>
              <w:rPr>
                <w:bCs/>
              </w:rPr>
              <w:t>Note 1: Enhancements assume reuse of the RAT dependent positioning framework</w:t>
            </w:r>
          </w:p>
          <w:p w14:paraId="18217E8F" w14:textId="77777777" w:rsidR="00321F34" w:rsidRDefault="00321F34" w:rsidP="00321F34">
            <w:pPr>
              <w:rPr>
                <w:bCs/>
              </w:rPr>
            </w:pPr>
            <w:r>
              <w:rPr>
                <w:bCs/>
              </w:rPr>
              <w:t>Note 2: The specification of DL-TDOA enhancements will be subject to the study of the impact of realistic UE clock drift onto DL-TDOA performance</w:t>
            </w:r>
          </w:p>
          <w:p w14:paraId="5800E28E" w14:textId="77777777" w:rsidR="00321F34" w:rsidRDefault="00321F34" w:rsidP="00321F34">
            <w:pPr>
              <w:rPr>
                <w:bCs/>
              </w:rPr>
            </w:pPr>
            <w:r>
              <w:rPr>
                <w:bCs/>
              </w:rPr>
              <w:t>Note 3: The target accuracy for position verification purposes is as documented in clause « recommendations » of the 3GPP TR 38.882 (i.e. 10 km granularity)</w:t>
            </w:r>
          </w:p>
          <w:p w14:paraId="35003AAD" w14:textId="77777777" w:rsidR="00321F34" w:rsidRDefault="00321F34" w:rsidP="00321F34">
            <w:pPr>
              <w:rPr>
                <w:bCs/>
              </w:rPr>
            </w:pPr>
            <w:r>
              <w:rPr>
                <w:bCs/>
              </w:rPr>
              <w:t>Note 4 : Multiple satellite in view by the UE may be considered if time allows</w:t>
            </w:r>
          </w:p>
          <w:p w14:paraId="64D7D790" w14:textId="77777777" w:rsidR="00321F34" w:rsidRDefault="00321F34" w:rsidP="00321F34">
            <w:pPr>
              <w:rPr>
                <w:bCs/>
              </w:rPr>
            </w:pPr>
            <w:r>
              <w:rPr>
                <w:bCs/>
              </w:rPr>
              <w:t>Note 5 : The enhancements may be subject to relevant SA WGs (e.g. SA3/SA3-LI) feedbacks on the reliability of UE reports involved</w:t>
            </w:r>
          </w:p>
          <w:p w14:paraId="47758B8D" w14:textId="77777777" w:rsidR="00321F34" w:rsidRDefault="00321F34" w:rsidP="00321F34">
            <w:pPr>
              <w:rPr>
                <w:bCs/>
              </w:rPr>
            </w:pPr>
            <w:r>
              <w:rPr>
                <w:bCs/>
              </w:rPr>
              <w:t>Note 6 : The enhancements should take into account the mirror-image ambiguity</w:t>
            </w:r>
          </w:p>
          <w:p w14:paraId="03776AB5" w14:textId="77777777" w:rsidR="00321F34" w:rsidRDefault="00321F34" w:rsidP="00321F34">
            <w:pPr>
              <w:rPr>
                <w:bCs/>
              </w:rPr>
            </w:pPr>
            <w:r>
              <w:rPr>
                <w:bCs/>
              </w:rPr>
              <w:t>Note 7 : Network verified UE location is an optional UE feature</w:t>
            </w:r>
          </w:p>
          <w:p w14:paraId="1FC6FBB8" w14:textId="77777777" w:rsidR="00321F34" w:rsidRPr="008C39F7" w:rsidRDefault="00321F34"/>
        </w:tc>
      </w:tr>
    </w:tbl>
    <w:p w14:paraId="16FE2A8B" w14:textId="77777777" w:rsidR="00321F34" w:rsidRPr="008C39F7" w:rsidRDefault="00321F34" w:rsidP="00321F34"/>
    <w:p w14:paraId="2FB2DE0E" w14:textId="4C65F6FD" w:rsidR="00321F34" w:rsidRPr="008C39F7" w:rsidRDefault="00321F34" w:rsidP="00321F34">
      <w:r>
        <w:t xml:space="preserve">Besides, in previous meetings, RAN4 has initiated the discussion on the topic </w:t>
      </w:r>
      <w:r>
        <w:fldChar w:fldCharType="begin"/>
      </w:r>
      <w:r>
        <w:instrText xml:space="preserve"> REF _Ref141279246 \r \h </w:instrText>
      </w:r>
      <w:r>
        <w:fldChar w:fldCharType="separate"/>
      </w:r>
      <w:r>
        <w:t>[2]</w:t>
      </w:r>
      <w:r>
        <w:fldChar w:fldCharType="end"/>
      </w:r>
      <w:r>
        <w:t xml:space="preserve">, and it has been agreed to analyze whether the requirements applicable for the round trip time measurement at the UE side are to be updated for NTN applications: </w:t>
      </w:r>
    </w:p>
    <w:p w14:paraId="00C12430" w14:textId="77777777" w:rsidR="0060543D" w:rsidRDefault="0060543D" w:rsidP="005C23A4"/>
    <w:tbl>
      <w:tblPr>
        <w:tblStyle w:val="TableGrid"/>
        <w:tblW w:w="0" w:type="auto"/>
        <w:jc w:val="center"/>
        <w:tblLook w:val="04A0" w:firstRow="1" w:lastRow="0" w:firstColumn="1" w:lastColumn="0" w:noHBand="0" w:noVBand="1"/>
      </w:tblPr>
      <w:tblGrid>
        <w:gridCol w:w="9000"/>
      </w:tblGrid>
      <w:tr w:rsidR="00A520D9" w:rsidRPr="008C39F7" w14:paraId="746CCA27" w14:textId="77777777">
        <w:trPr>
          <w:jc w:val="center"/>
        </w:trPr>
        <w:tc>
          <w:tcPr>
            <w:tcW w:w="9000" w:type="dxa"/>
          </w:tcPr>
          <w:p w14:paraId="7C57971D" w14:textId="77777777" w:rsidR="00321F34" w:rsidRDefault="00321F34" w:rsidP="00321F34">
            <w:pPr>
              <w:spacing w:after="120" w:line="252" w:lineRule="auto"/>
              <w:ind w:firstLine="284"/>
              <w:rPr>
                <w:b/>
                <w:bCs/>
                <w:u w:val="single"/>
                <w:lang w:eastAsia="ja-JP"/>
              </w:rPr>
            </w:pPr>
            <w:r>
              <w:rPr>
                <w:b/>
                <w:bCs/>
                <w:u w:val="single"/>
                <w:lang w:eastAsia="ja-JP"/>
              </w:rPr>
              <w:t>Agreement:</w:t>
            </w:r>
          </w:p>
          <w:p w14:paraId="474D2A99" w14:textId="77777777" w:rsidR="00321F34" w:rsidRDefault="00321F34" w:rsidP="00321F34">
            <w:pPr>
              <w:pStyle w:val="ListParagraph"/>
              <w:numPr>
                <w:ilvl w:val="0"/>
                <w:numId w:val="28"/>
              </w:numPr>
              <w:autoSpaceDN w:val="0"/>
              <w:spacing w:after="120" w:line="252" w:lineRule="auto"/>
              <w:ind w:left="644"/>
              <w:contextualSpacing w:val="0"/>
              <w:rPr>
                <w:lang w:eastAsia="ja-JP"/>
              </w:rPr>
            </w:pPr>
            <w:r>
              <w:rPr>
                <w:lang w:eastAsia="ja-JP"/>
              </w:rPr>
              <w:t>FFS: RAN4 to define measurement period and accuracy requirements for UE Rx-Tx measurement</w:t>
            </w:r>
          </w:p>
          <w:p w14:paraId="7667FB2F" w14:textId="77777777" w:rsidR="00321F34" w:rsidRDefault="00321F34" w:rsidP="00321F34">
            <w:pPr>
              <w:pStyle w:val="ListParagraph"/>
              <w:numPr>
                <w:ilvl w:val="1"/>
                <w:numId w:val="28"/>
              </w:numPr>
              <w:autoSpaceDN w:val="0"/>
              <w:spacing w:after="120" w:line="252" w:lineRule="auto"/>
              <w:ind w:left="1364"/>
              <w:contextualSpacing w:val="0"/>
              <w:rPr>
                <w:lang w:eastAsia="ja-JP"/>
              </w:rPr>
            </w:pPr>
            <w:r>
              <w:rPr>
                <w:lang w:eastAsia="ja-JP"/>
              </w:rPr>
              <w:t>Existing TN requirements can be used as baseline, e.g. 9.9.4.6 Measurement Period Requirements without Measurement Gaps</w:t>
            </w:r>
          </w:p>
          <w:p w14:paraId="0E1C1E7B" w14:textId="77777777" w:rsidR="00321F34" w:rsidRDefault="00321F34" w:rsidP="00321F34">
            <w:pPr>
              <w:pStyle w:val="ListParagraph"/>
              <w:numPr>
                <w:ilvl w:val="1"/>
                <w:numId w:val="28"/>
              </w:numPr>
              <w:autoSpaceDN w:val="0"/>
              <w:spacing w:after="120" w:line="252" w:lineRule="auto"/>
              <w:ind w:left="1364"/>
              <w:contextualSpacing w:val="0"/>
              <w:rPr>
                <w:lang w:eastAsia="ja-JP"/>
              </w:rPr>
            </w:pPr>
            <w:r>
              <w:rPr>
                <w:lang w:eastAsia="ja-JP"/>
              </w:rPr>
              <w:t>NTN specific aspects including necessary side conditions, if any, will be further discussed based on RAN1 progress</w:t>
            </w:r>
          </w:p>
          <w:p w14:paraId="6E029721" w14:textId="77777777" w:rsidR="00A520D9" w:rsidRPr="008C39F7" w:rsidRDefault="00A520D9"/>
        </w:tc>
      </w:tr>
    </w:tbl>
    <w:p w14:paraId="0C9437D4" w14:textId="77777777" w:rsidR="00A520D9" w:rsidRPr="008C39F7" w:rsidRDefault="00A520D9" w:rsidP="005C23A4"/>
    <w:p w14:paraId="2D2E64A8" w14:textId="600548A0" w:rsidR="0060543D" w:rsidRPr="008C39F7" w:rsidRDefault="00321F34" w:rsidP="005C23A4">
      <w:r>
        <w:t>This contribution aims at some of the open issues discussed in previous RAN4 meeting and to specify requirements to cover some of the RAN1 decisions on this topic.</w:t>
      </w:r>
    </w:p>
    <w:p w14:paraId="67D8540D" w14:textId="77777777" w:rsidR="003B659E" w:rsidRPr="008C39F7" w:rsidRDefault="003B659E" w:rsidP="00AE56B1">
      <w:pPr>
        <w:pStyle w:val="RAN4H1"/>
      </w:pPr>
      <w:bookmarkStart w:id="4" w:name="_Toc116995842"/>
      <w:r w:rsidRPr="008C39F7">
        <w:lastRenderedPageBreak/>
        <w:t>Discussion</w:t>
      </w:r>
      <w:bookmarkEnd w:id="4"/>
    </w:p>
    <w:p w14:paraId="4B984074" w14:textId="36FD1789" w:rsidR="006F6447" w:rsidRDefault="00321F34" w:rsidP="00300956">
      <w:pPr>
        <w:rPr>
          <w:iCs/>
        </w:rPr>
      </w:pPr>
      <w:r>
        <w:t>Regarding the network verified UE location, it has been agreed by RAN1 that the baseline is the multi-round trip time measurement, which is measured and reported by the UE side, upon assistance of the network side. This is a re-utilization of a known concept previously used in terrestrial networks (</w:t>
      </w:r>
      <w:r w:rsidR="006F6447">
        <w:rPr>
          <w:i/>
        </w:rPr>
        <w:t>NR-Multi-RTT</w:t>
      </w:r>
      <w:r w:rsidR="006F6447">
        <w:rPr>
          <w:iCs/>
        </w:rPr>
        <w:t xml:space="preserve">). </w:t>
      </w:r>
    </w:p>
    <w:p w14:paraId="17B8FCBD" w14:textId="18C285FF" w:rsidR="006F6447" w:rsidRDefault="006F6447" w:rsidP="00300956">
      <w:pPr>
        <w:rPr>
          <w:iCs/>
        </w:rPr>
      </w:pPr>
      <w:r>
        <w:rPr>
          <w:iCs/>
        </w:rPr>
        <w:t>For much of the work in RAN1, there was limited progress about some of the functionalities of this feature and their adaptation for working in a NTN environment, due to different views by the working companies. A handful of candidate solutions had been identified, but no formal decision was made about the options to be pursued</w:t>
      </w:r>
      <w:r w:rsidR="004E76E4">
        <w:rPr>
          <w:iCs/>
        </w:rPr>
        <w:t xml:space="preserve"> </w:t>
      </w:r>
      <w:r w:rsidR="004E76E4">
        <w:rPr>
          <w:iCs/>
        </w:rPr>
        <w:fldChar w:fldCharType="begin"/>
      </w:r>
      <w:r w:rsidR="004E76E4">
        <w:rPr>
          <w:iCs/>
        </w:rPr>
        <w:instrText xml:space="preserve"> REF _Ref142051606 \r \h </w:instrText>
      </w:r>
      <w:r w:rsidR="004E76E4">
        <w:rPr>
          <w:iCs/>
        </w:rPr>
      </w:r>
      <w:r w:rsidR="004E76E4">
        <w:rPr>
          <w:iCs/>
        </w:rPr>
        <w:fldChar w:fldCharType="separate"/>
      </w:r>
      <w:r w:rsidR="004E76E4">
        <w:rPr>
          <w:iCs/>
        </w:rPr>
        <w:t>[3]</w:t>
      </w:r>
      <w:r w:rsidR="004E76E4">
        <w:rPr>
          <w:iCs/>
        </w:rPr>
        <w:fldChar w:fldCharType="end"/>
      </w:r>
      <w:r w:rsidR="004E76E4">
        <w:rPr>
          <w:iCs/>
        </w:rPr>
        <w:t xml:space="preserve">. The lack of progress was brought to plenary that has decided to limit the scope of the discussion of the WID by endorsing the following proposal </w:t>
      </w:r>
      <w:r w:rsidR="004E76E4">
        <w:rPr>
          <w:iCs/>
        </w:rPr>
        <w:fldChar w:fldCharType="begin"/>
      </w:r>
      <w:r w:rsidR="004E76E4">
        <w:rPr>
          <w:iCs/>
        </w:rPr>
        <w:instrText xml:space="preserve"> REF _Ref142051832 \r \h </w:instrText>
      </w:r>
      <w:r w:rsidR="004E76E4">
        <w:rPr>
          <w:iCs/>
        </w:rPr>
      </w:r>
      <w:r w:rsidR="004E76E4">
        <w:rPr>
          <w:iCs/>
        </w:rPr>
        <w:fldChar w:fldCharType="separate"/>
      </w:r>
      <w:r w:rsidR="004E76E4">
        <w:rPr>
          <w:iCs/>
        </w:rPr>
        <w:t>[4]</w:t>
      </w:r>
      <w:r w:rsidR="004E76E4">
        <w:rPr>
          <w:iCs/>
        </w:rPr>
        <w:fldChar w:fldCharType="end"/>
      </w:r>
      <w:r w:rsidR="004E76E4">
        <w:rPr>
          <w:iCs/>
        </w:rPr>
        <w:t>:</w:t>
      </w:r>
    </w:p>
    <w:tbl>
      <w:tblPr>
        <w:tblStyle w:val="TableGrid"/>
        <w:tblW w:w="0" w:type="auto"/>
        <w:tblLook w:val="04A0" w:firstRow="1" w:lastRow="0" w:firstColumn="1" w:lastColumn="0" w:noHBand="0" w:noVBand="1"/>
      </w:tblPr>
      <w:tblGrid>
        <w:gridCol w:w="9617"/>
      </w:tblGrid>
      <w:tr w:rsidR="006F6447" w14:paraId="78A5EEBD" w14:textId="77777777" w:rsidTr="006F6447">
        <w:tc>
          <w:tcPr>
            <w:tcW w:w="9617" w:type="dxa"/>
          </w:tcPr>
          <w:p w14:paraId="6A2FE04A" w14:textId="77777777" w:rsidR="004E76E4" w:rsidRPr="004E76E4" w:rsidRDefault="004E76E4" w:rsidP="004E76E4">
            <w:pPr>
              <w:numPr>
                <w:ilvl w:val="1"/>
                <w:numId w:val="29"/>
              </w:numPr>
              <w:rPr>
                <w:iCs/>
                <w:lang w:val="en-GB"/>
              </w:rPr>
            </w:pPr>
            <w:r w:rsidRPr="004E76E4">
              <w:rPr>
                <w:iCs/>
              </w:rPr>
              <w:t xml:space="preserve">TSG-RAN tasks RAN1 to focus its network verified UE location work on </w:t>
            </w:r>
            <w:r w:rsidRPr="004E76E4">
              <w:rPr>
                <w:iCs/>
                <w:highlight w:val="green"/>
              </w:rPr>
              <w:t>Alt1</w:t>
            </w:r>
            <w:r w:rsidRPr="004E76E4">
              <w:rPr>
                <w:iCs/>
              </w:rPr>
              <w:t xml:space="preserve"> for the combination of “UE and gNB receive-transmit time difference measurements”:</w:t>
            </w:r>
          </w:p>
          <w:p w14:paraId="49BC6135" w14:textId="77777777" w:rsidR="004E76E4" w:rsidRPr="004E76E4" w:rsidRDefault="004E76E4" w:rsidP="004E76E4">
            <w:pPr>
              <w:numPr>
                <w:ilvl w:val="2"/>
                <w:numId w:val="29"/>
              </w:numPr>
              <w:rPr>
                <w:iCs/>
                <w:lang w:val="en-GB"/>
              </w:rPr>
            </w:pPr>
            <w:r w:rsidRPr="004E76E4">
              <w:rPr>
                <w:i/>
                <w:iCs/>
              </w:rPr>
              <w:t xml:space="preserve">Alt-1: </w:t>
            </w:r>
            <w:r w:rsidRPr="004E76E4">
              <w:rPr>
                <w:i/>
                <w:iCs/>
                <w:highlight w:val="green"/>
              </w:rPr>
              <w:t>UE Rx-Tx time difference</w:t>
            </w:r>
            <w:r w:rsidRPr="004E76E4">
              <w:rPr>
                <w:i/>
                <w:iCs/>
              </w:rPr>
              <w:t xml:space="preserve"> based on </w:t>
            </w:r>
            <w:r w:rsidRPr="004E76E4">
              <w:rPr>
                <w:i/>
                <w:iCs/>
                <w:highlight w:val="green"/>
              </w:rPr>
              <w:t>Option 3</w:t>
            </w:r>
            <w:r w:rsidRPr="004E76E4">
              <w:rPr>
                <w:i/>
                <w:iCs/>
              </w:rPr>
              <w:t xml:space="preserve"> and </w:t>
            </w:r>
            <w:r w:rsidRPr="004E76E4">
              <w:rPr>
                <w:i/>
                <w:iCs/>
                <w:highlight w:val="cyan"/>
              </w:rPr>
              <w:t>gNB Rx-Tx time difference</w:t>
            </w:r>
            <w:r w:rsidRPr="004E76E4">
              <w:rPr>
                <w:i/>
                <w:iCs/>
              </w:rPr>
              <w:t xml:space="preserve"> as defined in </w:t>
            </w:r>
            <w:r w:rsidRPr="004E76E4">
              <w:rPr>
                <w:i/>
                <w:iCs/>
                <w:highlight w:val="cyan"/>
              </w:rPr>
              <w:t>TS 38.215.</w:t>
            </w:r>
            <w:r w:rsidRPr="004E76E4">
              <w:rPr>
                <w:i/>
                <w:iCs/>
              </w:rPr>
              <w:t xml:space="preserve"> </w:t>
            </w:r>
          </w:p>
          <w:p w14:paraId="5AE9FE6D" w14:textId="77777777" w:rsidR="004E76E4" w:rsidRPr="004E76E4" w:rsidRDefault="004E76E4" w:rsidP="004E76E4">
            <w:pPr>
              <w:numPr>
                <w:ilvl w:val="3"/>
                <w:numId w:val="29"/>
              </w:numPr>
              <w:rPr>
                <w:iCs/>
                <w:lang w:val="en-GB"/>
              </w:rPr>
            </w:pPr>
            <w:r w:rsidRPr="004E76E4">
              <w:rPr>
                <w:i/>
                <w:iCs/>
              </w:rPr>
              <w:t>Note 1: The signaling method of UE Rx-Tx time difference definition option 1 is not precluded if Alt1 is adopted</w:t>
            </w:r>
          </w:p>
          <w:p w14:paraId="5DD28312" w14:textId="7C35EC88" w:rsidR="004E76E4" w:rsidRPr="004E76E4" w:rsidRDefault="004E76E4" w:rsidP="004E76E4">
            <w:pPr>
              <w:numPr>
                <w:ilvl w:val="1"/>
                <w:numId w:val="29"/>
              </w:numPr>
              <w:rPr>
                <w:iCs/>
                <w:lang w:val="en-GB"/>
              </w:rPr>
            </w:pPr>
            <w:r w:rsidRPr="004E76E4">
              <w:rPr>
                <w:iCs/>
              </w:rPr>
              <w:t>If the work at RAN1 is not completed at RAN#101, the n</w:t>
            </w:r>
            <w:r>
              <w:rPr>
                <w:iCs/>
              </w:rPr>
              <w:t>et</w:t>
            </w:r>
            <w:r w:rsidRPr="004E76E4">
              <w:rPr>
                <w:iCs/>
              </w:rPr>
              <w:t>w</w:t>
            </w:r>
            <w:r>
              <w:rPr>
                <w:iCs/>
              </w:rPr>
              <w:t>or</w:t>
            </w:r>
            <w:r w:rsidRPr="004E76E4">
              <w:rPr>
                <w:iCs/>
              </w:rPr>
              <w:t>k verified UE location will be dropped from RAN1</w:t>
            </w:r>
          </w:p>
          <w:p w14:paraId="311B1FF6" w14:textId="77777777" w:rsidR="006F6447" w:rsidRPr="004E76E4" w:rsidRDefault="006F6447" w:rsidP="00300956">
            <w:pPr>
              <w:rPr>
                <w:iCs/>
                <w:lang w:val="en-GB"/>
              </w:rPr>
            </w:pPr>
          </w:p>
        </w:tc>
      </w:tr>
    </w:tbl>
    <w:p w14:paraId="00F81163" w14:textId="77777777" w:rsidR="006F6447" w:rsidRDefault="006F6447" w:rsidP="00300956">
      <w:pPr>
        <w:rPr>
          <w:iCs/>
        </w:rPr>
      </w:pPr>
    </w:p>
    <w:p w14:paraId="57131D67" w14:textId="7961CF34" w:rsidR="006F6447" w:rsidRDefault="004E76E4" w:rsidP="00300956">
      <w:pPr>
        <w:rPr>
          <w:iCs/>
        </w:rPr>
      </w:pPr>
      <w:r>
        <w:rPr>
          <w:iCs/>
        </w:rPr>
        <w:t xml:space="preserve">In the proposal above, option 3 refers to the option found in </w:t>
      </w:r>
      <w:r>
        <w:rPr>
          <w:iCs/>
        </w:rPr>
        <w:fldChar w:fldCharType="begin"/>
      </w:r>
      <w:r>
        <w:rPr>
          <w:iCs/>
        </w:rPr>
        <w:instrText xml:space="preserve"> REF _Ref142051606 \r \h </w:instrText>
      </w:r>
      <w:r>
        <w:rPr>
          <w:iCs/>
        </w:rPr>
      </w:r>
      <w:r>
        <w:rPr>
          <w:iCs/>
        </w:rPr>
        <w:fldChar w:fldCharType="separate"/>
      </w:r>
      <w:r>
        <w:rPr>
          <w:iCs/>
        </w:rPr>
        <w:t>[3]</w:t>
      </w:r>
      <w:r>
        <w:rPr>
          <w:iCs/>
        </w:rPr>
        <w:fldChar w:fldCharType="end"/>
      </w:r>
      <w:r>
        <w:rPr>
          <w:iCs/>
        </w:rPr>
        <w:t xml:space="preserve">: </w:t>
      </w:r>
    </w:p>
    <w:tbl>
      <w:tblPr>
        <w:tblStyle w:val="TableGrid"/>
        <w:tblW w:w="0" w:type="auto"/>
        <w:tblLook w:val="04A0" w:firstRow="1" w:lastRow="0" w:firstColumn="1" w:lastColumn="0" w:noHBand="0" w:noVBand="1"/>
      </w:tblPr>
      <w:tblGrid>
        <w:gridCol w:w="9617"/>
      </w:tblGrid>
      <w:tr w:rsidR="004E76E4" w14:paraId="46917D13" w14:textId="77777777" w:rsidTr="004E76E4">
        <w:tc>
          <w:tcPr>
            <w:tcW w:w="9617" w:type="dxa"/>
          </w:tcPr>
          <w:p w14:paraId="3E0E9CC3" w14:textId="77777777" w:rsidR="004E76E4" w:rsidRPr="004E76E4" w:rsidRDefault="004E76E4" w:rsidP="004E76E4">
            <w:pPr>
              <w:numPr>
                <w:ilvl w:val="0"/>
                <w:numId w:val="30"/>
              </w:numPr>
              <w:rPr>
                <w:iCs/>
                <w:lang w:val="en-GB"/>
              </w:rPr>
            </w:pPr>
            <w:r w:rsidRPr="004E76E4">
              <w:rPr>
                <w:iCs/>
              </w:rPr>
              <w:t xml:space="preserve">Option 3: The legacy R17 definition of UE Rx-Tx time difference is adopted for NTN </w:t>
            </w:r>
            <w:r w:rsidRPr="004E76E4">
              <w:rPr>
                <w:iCs/>
                <w:highlight w:val="green"/>
              </w:rPr>
              <w:t>with an offset that</w:t>
            </w:r>
            <w:r w:rsidRPr="004E76E4">
              <w:rPr>
                <w:iCs/>
              </w:rPr>
              <w:t xml:space="preserve"> is determined based on one of the following options:</w:t>
            </w:r>
          </w:p>
          <w:p w14:paraId="51A0CC3D" w14:textId="77777777" w:rsidR="004E76E4" w:rsidRPr="004E76E4" w:rsidRDefault="004E76E4" w:rsidP="004E76E4">
            <w:pPr>
              <w:numPr>
                <w:ilvl w:val="1"/>
                <w:numId w:val="30"/>
              </w:numPr>
              <w:rPr>
                <w:iCs/>
                <w:lang w:val="en-GB"/>
              </w:rPr>
            </w:pPr>
            <w:r w:rsidRPr="004E76E4">
              <w:rPr>
                <w:iCs/>
              </w:rPr>
              <w:t>Option 3-1: This offset is reported as the nearest integer value in the unit of milliseconds by rounding the time difference of transmit timing of uplink subframe #i and receive timing of downlink subframe#i.</w:t>
            </w:r>
          </w:p>
          <w:p w14:paraId="20C8337A" w14:textId="77777777" w:rsidR="004E76E4" w:rsidRPr="004E76E4" w:rsidRDefault="004E76E4" w:rsidP="004E76E4">
            <w:pPr>
              <w:numPr>
                <w:ilvl w:val="1"/>
                <w:numId w:val="30"/>
              </w:numPr>
              <w:rPr>
                <w:iCs/>
                <w:lang w:val="en-GB"/>
              </w:rPr>
            </w:pPr>
            <w:r w:rsidRPr="004E76E4">
              <w:rPr>
                <w:iCs/>
              </w:rPr>
              <w:t>Option 3-2: UE report the index of the subframe j that is closest in time to the subframe #i received from the TP and LMF can derive the offset.</w:t>
            </w:r>
          </w:p>
          <w:p w14:paraId="3B6B97B4" w14:textId="77777777" w:rsidR="004E76E4" w:rsidRPr="004E76E4" w:rsidRDefault="004E76E4" w:rsidP="004E76E4">
            <w:pPr>
              <w:numPr>
                <w:ilvl w:val="1"/>
                <w:numId w:val="30"/>
              </w:numPr>
              <w:rPr>
                <w:iCs/>
                <w:lang w:val="en-GB"/>
              </w:rPr>
            </w:pPr>
            <w:r w:rsidRPr="004E76E4">
              <w:rPr>
                <w:iCs/>
              </w:rPr>
              <w:t>Option 3-3: TA report which corresponds to the time difference of received timing of downlink subframe #i and transmit timing of uplink subframe#i rounding up to slot granularity.</w:t>
            </w:r>
          </w:p>
          <w:p w14:paraId="371BF4F7" w14:textId="77777777" w:rsidR="004E76E4" w:rsidRPr="004E76E4" w:rsidRDefault="004E76E4" w:rsidP="00300956">
            <w:pPr>
              <w:rPr>
                <w:iCs/>
                <w:lang w:val="en-GB"/>
              </w:rPr>
            </w:pPr>
          </w:p>
        </w:tc>
      </w:tr>
    </w:tbl>
    <w:p w14:paraId="53470EF6" w14:textId="77777777" w:rsidR="004E76E4" w:rsidRDefault="004E76E4" w:rsidP="00300956">
      <w:pPr>
        <w:rPr>
          <w:iCs/>
        </w:rPr>
      </w:pPr>
    </w:p>
    <w:p w14:paraId="4150FCBA" w14:textId="7CAA4733" w:rsidR="004E76E4" w:rsidRDefault="004E76E4" w:rsidP="00300956">
      <w:pPr>
        <w:rPr>
          <w:iCs/>
        </w:rPr>
      </w:pPr>
      <w:r>
        <w:rPr>
          <w:iCs/>
        </w:rPr>
        <w:t xml:space="preserve">In a general sense, it is clear that the functionality of the RX-TX time difference computation in NTN is expected to be similar to the one used in TN, except for the </w:t>
      </w:r>
      <w:r w:rsidRPr="004E76E4">
        <w:rPr>
          <w:b/>
          <w:bCs/>
          <w:iCs/>
          <w:u w:val="single"/>
        </w:rPr>
        <w:t>introduction of an offset</w:t>
      </w:r>
      <w:r>
        <w:rPr>
          <w:iCs/>
        </w:rPr>
        <w:t xml:space="preserve"> to the reported measurement. The offset exists only for accommodating the much larger RX-TX time difference to the reporting capabilities existent for this feature. </w:t>
      </w:r>
    </w:p>
    <w:p w14:paraId="108248B0" w14:textId="77777777" w:rsidR="004E76E4" w:rsidRDefault="004E76E4" w:rsidP="00300956">
      <w:pPr>
        <w:rPr>
          <w:iCs/>
        </w:rPr>
      </w:pPr>
    </w:p>
    <w:p w14:paraId="231A3D1A" w14:textId="77777777" w:rsidR="004E76E4" w:rsidRDefault="004E76E4" w:rsidP="00300956">
      <w:pPr>
        <w:rPr>
          <w:iCs/>
        </w:rPr>
      </w:pPr>
    </w:p>
    <w:p w14:paraId="5509F875" w14:textId="5973E366" w:rsidR="00025E7D" w:rsidRDefault="00025E7D" w:rsidP="00300956">
      <w:pPr>
        <w:rPr>
          <w:iCs/>
        </w:rPr>
      </w:pPr>
      <w:r>
        <w:rPr>
          <w:iCs/>
        </w:rPr>
        <w:t>There are, though, further differences in the methodology adopted by the legacy feature and the NTN feature, for instance, regarding the applicability of the feature for UEs in RRC inactive state:</w:t>
      </w:r>
    </w:p>
    <w:tbl>
      <w:tblPr>
        <w:tblStyle w:val="TableGrid"/>
        <w:tblW w:w="0" w:type="auto"/>
        <w:tblLook w:val="04A0" w:firstRow="1" w:lastRow="0" w:firstColumn="1" w:lastColumn="0" w:noHBand="0" w:noVBand="1"/>
      </w:tblPr>
      <w:tblGrid>
        <w:gridCol w:w="9617"/>
      </w:tblGrid>
      <w:tr w:rsidR="00025E7D" w14:paraId="0E92D58A" w14:textId="77777777" w:rsidTr="00025E7D">
        <w:tc>
          <w:tcPr>
            <w:tcW w:w="9617" w:type="dxa"/>
          </w:tcPr>
          <w:p w14:paraId="6CC8750A" w14:textId="77777777" w:rsidR="00025E7D" w:rsidRPr="00025E7D" w:rsidRDefault="00025E7D" w:rsidP="00025E7D">
            <w:pPr>
              <w:pStyle w:val="B1"/>
              <w:ind w:left="0" w:firstLine="0"/>
              <w:rPr>
                <w:b/>
                <w:bCs/>
                <w:u w:val="single"/>
              </w:rPr>
            </w:pPr>
            <w:r w:rsidRPr="00025E7D">
              <w:rPr>
                <w:b/>
                <w:bCs/>
                <w:u w:val="single"/>
              </w:rPr>
              <w:t>TS 38.133, Clause 10.1.25</w:t>
            </w:r>
          </w:p>
          <w:p w14:paraId="44A9162F" w14:textId="77777777" w:rsidR="00025E7D" w:rsidRDefault="00025E7D" w:rsidP="00300956">
            <w:pPr>
              <w:rPr>
                <w:iCs/>
              </w:rPr>
            </w:pPr>
          </w:p>
          <w:p w14:paraId="2391524B" w14:textId="77777777" w:rsidR="00025E7D" w:rsidRDefault="00025E7D" w:rsidP="00025E7D">
            <w:r>
              <w:t xml:space="preserve">The requirements in Clause 10.1.25 shall apply, provided the UE has received </w:t>
            </w:r>
            <w:r>
              <w:rPr>
                <w:i/>
                <w:iCs/>
                <w:snapToGrid w:val="0"/>
              </w:rPr>
              <w:t>nr-Multi-RTT-RequestLocationInformation</w:t>
            </w:r>
            <w:r>
              <w:t xml:space="preserve"> message from LMF via LPP [31] requesting the UE to report one or more UE Rx-Tx time difference measurements defined in TS 38.215 [4]. The </w:t>
            </w:r>
            <w:r w:rsidRPr="00025E7D">
              <w:rPr>
                <w:highlight w:val="green"/>
              </w:rPr>
              <w:t>requirements in Clause 10.1.25 shall apply</w:t>
            </w:r>
            <w:r>
              <w:t xml:space="preserve">: </w:t>
            </w:r>
          </w:p>
          <w:p w14:paraId="190ED4E0" w14:textId="77777777" w:rsidR="00025E7D" w:rsidRDefault="00025E7D" w:rsidP="00025E7D">
            <w:pPr>
              <w:pStyle w:val="B1"/>
            </w:pPr>
            <w:r>
              <w:t>-</w:t>
            </w:r>
            <w:r>
              <w:tab/>
              <w:t>when UE is in RRC_CONNECTED state and the measurement is performed with MG or without MG,</w:t>
            </w:r>
          </w:p>
          <w:p w14:paraId="69094FBE" w14:textId="77777777" w:rsidR="00025E7D" w:rsidRDefault="00025E7D" w:rsidP="00025E7D">
            <w:pPr>
              <w:pStyle w:val="B1"/>
            </w:pPr>
            <w:r>
              <w:t>-</w:t>
            </w:r>
            <w:r>
              <w:tab/>
            </w:r>
            <w:r w:rsidRPr="00025E7D">
              <w:rPr>
                <w:highlight w:val="green"/>
              </w:rPr>
              <w:t>when UE is in RRC_INACTIVE state</w:t>
            </w:r>
            <w:r>
              <w:t>.</w:t>
            </w:r>
          </w:p>
          <w:p w14:paraId="4B075C2B" w14:textId="77777777" w:rsidR="00025E7D" w:rsidRDefault="00025E7D" w:rsidP="00025E7D">
            <w:pPr>
              <w:pStyle w:val="B1"/>
            </w:pPr>
          </w:p>
          <w:p w14:paraId="0A2C13C9" w14:textId="0B2BA1D6" w:rsidR="00025E7D" w:rsidRDefault="00025E7D" w:rsidP="00025E7D">
            <w:pPr>
              <w:pStyle w:val="B1"/>
              <w:ind w:left="0" w:firstLine="0"/>
            </w:pPr>
          </w:p>
          <w:p w14:paraId="387EBDFC" w14:textId="23520485" w:rsidR="00025E7D" w:rsidRDefault="00025E7D" w:rsidP="00025E7D">
            <w:pPr>
              <w:pStyle w:val="B1"/>
              <w:ind w:left="0" w:firstLine="0"/>
              <w:rPr>
                <w:b/>
                <w:bCs/>
                <w:u w:val="single"/>
              </w:rPr>
            </w:pPr>
            <w:r w:rsidRPr="00025E7D">
              <w:rPr>
                <w:b/>
                <w:bCs/>
                <w:u w:val="single"/>
              </w:rPr>
              <w:t>Agreement on RAN2 #121:</w:t>
            </w:r>
          </w:p>
          <w:p w14:paraId="5D118EDE" w14:textId="77777777" w:rsidR="00025E7D" w:rsidRDefault="00025E7D" w:rsidP="00025E7D">
            <w:pPr>
              <w:pStyle w:val="B1"/>
              <w:ind w:left="0" w:firstLine="0"/>
              <w:rPr>
                <w:b/>
                <w:bCs/>
                <w:u w:val="single"/>
              </w:rPr>
            </w:pPr>
          </w:p>
          <w:p w14:paraId="16C2B023" w14:textId="4DB973AB" w:rsidR="00025E7D" w:rsidRPr="00025E7D" w:rsidRDefault="00025E7D" w:rsidP="00025E7D">
            <w:pPr>
              <w:pStyle w:val="B1"/>
              <w:ind w:left="0" w:firstLine="0"/>
              <w:rPr>
                <w:b/>
                <w:bCs/>
                <w:u w:val="single"/>
              </w:rPr>
            </w:pPr>
            <w:r w:rsidRPr="00280C0B">
              <w:rPr>
                <w:lang w:val="en-GB"/>
              </w:rPr>
              <w:t xml:space="preserve">NTN UE </w:t>
            </w:r>
            <w:r w:rsidRPr="00025E7D">
              <w:rPr>
                <w:color w:val="FFFFFF" w:themeColor="background1"/>
                <w:highlight w:val="red"/>
                <w:lang w:val="en-GB"/>
              </w:rPr>
              <w:t>doesn’t</w:t>
            </w:r>
            <w:r w:rsidRPr="00280C0B">
              <w:rPr>
                <w:lang w:val="en-GB"/>
              </w:rPr>
              <w:t xml:space="preserve"> support positioning measurement and report in </w:t>
            </w:r>
            <w:r w:rsidRPr="00025E7D">
              <w:rPr>
                <w:highlight w:val="green"/>
                <w:lang w:val="en-GB"/>
              </w:rPr>
              <w:t>RRC INACTIVE</w:t>
            </w:r>
          </w:p>
          <w:p w14:paraId="16DF8066" w14:textId="77777777" w:rsidR="00025E7D" w:rsidRDefault="00025E7D" w:rsidP="00025E7D">
            <w:pPr>
              <w:pStyle w:val="B1"/>
              <w:ind w:left="0" w:firstLine="0"/>
            </w:pPr>
          </w:p>
          <w:p w14:paraId="1FB8C60E" w14:textId="0181081A" w:rsidR="00025E7D" w:rsidRDefault="00025E7D" w:rsidP="00300956">
            <w:pPr>
              <w:rPr>
                <w:iCs/>
              </w:rPr>
            </w:pPr>
          </w:p>
        </w:tc>
      </w:tr>
    </w:tbl>
    <w:p w14:paraId="4D0709D3" w14:textId="77777777" w:rsidR="00025E7D" w:rsidRDefault="00025E7D" w:rsidP="00300956">
      <w:pPr>
        <w:rPr>
          <w:iCs/>
        </w:rPr>
      </w:pPr>
    </w:p>
    <w:p w14:paraId="45251992" w14:textId="6EEB1995" w:rsidR="006F6447" w:rsidRDefault="00025E7D" w:rsidP="00300956">
      <w:pPr>
        <w:rPr>
          <w:iCs/>
        </w:rPr>
      </w:pPr>
      <w:r>
        <w:rPr>
          <w:iCs/>
        </w:rPr>
        <w:t>Therefore, we propose:</w:t>
      </w:r>
    </w:p>
    <w:p w14:paraId="7F8D6C02" w14:textId="23A76C31" w:rsidR="00025E7D" w:rsidRDefault="00025E7D" w:rsidP="00025E7D">
      <w:pPr>
        <w:pStyle w:val="RAN4proposal"/>
      </w:pPr>
      <w:bookmarkStart w:id="5" w:name="_Toc142668837"/>
      <w:r>
        <w:t xml:space="preserve">In Rel-18, the </w:t>
      </w:r>
      <w:r w:rsidRPr="00025E7D">
        <w:t>UE Rx-Tx Time Difference Measurements</w:t>
      </w:r>
      <w:r>
        <w:t xml:space="preserve"> requirements do not apply for NTN UEs in RRC Inactive state.</w:t>
      </w:r>
      <w:bookmarkEnd w:id="5"/>
      <w:r>
        <w:t xml:space="preserve"> </w:t>
      </w:r>
    </w:p>
    <w:p w14:paraId="19D4ED96" w14:textId="77777777" w:rsidR="00025E7D" w:rsidRDefault="00025E7D" w:rsidP="00025E7D"/>
    <w:p w14:paraId="40DD4B41" w14:textId="776EB8F0" w:rsidR="004768E0" w:rsidRDefault="004768E0" w:rsidP="00025E7D">
      <w:r>
        <w:t>And regarding the requirements defined in Clause 10.1.25, we would like to highlight that some modificati</w:t>
      </w:r>
      <w:r w:rsidR="00B44009">
        <w:t>o</w:t>
      </w:r>
      <w:r>
        <w:t>ns/editions are needed for NTN in the highlighted parts:</w:t>
      </w:r>
    </w:p>
    <w:p w14:paraId="3125E216" w14:textId="77777777" w:rsidR="004768E0" w:rsidRDefault="004768E0" w:rsidP="00025E7D"/>
    <w:tbl>
      <w:tblPr>
        <w:tblStyle w:val="TableGrid"/>
        <w:tblW w:w="0" w:type="auto"/>
        <w:tblLook w:val="04A0" w:firstRow="1" w:lastRow="0" w:firstColumn="1" w:lastColumn="0" w:noHBand="0" w:noVBand="1"/>
      </w:tblPr>
      <w:tblGrid>
        <w:gridCol w:w="9617"/>
      </w:tblGrid>
      <w:tr w:rsidR="004768E0" w14:paraId="18584A8D" w14:textId="77777777" w:rsidTr="004768E0">
        <w:tc>
          <w:tcPr>
            <w:tcW w:w="9617" w:type="dxa"/>
          </w:tcPr>
          <w:p w14:paraId="73145FA9" w14:textId="77777777" w:rsidR="004768E0" w:rsidRDefault="004768E0" w:rsidP="004768E0">
            <w:pPr>
              <w:pStyle w:val="Heading4"/>
            </w:pPr>
            <w:r>
              <w:t>10.1.25.2</w:t>
            </w:r>
            <w:r>
              <w:tab/>
              <w:t>Measurement Accuracy Requirements</w:t>
            </w:r>
          </w:p>
          <w:p w14:paraId="6FA6CE21" w14:textId="77777777" w:rsidR="004768E0" w:rsidRDefault="004768E0" w:rsidP="004768E0">
            <w:r>
              <w:t>The UE Rx-Tx time difference measurement accuracy requirements in this clause shall not apply, if:</w:t>
            </w:r>
          </w:p>
          <w:p w14:paraId="6D3EAC04" w14:textId="77777777" w:rsidR="004768E0" w:rsidRDefault="004768E0" w:rsidP="004768E0">
            <w:pPr>
              <w:ind w:left="714" w:hanging="357"/>
            </w:pPr>
            <w:r>
              <w:t>N</w:t>
            </w:r>
            <w:r>
              <w:rPr>
                <w:vertAlign w:val="subscript"/>
              </w:rPr>
              <w:t>TA_offset</w:t>
            </w:r>
            <w:r>
              <w:t xml:space="preserve"> defined in Table 7.1.2-2 changes during the UE Rx-Tx measurement period or</w:t>
            </w:r>
          </w:p>
          <w:p w14:paraId="185A022D" w14:textId="77777777" w:rsidR="004768E0" w:rsidRDefault="004768E0" w:rsidP="004768E0">
            <w:pPr>
              <w:ind w:left="568" w:hanging="284"/>
            </w:pPr>
            <w:r>
              <w:t>if the uplink transmission timing changes during the UE Rx-Tx measurement period due to the network-configured Timing Advance.</w:t>
            </w:r>
          </w:p>
          <w:p w14:paraId="50124167" w14:textId="77777777" w:rsidR="004768E0" w:rsidRDefault="004768E0" w:rsidP="004768E0">
            <w:pPr>
              <w:spacing w:before="240"/>
            </w:pPr>
            <w:r>
              <w:t xml:space="preserve">The UE Rx-Tx time difference measurement accuracy requirements in this clause </w:t>
            </w:r>
            <w:r w:rsidRPr="004768E0">
              <w:rPr>
                <w:highlight w:val="green"/>
              </w:rPr>
              <w:t>shall apply</w:t>
            </w:r>
            <w:r>
              <w:t xml:space="preserve"> provided that:</w:t>
            </w:r>
          </w:p>
          <w:p w14:paraId="6763EA14" w14:textId="77777777" w:rsidR="004768E0" w:rsidRDefault="004768E0" w:rsidP="004768E0">
            <w:pPr>
              <w:pStyle w:val="B1"/>
              <w:rPr>
                <w:rFonts w:eastAsia="MS Mincho"/>
                <w:bCs/>
                <w:lang w:eastAsia="zh-CN"/>
              </w:rPr>
            </w:pPr>
            <w:r>
              <w:rPr>
                <w:rFonts w:eastAsia="MS Mincho"/>
                <w:bCs/>
                <w:lang w:eastAsia="zh-CN"/>
              </w:rPr>
              <w:t>-</w:t>
            </w:r>
            <w:r>
              <w:rPr>
                <w:rFonts w:eastAsia="MS Mincho"/>
                <w:bCs/>
                <w:lang w:eastAsia="zh-CN"/>
              </w:rPr>
              <w:tab/>
              <w:t xml:space="preserve">The </w:t>
            </w:r>
            <w:r>
              <w:rPr>
                <w:lang w:eastAsia="zh-CN"/>
              </w:rPr>
              <w:t>UE transmits SRS within [-160, 160] msec of at least one DL PRS resource of each of the TRPs in the assistance data.</w:t>
            </w:r>
          </w:p>
          <w:p w14:paraId="7F17DD0D" w14:textId="77777777" w:rsidR="004768E0" w:rsidRDefault="004768E0" w:rsidP="004768E0">
            <w:pPr>
              <w:rPr>
                <w:rFonts w:eastAsia="SimSun"/>
                <w:lang w:eastAsia="x-none"/>
              </w:rPr>
            </w:pPr>
            <w:r>
              <w:rPr>
                <w:rFonts w:eastAsia="SimSun"/>
                <w:lang w:eastAsia="x-none"/>
              </w:rPr>
              <w:t>I</w:t>
            </w:r>
            <w:r>
              <w:rPr>
                <w:rFonts w:eastAsia="SimSun"/>
                <w:lang w:val="x-none" w:eastAsia="x-none"/>
              </w:rPr>
              <w:t xml:space="preserve">f the uplink transmission timing changes during the UE Rx-Tx measurement period </w:t>
            </w:r>
            <w:r w:rsidRPr="004768E0">
              <w:rPr>
                <w:rFonts w:eastAsia="SimSun"/>
                <w:highlight w:val="green"/>
                <w:lang w:val="x-none" w:eastAsia="x-none"/>
              </w:rPr>
              <w:t xml:space="preserve">due to </w:t>
            </w:r>
            <w:r w:rsidRPr="004768E0">
              <w:rPr>
                <w:rFonts w:eastAsia="SimSun"/>
                <w:highlight w:val="green"/>
                <w:lang w:eastAsia="x-none"/>
              </w:rPr>
              <w:t xml:space="preserve">the </w:t>
            </w:r>
            <w:r w:rsidRPr="004768E0">
              <w:rPr>
                <w:rFonts w:eastAsia="SimSun"/>
                <w:highlight w:val="green"/>
                <w:lang w:val="x-none" w:eastAsia="x-none"/>
              </w:rPr>
              <w:t xml:space="preserve">autonomous </w:t>
            </w:r>
            <w:r w:rsidRPr="004768E0">
              <w:rPr>
                <w:rFonts w:eastAsia="SimSun"/>
                <w:highlight w:val="green"/>
                <w:lang w:eastAsia="x-none"/>
              </w:rPr>
              <w:t xml:space="preserve">timing </w:t>
            </w:r>
            <w:r w:rsidRPr="004768E0">
              <w:rPr>
                <w:rFonts w:eastAsia="SimSun"/>
                <w:highlight w:val="green"/>
                <w:lang w:val="x-none" w:eastAsia="x-none"/>
              </w:rPr>
              <w:t>adjustment</w:t>
            </w:r>
            <w:r w:rsidRPr="004768E0">
              <w:rPr>
                <w:rFonts w:eastAsia="SimSun"/>
                <w:highlight w:val="green"/>
                <w:lang w:eastAsia="x-none"/>
              </w:rPr>
              <w:t xml:space="preserve"> </w:t>
            </w:r>
            <w:r w:rsidRPr="004768E0">
              <w:rPr>
                <w:rFonts w:eastAsia="SimSun"/>
                <w:highlight w:val="green"/>
              </w:rPr>
              <w:t xml:space="preserve">defined in clause 7.1.2 </w:t>
            </w:r>
            <w:r w:rsidRPr="004768E0">
              <w:rPr>
                <w:rFonts w:eastAsia="SimSun"/>
                <w:highlight w:val="green"/>
                <w:lang w:eastAsia="x-none"/>
              </w:rPr>
              <w:t>then</w:t>
            </w:r>
            <w:r>
              <w:rPr>
                <w:rFonts w:eastAsia="SimSun"/>
                <w:lang w:eastAsia="x-none"/>
              </w:rPr>
              <w:t>:</w:t>
            </w:r>
          </w:p>
          <w:p w14:paraId="5188291E" w14:textId="77777777" w:rsidR="004768E0" w:rsidRDefault="004768E0" w:rsidP="004768E0">
            <w:pPr>
              <w:pStyle w:val="B1"/>
              <w:rPr>
                <w:rFonts w:eastAsia="MS Mincho"/>
                <w:lang w:val="en-GB" w:eastAsia="zh-CN"/>
              </w:rPr>
            </w:pPr>
            <w:r>
              <w:rPr>
                <w:rFonts w:eastAsia="MS Mincho"/>
                <w:lang w:eastAsia="zh-CN"/>
              </w:rPr>
              <w:t>-</w:t>
            </w:r>
            <w:r>
              <w:rPr>
                <w:rFonts w:eastAsia="MS Mincho"/>
                <w:lang w:eastAsia="zh-CN"/>
              </w:rPr>
              <w:tab/>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14:paraId="6F9E453A" w14:textId="77777777" w:rsidR="004768E0" w:rsidRDefault="004768E0" w:rsidP="004768E0">
            <w:pPr>
              <w:pStyle w:val="B1"/>
              <w:rPr>
                <w:lang w:eastAsia="zh-CN"/>
              </w:rPr>
            </w:pPr>
            <w:r>
              <w:rPr>
                <w:lang w:eastAsia="zh-CN"/>
              </w:rPr>
              <w:t>-</w:t>
            </w:r>
            <w:r>
              <w:rPr>
                <w:lang w:eastAsia="zh-CN"/>
              </w:rPr>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25D2C067" w14:textId="77777777" w:rsidR="004768E0" w:rsidRDefault="004768E0" w:rsidP="004768E0">
            <w:r w:rsidRPr="004768E0">
              <w:rPr>
                <w:highlight w:val="green"/>
              </w:rPr>
              <w:t>When a serving cell change occurs during the UE Rx-Tx measurement period</w:t>
            </w:r>
            <w:r>
              <w:t xml:space="preserve">, the UE Rx-Tx time difference measurement accuracy requirements in this clause </w:t>
            </w:r>
            <w:r w:rsidRPr="004768E0">
              <w:rPr>
                <w:highlight w:val="green"/>
              </w:rPr>
              <w:t>shall apply provided that the serving cell change does not impact SRS configuration for the UE Rx-Tx measurement</w:t>
            </w:r>
            <w:r>
              <w:t>.</w:t>
            </w:r>
          </w:p>
          <w:p w14:paraId="212BEC7D" w14:textId="77777777" w:rsidR="004768E0" w:rsidRDefault="004768E0" w:rsidP="004768E0">
            <w:r>
              <w:t xml:space="preserve">The relative accuracy of </w:t>
            </w:r>
            <w:r>
              <w:rPr>
                <w:rFonts w:eastAsia="MS Mincho"/>
                <w:lang w:eastAsia="zh-CN"/>
              </w:rPr>
              <w:t>UE Rx-Tx measurement</w:t>
            </w:r>
            <w:r>
              <w:t xml:space="preserve"> in this clause is defined as accuracy of the difference between two </w:t>
            </w:r>
            <w:r>
              <w:rPr>
                <w:rFonts w:eastAsia="MS Mincho"/>
                <w:lang w:eastAsia="zh-CN"/>
              </w:rPr>
              <w:t>UE Rx-Tx</w:t>
            </w:r>
            <w:r>
              <w:t xml:space="preserve"> measurements.</w:t>
            </w:r>
          </w:p>
          <w:p w14:paraId="2D1C2C50" w14:textId="77777777" w:rsidR="004768E0" w:rsidRDefault="004768E0" w:rsidP="004768E0">
            <w:r>
              <w:t>The accuracy requirements in Table 10.1.25.2-1 for FR1 are valid under the following conditions:</w:t>
            </w:r>
          </w:p>
          <w:p w14:paraId="2CDCB5AE" w14:textId="77777777" w:rsidR="004768E0" w:rsidRDefault="004768E0" w:rsidP="004768E0">
            <w:r>
              <w:t>Conditions defined in clause 7.3 of TS 38.101-1 [18] for reference sensitivity are fulfilled.</w:t>
            </w:r>
          </w:p>
          <w:p w14:paraId="03C7857A" w14:textId="1316F23A" w:rsidR="004768E0" w:rsidRDefault="004768E0" w:rsidP="00025E7D">
            <w:r>
              <w:t>(…)</w:t>
            </w:r>
          </w:p>
        </w:tc>
      </w:tr>
    </w:tbl>
    <w:p w14:paraId="0057949E" w14:textId="77777777" w:rsidR="004768E0" w:rsidRPr="00025E7D" w:rsidRDefault="004768E0" w:rsidP="00025E7D"/>
    <w:p w14:paraId="06C0578C" w14:textId="2D615AC0" w:rsidR="00A840F2" w:rsidRDefault="004768E0" w:rsidP="00300956">
      <w:r>
        <w:t>For the first highlighted issue</w:t>
      </w:r>
      <w:r w:rsidR="004544D6">
        <w:t xml:space="preserve">, </w:t>
      </w:r>
      <w:r>
        <w:t>the applicability of the requirements when UE timing advance changes due to autonomous timing adjustments,</w:t>
      </w:r>
      <w:r w:rsidR="004544D6">
        <w:t xml:space="preserve"> this correspond</w:t>
      </w:r>
      <w:r w:rsidR="00EF045E">
        <w:t>s in terrestrial networks, to the values of T</w:t>
      </w:r>
      <w:r w:rsidR="00EF045E" w:rsidRPr="001F1125">
        <w:rPr>
          <w:vertAlign w:val="subscript"/>
        </w:rPr>
        <w:t>p</w:t>
      </w:r>
      <w:r>
        <w:t xml:space="preserve"> </w:t>
      </w:r>
      <w:r w:rsidR="00CF62B5">
        <w:t>and T</w:t>
      </w:r>
      <w:r w:rsidR="00CF62B5" w:rsidRPr="001F1125">
        <w:rPr>
          <w:vertAlign w:val="subscript"/>
        </w:rPr>
        <w:t>q</w:t>
      </w:r>
      <w:r w:rsidR="00CF62B5">
        <w:t xml:space="preserve"> provided in </w:t>
      </w:r>
      <w:r w:rsidR="00A840F2" w:rsidRPr="00A840F2">
        <w:t>Table 7.1.2.1-1</w:t>
      </w:r>
      <w:r w:rsidR="00A840F2">
        <w:t xml:space="preserve"> of TS 38.133. The issue is that there are fundamental differences between the </w:t>
      </w:r>
      <w:r w:rsidR="00B56F98">
        <w:t xml:space="preserve">timing advance adjustment operation in TN and in NTN. For NTN, it was agreed that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B56F98">
        <w:rPr>
          <w:rFonts w:eastAsiaTheme="minorEastAsia"/>
          <w:sz w:val="24"/>
          <w:szCs w:val="24"/>
        </w:rPr>
        <w:t xml:space="preserve"> </w:t>
      </w:r>
      <w:r w:rsidR="00B56F98" w:rsidRPr="001F1125">
        <w:t>and</w:t>
      </w:r>
      <w:r w:rsidR="00B56F98">
        <w:rPr>
          <w:rFonts w:eastAsiaTheme="minorEastAsia"/>
          <w:sz w:val="24"/>
          <w:szCs w:val="24"/>
        </w:rPr>
        <w:t xml:space="preserve">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B56F98">
        <w:rPr>
          <w:rFonts w:eastAsiaTheme="minorEastAsia"/>
          <w:sz w:val="24"/>
          <w:szCs w:val="24"/>
        </w:rPr>
        <w:t xml:space="preserve"> </w:t>
      </w:r>
      <w:r w:rsidR="00B56F98" w:rsidRPr="001F1125">
        <w:t>are both</w:t>
      </w:r>
      <w:r w:rsidR="00140189" w:rsidRPr="001F1125">
        <w:t xml:space="preserve"> excluded</w:t>
      </w:r>
      <w:r w:rsidR="00140189">
        <w:rPr>
          <w:rFonts w:eastAsiaTheme="minorEastAsia"/>
          <w:sz w:val="24"/>
          <w:szCs w:val="24"/>
        </w:rPr>
        <w:t xml:space="preserve"> </w:t>
      </w:r>
      <w:r w:rsidR="00140189" w:rsidRPr="001F1125">
        <w:t xml:space="preserve">from the calculation of Tp and Tq in NTN. </w:t>
      </w:r>
      <w:r w:rsidR="00C2760B" w:rsidRPr="001F1125">
        <w:t xml:space="preserve">But those components </w:t>
      </w:r>
      <w:r w:rsidR="00964652" w:rsidRPr="001F1125">
        <w:t xml:space="preserve">are much more dynamic (not bound by one-shot adjustments) and the total variation of the timing advance might be much more than the limits defined by Table 7.1C.2.1-1. </w:t>
      </w:r>
      <w:r w:rsidR="002A42AB" w:rsidRPr="001F1125">
        <w:t xml:space="preserve"> Therefore, </w:t>
      </w:r>
      <w:r w:rsidR="00C159EE" w:rsidRPr="001F1125">
        <w:t>RAN4 needs to investigate whether</w:t>
      </w:r>
      <w:r w:rsidR="008469F6" w:rsidRPr="001F1125">
        <w:t xml:space="preserve"> large dynamic variations in</w:t>
      </w:r>
      <w:r w:rsidR="00C159EE">
        <w:rPr>
          <w:rFonts w:eastAsiaTheme="minorEastAsia"/>
          <w:sz w:val="24"/>
          <w:szCs w:val="24"/>
        </w:rPr>
        <w:t xml:space="preserve">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8469F6">
        <w:rPr>
          <w:rFonts w:eastAsiaTheme="minorEastAsia"/>
          <w:sz w:val="24"/>
          <w:szCs w:val="24"/>
        </w:rPr>
        <w:t xml:space="preserve"> </w:t>
      </w:r>
      <w:r w:rsidR="008469F6" w:rsidRPr="001F1125">
        <w:t>or</w:t>
      </w:r>
      <w:r w:rsidR="008469F6">
        <w:rPr>
          <w:rFonts w:eastAsiaTheme="minorEastAsia"/>
          <w:sz w:val="24"/>
          <w:szCs w:val="24"/>
        </w:rPr>
        <w:t xml:space="preserve">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8469F6">
        <w:rPr>
          <w:rFonts w:eastAsiaTheme="minorEastAsia"/>
          <w:sz w:val="24"/>
          <w:szCs w:val="24"/>
        </w:rPr>
        <w:t xml:space="preserve"> </w:t>
      </w:r>
      <w:r w:rsidR="008469F6" w:rsidRPr="001F1125">
        <w:t xml:space="preserve">will impact </w:t>
      </w:r>
      <w:r w:rsidR="00D36800" w:rsidRPr="001F1125">
        <w:t>the</w:t>
      </w:r>
      <w:r w:rsidR="00D75DE0" w:rsidRPr="001F1125">
        <w:t xml:space="preserve"> accuracy of the measurements. </w:t>
      </w:r>
    </w:p>
    <w:p w14:paraId="4E85FD15" w14:textId="0AB48D27" w:rsidR="004768E0" w:rsidRDefault="00E23EBA" w:rsidP="004768E0">
      <w:pPr>
        <w:pStyle w:val="RAN4proposal"/>
        <w:rPr>
          <w:lang w:val="en-GB"/>
        </w:rPr>
      </w:pPr>
      <w:bookmarkStart w:id="6" w:name="_Toc142668838"/>
      <w:r>
        <w:rPr>
          <w:lang w:val="en-GB"/>
        </w:rPr>
        <w:t xml:space="preserve">RAN4 to discuss whether large variations </w:t>
      </w:r>
      <w:r w:rsidR="005E1067">
        <w:rPr>
          <w:lang w:val="en-GB"/>
        </w:rPr>
        <w:t xml:space="preserve">in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5E1067">
        <w:rPr>
          <w:rFonts w:eastAsiaTheme="minorEastAsia"/>
          <w:sz w:val="24"/>
          <w:szCs w:val="24"/>
        </w:rPr>
        <w:t xml:space="preserve"> or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5E1067">
        <w:rPr>
          <w:lang w:val="en-GB"/>
        </w:rPr>
        <w:t xml:space="preserve"> can compromise the accuracy of the</w:t>
      </w:r>
      <w:r w:rsidR="004768E0" w:rsidRPr="004768E0">
        <w:rPr>
          <w:lang w:val="en-GB"/>
        </w:rPr>
        <w:t xml:space="preserve"> UE RX-TX Time</w:t>
      </w:r>
      <w:r w:rsidR="004768E0">
        <w:rPr>
          <w:lang w:val="en-GB"/>
        </w:rPr>
        <w:t xml:space="preserve"> difference</w:t>
      </w:r>
      <w:r w:rsidR="005E1067">
        <w:rPr>
          <w:lang w:val="en-GB"/>
        </w:rPr>
        <w:t>.</w:t>
      </w:r>
      <w:bookmarkEnd w:id="6"/>
      <w:r w:rsidR="005E1067">
        <w:rPr>
          <w:lang w:val="en-GB"/>
        </w:rPr>
        <w:t xml:space="preserve"> </w:t>
      </w:r>
    </w:p>
    <w:p w14:paraId="4577250F" w14:textId="20F2C4C0" w:rsidR="008F589B" w:rsidRPr="008F589B" w:rsidRDefault="00AC663C" w:rsidP="008F589B">
      <w:pPr>
        <w:pStyle w:val="RAN4proposal"/>
        <w:rPr>
          <w:lang w:val="en-GB"/>
        </w:rPr>
      </w:pPr>
      <w:bookmarkStart w:id="7" w:name="_Toc142668839"/>
      <w:r>
        <w:rPr>
          <w:lang w:val="en-GB"/>
        </w:rPr>
        <w:t xml:space="preserve">Consider a threshold value for the variation of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Pr>
          <w:rFonts w:eastAsiaTheme="minorEastAsia"/>
          <w:sz w:val="24"/>
          <w:szCs w:val="24"/>
        </w:rPr>
        <w:t xml:space="preserve"> + </w:t>
      </w:r>
      <m:oMath>
        <m:sSubSup>
          <m:sSubSupPr>
            <m:ctrlPr>
              <w:rPr>
                <w:rFonts w:ascii="Cambria Math" w:hAnsi="Cambria Math"/>
                <w:i/>
                <w:sz w:val="24"/>
                <w:szCs w:val="24"/>
              </w:rPr>
            </m:ctrlPr>
          </m:sSubSupPr>
          <m:e>
            <m:r>
              <m:rPr>
                <m:sty m:val="bi"/>
              </m:rP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Pr>
          <w:rFonts w:eastAsiaTheme="minorEastAsia"/>
          <w:sz w:val="24"/>
          <w:szCs w:val="24"/>
        </w:rPr>
        <w:t xml:space="preserve"> </w:t>
      </w:r>
      <w:r w:rsidR="00707D84">
        <w:rPr>
          <w:rFonts w:eastAsiaTheme="minorEastAsia"/>
          <w:sz w:val="24"/>
          <w:szCs w:val="24"/>
        </w:rPr>
        <w:t xml:space="preserve">, </w:t>
      </w:r>
      <w:r w:rsidR="00707D84" w:rsidRPr="001F1125">
        <w:rPr>
          <w:lang w:val="en-GB"/>
        </w:rPr>
        <w:t xml:space="preserve">such that </w:t>
      </w:r>
      <w:r w:rsidR="000A55D6" w:rsidRPr="001F1125">
        <w:rPr>
          <w:lang w:val="en-GB"/>
        </w:rPr>
        <w:t xml:space="preserve">accuracy requirements apply for </w:t>
      </w:r>
      <w:r w:rsidR="00707D84" w:rsidRPr="001F1125">
        <w:rPr>
          <w:lang w:val="en-GB"/>
        </w:rPr>
        <w:t xml:space="preserve">variations </w:t>
      </w:r>
      <w:r w:rsidR="000A55D6" w:rsidRPr="001F1125">
        <w:rPr>
          <w:lang w:val="en-GB"/>
        </w:rPr>
        <w:t>below</w:t>
      </w:r>
      <w:r w:rsidR="00707D84" w:rsidRPr="001F1125">
        <w:rPr>
          <w:lang w:val="en-GB"/>
        </w:rPr>
        <w:t xml:space="preserve"> this threshold</w:t>
      </w:r>
      <w:bookmarkEnd w:id="7"/>
    </w:p>
    <w:p w14:paraId="7FFF25C1" w14:textId="77777777" w:rsidR="004768E0" w:rsidRDefault="004768E0" w:rsidP="004768E0">
      <w:pPr>
        <w:rPr>
          <w:lang w:val="en-GB"/>
        </w:rPr>
      </w:pPr>
    </w:p>
    <w:p w14:paraId="5AA92C40" w14:textId="77777777" w:rsidR="0060543D" w:rsidRPr="008C39F7" w:rsidRDefault="0060543D" w:rsidP="0060543D"/>
    <w:p w14:paraId="27137542" w14:textId="77777777" w:rsidR="0060543D" w:rsidRPr="008C39F7" w:rsidRDefault="0060543D" w:rsidP="0060543D"/>
    <w:p w14:paraId="30862EEF" w14:textId="77777777" w:rsidR="00CD7492" w:rsidRPr="008C39F7" w:rsidRDefault="00CD7492" w:rsidP="00A37002">
      <w:pPr>
        <w:pStyle w:val="RAN4H1"/>
      </w:pPr>
      <w:bookmarkStart w:id="8" w:name="_Toc116995848"/>
      <w:r w:rsidRPr="008C39F7">
        <w:t>Conclusion</w:t>
      </w:r>
      <w:bookmarkEnd w:id="8"/>
    </w:p>
    <w:p w14:paraId="26C34504" w14:textId="3F10C61E" w:rsidR="008B0961" w:rsidRDefault="00EC1FD7" w:rsidP="005C23A4">
      <w:r>
        <w:t>In this paper we analyzed the impact on RRM requirements caused by the</w:t>
      </w:r>
      <w:r w:rsidR="006B1097">
        <w:t xml:space="preserve"> progress of the</w:t>
      </w:r>
      <w:r>
        <w:t xml:space="preserve"> network verified location</w:t>
      </w:r>
      <w:r w:rsidR="008B6BA8">
        <w:t xml:space="preserve"> </w:t>
      </w:r>
      <w:r w:rsidR="006B1097">
        <w:t>feature in RAN1.</w:t>
      </w:r>
      <w:r w:rsidR="00076AB7">
        <w:t xml:space="preserve"> From this analysis the following proposals are made:</w:t>
      </w:r>
    </w:p>
    <w:p w14:paraId="21A7FA8F" w14:textId="77777777" w:rsidR="006B1097" w:rsidRPr="008C39F7" w:rsidRDefault="006B1097" w:rsidP="005C23A4"/>
    <w:bookmarkStart w:id="9" w:name="_Toc116995849"/>
    <w:p w14:paraId="064C74AF" w14:textId="5887D653" w:rsidR="006B1097" w:rsidRDefault="006B1097">
      <w:pPr>
        <w:pStyle w:val="TOC1"/>
        <w:rPr>
          <w:rFonts w:asciiTheme="minorHAnsi" w:eastAsiaTheme="minorEastAsia" w:hAnsiTheme="minorHAnsi"/>
          <w:b w:val="0"/>
          <w:iCs w:val="0"/>
          <w:kern w:val="2"/>
          <w:sz w:val="22"/>
          <w:lang w:val="en-GB" w:eastAsia="en-GB"/>
          <w14:ligatures w14:val="standardContextual"/>
        </w:rPr>
      </w:pPr>
      <w:r>
        <w:rPr>
          <w:i/>
          <w:iCs w:val="0"/>
          <w:u w:val="single"/>
        </w:rPr>
        <w:fldChar w:fldCharType="begin"/>
      </w:r>
      <w:r>
        <w:rPr>
          <w:i/>
          <w:iCs w:val="0"/>
          <w:u w:val="single"/>
        </w:rPr>
        <w:instrText xml:space="preserve"> TOC \n \h \z \t "RAN4 proposal;1;RAN4 observation;1" </w:instrText>
      </w:r>
      <w:r>
        <w:rPr>
          <w:i/>
          <w:iCs w:val="0"/>
          <w:u w:val="single"/>
        </w:rPr>
        <w:fldChar w:fldCharType="separate"/>
      </w:r>
      <w:hyperlink w:anchor="_Toc142668837" w:history="1">
        <w:r w:rsidRPr="00443759">
          <w:rPr>
            <w:rStyle w:val="Hyperlink"/>
          </w:rPr>
          <w:t>Proposal 1: In Rel-18, the UE Rx-Tx Time Difference Measurements requirements do not apply for NTN UEs in RRC Inactive state.</w:t>
        </w:r>
      </w:hyperlink>
    </w:p>
    <w:p w14:paraId="3E250643" w14:textId="28CC593C" w:rsidR="006B1097" w:rsidRDefault="00076AB7">
      <w:pPr>
        <w:pStyle w:val="TOC1"/>
        <w:rPr>
          <w:rFonts w:asciiTheme="minorHAnsi" w:eastAsiaTheme="minorEastAsia" w:hAnsiTheme="minorHAnsi"/>
          <w:b w:val="0"/>
          <w:iCs w:val="0"/>
          <w:kern w:val="2"/>
          <w:sz w:val="22"/>
          <w:lang w:val="en-GB" w:eastAsia="en-GB"/>
          <w14:ligatures w14:val="standardContextual"/>
        </w:rPr>
      </w:pPr>
      <w:hyperlink w:anchor="_Toc142668838" w:history="1">
        <w:r w:rsidR="006B1097" w:rsidRPr="00443759">
          <w:rPr>
            <w:rStyle w:val="Hyperlink"/>
            <w:lang w:val="en-GB"/>
          </w:rPr>
          <w:t xml:space="preserve">Proposal 2: RAN4 to discuss whether large variations in </w:t>
        </w:r>
        <m:oMath>
          <m:r>
            <m:rPr>
              <m:sty m:val="bi"/>
            </m:rPr>
            <w:rPr>
              <w:rStyle w:val="Hyperlink"/>
              <w:rFonts w:ascii="Cambria Math" w:hAnsi="Cambria Math"/>
            </w:rPr>
            <m:t>N</m:t>
          </m:r>
          <m:r>
            <m:rPr>
              <m:nor/>
            </m:rPr>
            <w:rPr>
              <w:rStyle w:val="Hyperlink"/>
              <w:rFonts w:ascii="Cambria Math" w:hAnsi="Cambria Math"/>
            </w:rPr>
            <m:t>TA,adjcommon</m:t>
          </m:r>
        </m:oMath>
        <w:r w:rsidR="006B1097" w:rsidRPr="00443759">
          <w:rPr>
            <w:rStyle w:val="Hyperlink"/>
          </w:rPr>
          <w:t xml:space="preserve"> or </w:t>
        </w:r>
        <m:oMath>
          <m:r>
            <m:rPr>
              <m:sty m:val="bi"/>
            </m:rPr>
            <w:rPr>
              <w:rStyle w:val="Hyperlink"/>
              <w:rFonts w:ascii="Cambria Math" w:hAnsi="Cambria Math"/>
            </w:rPr>
            <m:t>N</m:t>
          </m:r>
          <m:r>
            <m:rPr>
              <m:nor/>
            </m:rPr>
            <w:rPr>
              <w:rStyle w:val="Hyperlink"/>
              <w:rFonts w:ascii="Cambria Math" w:hAnsi="Cambria Math"/>
            </w:rPr>
            <m:t>TA,adjUE</m:t>
          </m:r>
        </m:oMath>
        <w:r w:rsidR="006B1097" w:rsidRPr="00443759">
          <w:rPr>
            <w:rStyle w:val="Hyperlink"/>
            <w:lang w:val="en-GB"/>
          </w:rPr>
          <w:t xml:space="preserve"> can compromise the accuracy of the UE RX-TX Time difference.</w:t>
        </w:r>
      </w:hyperlink>
    </w:p>
    <w:p w14:paraId="2D6E0405" w14:textId="7884F02A" w:rsidR="006B1097" w:rsidRDefault="00076AB7">
      <w:pPr>
        <w:pStyle w:val="TOC1"/>
        <w:rPr>
          <w:rFonts w:asciiTheme="minorHAnsi" w:eastAsiaTheme="minorEastAsia" w:hAnsiTheme="minorHAnsi"/>
          <w:b w:val="0"/>
          <w:iCs w:val="0"/>
          <w:kern w:val="2"/>
          <w:sz w:val="22"/>
          <w:lang w:val="en-GB" w:eastAsia="en-GB"/>
          <w14:ligatures w14:val="standardContextual"/>
        </w:rPr>
      </w:pPr>
      <w:hyperlink w:anchor="_Toc142668839" w:history="1">
        <w:r w:rsidR="006B1097" w:rsidRPr="00443759">
          <w:rPr>
            <w:rStyle w:val="Hyperlink"/>
            <w:lang w:val="en-GB"/>
          </w:rPr>
          <w:t xml:space="preserve">Proposal 3: Consider a threshold value for the variation of </w:t>
        </w:r>
        <m:oMath>
          <m:r>
            <m:rPr>
              <m:sty m:val="bi"/>
            </m:rPr>
            <w:rPr>
              <w:rStyle w:val="Hyperlink"/>
              <w:rFonts w:ascii="Cambria Math" w:hAnsi="Cambria Math"/>
            </w:rPr>
            <m:t>N</m:t>
          </m:r>
          <m:r>
            <m:rPr>
              <m:nor/>
            </m:rPr>
            <w:rPr>
              <w:rStyle w:val="Hyperlink"/>
              <w:rFonts w:ascii="Cambria Math" w:hAnsi="Cambria Math"/>
            </w:rPr>
            <m:t>TA,adjcommon</m:t>
          </m:r>
        </m:oMath>
        <w:r w:rsidR="006B1097" w:rsidRPr="00443759">
          <w:rPr>
            <w:rStyle w:val="Hyperlink"/>
          </w:rPr>
          <w:t xml:space="preserve"> + </w:t>
        </w:r>
        <m:oMath>
          <m:r>
            <m:rPr>
              <m:sty m:val="bi"/>
            </m:rPr>
            <w:rPr>
              <w:rStyle w:val="Hyperlink"/>
              <w:rFonts w:ascii="Cambria Math" w:hAnsi="Cambria Math"/>
            </w:rPr>
            <m:t>N</m:t>
          </m:r>
          <m:r>
            <m:rPr>
              <m:nor/>
            </m:rPr>
            <w:rPr>
              <w:rStyle w:val="Hyperlink"/>
              <w:rFonts w:ascii="Cambria Math" w:hAnsi="Cambria Math"/>
            </w:rPr>
            <m:t>TA,adjUE</m:t>
          </m:r>
        </m:oMath>
        <w:r w:rsidR="006B1097" w:rsidRPr="00443759">
          <w:rPr>
            <w:rStyle w:val="Hyperlink"/>
          </w:rPr>
          <w:t xml:space="preserve"> , </w:t>
        </w:r>
        <w:r w:rsidR="006B1097" w:rsidRPr="00443759">
          <w:rPr>
            <w:rStyle w:val="Hyperlink"/>
            <w:lang w:val="en-GB"/>
          </w:rPr>
          <w:t>such that accuracy requirements apply for variations below this threshold</w:t>
        </w:r>
      </w:hyperlink>
    </w:p>
    <w:p w14:paraId="3033AA74" w14:textId="709CF8D3" w:rsidR="00847264" w:rsidRPr="008C39F7" w:rsidRDefault="006B1097" w:rsidP="008C39F7">
      <w:r>
        <w:rPr>
          <w:i/>
          <w:iCs/>
          <w:u w:val="single"/>
        </w:rPr>
        <w:fldChar w:fldCharType="end"/>
      </w:r>
    </w:p>
    <w:p w14:paraId="491EF97C" w14:textId="77777777" w:rsidR="003B659E" w:rsidRPr="008C39F7" w:rsidRDefault="003B659E" w:rsidP="0060543D">
      <w:pPr>
        <w:pStyle w:val="RAN4H1"/>
        <w:numPr>
          <w:ilvl w:val="0"/>
          <w:numId w:val="0"/>
        </w:numPr>
        <w:ind w:left="360" w:hanging="360"/>
      </w:pPr>
      <w:r w:rsidRPr="008C39F7">
        <w:t>References</w:t>
      </w:r>
      <w:bookmarkEnd w:id="9"/>
    </w:p>
    <w:p w14:paraId="39806134" w14:textId="77777777" w:rsidR="00321F34" w:rsidRDefault="00321F34" w:rsidP="00321F34">
      <w:pPr>
        <w:numPr>
          <w:ilvl w:val="0"/>
          <w:numId w:val="21"/>
        </w:numPr>
        <w:overflowPunct w:val="0"/>
        <w:autoSpaceDE w:val="0"/>
        <w:autoSpaceDN w:val="0"/>
        <w:adjustRightInd w:val="0"/>
        <w:spacing w:after="0" w:line="240" w:lineRule="auto"/>
        <w:jc w:val="both"/>
        <w:textAlignment w:val="baseline"/>
      </w:pPr>
      <w:bookmarkStart w:id="10" w:name="_Ref114500673"/>
      <w:bookmarkStart w:id="11" w:name="_Ref54013899"/>
      <w:bookmarkStart w:id="12" w:name="_Ref141960737"/>
      <w:bookmarkEnd w:id="10"/>
      <w:r w:rsidRPr="00FD51CE">
        <w:t>RP-223534</w:t>
      </w:r>
      <w:r w:rsidRPr="00FF6B64">
        <w:t xml:space="preserve">, </w:t>
      </w:r>
      <w:bookmarkEnd w:id="11"/>
      <w:r w:rsidRPr="001D7FDE">
        <w:t>NR NTN (Non-Terrestrial Networks) enhancements</w:t>
      </w:r>
      <w:r>
        <w:t>, Thales</w:t>
      </w:r>
      <w:bookmarkEnd w:id="12"/>
    </w:p>
    <w:p w14:paraId="0D1DCA5B" w14:textId="77777777" w:rsidR="00321F34" w:rsidRDefault="00321F34" w:rsidP="00321F34">
      <w:pPr>
        <w:numPr>
          <w:ilvl w:val="0"/>
          <w:numId w:val="21"/>
        </w:numPr>
        <w:overflowPunct w:val="0"/>
        <w:autoSpaceDE w:val="0"/>
        <w:autoSpaceDN w:val="0"/>
        <w:adjustRightInd w:val="0"/>
        <w:spacing w:after="0" w:line="240" w:lineRule="auto"/>
        <w:jc w:val="both"/>
        <w:textAlignment w:val="baseline"/>
      </w:pPr>
      <w:bookmarkStart w:id="13" w:name="_Ref141279246"/>
      <w:r w:rsidRPr="00C07B05">
        <w:t>R4-2310168</w:t>
      </w:r>
      <w:r>
        <w:t xml:space="preserve">, </w:t>
      </w:r>
      <w:r w:rsidRPr="00C07B05">
        <w:rPr>
          <w:i/>
          <w:iCs/>
        </w:rPr>
        <w:t>WF on NR NTN enhancements RRM requirements</w:t>
      </w:r>
      <w:r>
        <w:t>, Qualcomm Incorporated, 3GPP WG RAN4 #107, Incheon</w:t>
      </w:r>
      <w:bookmarkEnd w:id="13"/>
      <w:r>
        <w:t xml:space="preserve"> </w:t>
      </w:r>
    </w:p>
    <w:p w14:paraId="7737B579" w14:textId="14045D7A" w:rsidR="004E76E4" w:rsidRPr="004E76E4" w:rsidRDefault="004E76E4" w:rsidP="00321F34">
      <w:pPr>
        <w:numPr>
          <w:ilvl w:val="0"/>
          <w:numId w:val="21"/>
        </w:numPr>
        <w:overflowPunct w:val="0"/>
        <w:autoSpaceDE w:val="0"/>
        <w:autoSpaceDN w:val="0"/>
        <w:adjustRightInd w:val="0"/>
        <w:spacing w:after="0" w:line="240" w:lineRule="auto"/>
        <w:jc w:val="both"/>
        <w:textAlignment w:val="baseline"/>
      </w:pPr>
      <w:bookmarkStart w:id="14" w:name="_Ref142051606"/>
      <w:r>
        <w:rPr>
          <w:lang w:eastAsia="zh-CN"/>
        </w:rPr>
        <w:t xml:space="preserve">R1-2300323, </w:t>
      </w:r>
      <w:r w:rsidRPr="004E76E4">
        <w:rPr>
          <w:i/>
          <w:iCs/>
        </w:rPr>
        <w:t xml:space="preserve">FL </w:t>
      </w:r>
      <w:r w:rsidRPr="00B056C6">
        <w:rPr>
          <w:i/>
          <w:iCs/>
        </w:rPr>
        <w:t>Summary #4:</w:t>
      </w:r>
      <w:r w:rsidRPr="004E76E4">
        <w:rPr>
          <w:i/>
          <w:iCs/>
        </w:rPr>
        <w:t xml:space="preserve"> Network verified UE location for NR NTN</w:t>
      </w:r>
      <w:r>
        <w:t>, Thales, 3GPP WG RAN1 #112.</w:t>
      </w:r>
      <w:bookmarkEnd w:id="14"/>
    </w:p>
    <w:p w14:paraId="3A3C4A38" w14:textId="5D8C2211" w:rsidR="004E76E4" w:rsidRPr="004E76E4" w:rsidRDefault="004E76E4" w:rsidP="00321F34">
      <w:pPr>
        <w:numPr>
          <w:ilvl w:val="0"/>
          <w:numId w:val="21"/>
        </w:numPr>
        <w:overflowPunct w:val="0"/>
        <w:autoSpaceDE w:val="0"/>
        <w:autoSpaceDN w:val="0"/>
        <w:adjustRightInd w:val="0"/>
        <w:spacing w:after="0" w:line="240" w:lineRule="auto"/>
        <w:jc w:val="both"/>
        <w:textAlignment w:val="baseline"/>
      </w:pPr>
      <w:bookmarkStart w:id="15" w:name="_Ref142051832"/>
      <w:r w:rsidRPr="004E76E4">
        <w:t>RP-231451</w:t>
      </w:r>
      <w:r>
        <w:t xml:space="preserve">, </w:t>
      </w:r>
      <w:r w:rsidRPr="004E76E4">
        <w:rPr>
          <w:i/>
          <w:iCs/>
          <w:lang w:val="fr-FR"/>
        </w:rPr>
        <w:t>Way forward for the Rel-18 WID NR_NTN_enh</w:t>
      </w:r>
      <w:r>
        <w:rPr>
          <w:lang w:val="fr-FR"/>
        </w:rPr>
        <w:t>, TSG RAN #100.</w:t>
      </w:r>
      <w:bookmarkEnd w:id="15"/>
    </w:p>
    <w:p w14:paraId="2D707482" w14:textId="7ABCD691" w:rsidR="000040DC" w:rsidRPr="00847264" w:rsidRDefault="000040DC" w:rsidP="00B056C6">
      <w:pPr>
        <w:pStyle w:val="ListParagraph"/>
        <w:ind w:right="-22"/>
      </w:pP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71C6F" w14:textId="77777777" w:rsidR="00D75753" w:rsidRDefault="00D75753" w:rsidP="00001C9B">
      <w:pPr>
        <w:spacing w:after="0" w:line="240" w:lineRule="auto"/>
      </w:pPr>
      <w:r>
        <w:separator/>
      </w:r>
    </w:p>
  </w:endnote>
  <w:endnote w:type="continuationSeparator" w:id="0">
    <w:p w14:paraId="7E51EAC3" w14:textId="77777777" w:rsidR="00D75753" w:rsidRDefault="00D75753" w:rsidP="00001C9B">
      <w:pPr>
        <w:spacing w:after="0" w:line="240" w:lineRule="auto"/>
      </w:pPr>
      <w:r>
        <w:continuationSeparator/>
      </w:r>
    </w:p>
  </w:endnote>
  <w:endnote w:type="continuationNotice" w:id="1">
    <w:p w14:paraId="7BE82700" w14:textId="77777777" w:rsidR="00D75753" w:rsidRDefault="00D757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FE14C" w14:textId="77777777" w:rsidR="00D75753" w:rsidRDefault="00D75753" w:rsidP="00001C9B">
      <w:pPr>
        <w:spacing w:after="0" w:line="240" w:lineRule="auto"/>
      </w:pPr>
      <w:r>
        <w:separator/>
      </w:r>
    </w:p>
  </w:footnote>
  <w:footnote w:type="continuationSeparator" w:id="0">
    <w:p w14:paraId="46C21030" w14:textId="77777777" w:rsidR="00D75753" w:rsidRDefault="00D75753" w:rsidP="00001C9B">
      <w:pPr>
        <w:spacing w:after="0" w:line="240" w:lineRule="auto"/>
      </w:pPr>
      <w:r>
        <w:continuationSeparator/>
      </w:r>
    </w:p>
  </w:footnote>
  <w:footnote w:type="continuationNotice" w:id="1">
    <w:p w14:paraId="30FBEFC6" w14:textId="77777777" w:rsidR="00D75753" w:rsidRDefault="00D757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6C28AA"/>
    <w:multiLevelType w:val="hybridMultilevel"/>
    <w:tmpl w:val="67A6A9EC"/>
    <w:lvl w:ilvl="0" w:tplc="334A237A">
      <w:start w:val="1"/>
      <w:numFmt w:val="bullet"/>
      <w:lvlText w:val="•"/>
      <w:lvlJc w:val="left"/>
      <w:pPr>
        <w:tabs>
          <w:tab w:val="num" w:pos="720"/>
        </w:tabs>
        <w:ind w:left="720" w:hanging="360"/>
      </w:pPr>
      <w:rPr>
        <w:rFonts w:ascii="Arial" w:hAnsi="Arial" w:hint="default"/>
      </w:rPr>
    </w:lvl>
    <w:lvl w:ilvl="1" w:tplc="4CA492CC">
      <w:numFmt w:val="bullet"/>
      <w:lvlText w:val="•"/>
      <w:lvlJc w:val="left"/>
      <w:pPr>
        <w:tabs>
          <w:tab w:val="num" w:pos="1440"/>
        </w:tabs>
        <w:ind w:left="1440" w:hanging="360"/>
      </w:pPr>
      <w:rPr>
        <w:rFonts w:ascii="Arial" w:hAnsi="Arial" w:hint="default"/>
      </w:rPr>
    </w:lvl>
    <w:lvl w:ilvl="2" w:tplc="23E68384" w:tentative="1">
      <w:start w:val="1"/>
      <w:numFmt w:val="bullet"/>
      <w:lvlText w:val="•"/>
      <w:lvlJc w:val="left"/>
      <w:pPr>
        <w:tabs>
          <w:tab w:val="num" w:pos="2160"/>
        </w:tabs>
        <w:ind w:left="2160" w:hanging="360"/>
      </w:pPr>
      <w:rPr>
        <w:rFonts w:ascii="Arial" w:hAnsi="Arial" w:hint="default"/>
      </w:rPr>
    </w:lvl>
    <w:lvl w:ilvl="3" w:tplc="D164982E" w:tentative="1">
      <w:start w:val="1"/>
      <w:numFmt w:val="bullet"/>
      <w:lvlText w:val="•"/>
      <w:lvlJc w:val="left"/>
      <w:pPr>
        <w:tabs>
          <w:tab w:val="num" w:pos="2880"/>
        </w:tabs>
        <w:ind w:left="2880" w:hanging="360"/>
      </w:pPr>
      <w:rPr>
        <w:rFonts w:ascii="Arial" w:hAnsi="Arial" w:hint="default"/>
      </w:rPr>
    </w:lvl>
    <w:lvl w:ilvl="4" w:tplc="856AC8CC" w:tentative="1">
      <w:start w:val="1"/>
      <w:numFmt w:val="bullet"/>
      <w:lvlText w:val="•"/>
      <w:lvlJc w:val="left"/>
      <w:pPr>
        <w:tabs>
          <w:tab w:val="num" w:pos="3600"/>
        </w:tabs>
        <w:ind w:left="3600" w:hanging="360"/>
      </w:pPr>
      <w:rPr>
        <w:rFonts w:ascii="Arial" w:hAnsi="Arial" w:hint="default"/>
      </w:rPr>
    </w:lvl>
    <w:lvl w:ilvl="5" w:tplc="E90403E2" w:tentative="1">
      <w:start w:val="1"/>
      <w:numFmt w:val="bullet"/>
      <w:lvlText w:val="•"/>
      <w:lvlJc w:val="left"/>
      <w:pPr>
        <w:tabs>
          <w:tab w:val="num" w:pos="4320"/>
        </w:tabs>
        <w:ind w:left="4320" w:hanging="360"/>
      </w:pPr>
      <w:rPr>
        <w:rFonts w:ascii="Arial" w:hAnsi="Arial" w:hint="default"/>
      </w:rPr>
    </w:lvl>
    <w:lvl w:ilvl="6" w:tplc="4D925B50" w:tentative="1">
      <w:start w:val="1"/>
      <w:numFmt w:val="bullet"/>
      <w:lvlText w:val="•"/>
      <w:lvlJc w:val="left"/>
      <w:pPr>
        <w:tabs>
          <w:tab w:val="num" w:pos="5040"/>
        </w:tabs>
        <w:ind w:left="5040" w:hanging="360"/>
      </w:pPr>
      <w:rPr>
        <w:rFonts w:ascii="Arial" w:hAnsi="Arial" w:hint="default"/>
      </w:rPr>
    </w:lvl>
    <w:lvl w:ilvl="7" w:tplc="904AD9D6" w:tentative="1">
      <w:start w:val="1"/>
      <w:numFmt w:val="bullet"/>
      <w:lvlText w:val="•"/>
      <w:lvlJc w:val="left"/>
      <w:pPr>
        <w:tabs>
          <w:tab w:val="num" w:pos="5760"/>
        </w:tabs>
        <w:ind w:left="5760" w:hanging="360"/>
      </w:pPr>
      <w:rPr>
        <w:rFonts w:ascii="Arial" w:hAnsi="Arial" w:hint="default"/>
      </w:rPr>
    </w:lvl>
    <w:lvl w:ilvl="8" w:tplc="89748E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C106FDA"/>
    <w:multiLevelType w:val="hybridMultilevel"/>
    <w:tmpl w:val="96D4D456"/>
    <w:lvl w:ilvl="0" w:tplc="8528C37A">
      <w:start w:val="1"/>
      <w:numFmt w:val="bullet"/>
      <w:lvlText w:val="–"/>
      <w:lvlJc w:val="left"/>
      <w:pPr>
        <w:tabs>
          <w:tab w:val="num" w:pos="720"/>
        </w:tabs>
        <w:ind w:left="720" w:hanging="360"/>
      </w:pPr>
      <w:rPr>
        <w:rFonts w:ascii="Arial" w:hAnsi="Arial" w:hint="default"/>
      </w:rPr>
    </w:lvl>
    <w:lvl w:ilvl="1" w:tplc="A792FE6E">
      <w:start w:val="1"/>
      <w:numFmt w:val="bullet"/>
      <w:lvlText w:val="–"/>
      <w:lvlJc w:val="left"/>
      <w:pPr>
        <w:tabs>
          <w:tab w:val="num" w:pos="1440"/>
        </w:tabs>
        <w:ind w:left="1440" w:hanging="360"/>
      </w:pPr>
      <w:rPr>
        <w:rFonts w:ascii="Arial" w:hAnsi="Arial" w:hint="default"/>
      </w:rPr>
    </w:lvl>
    <w:lvl w:ilvl="2" w:tplc="47E816C4">
      <w:numFmt w:val="bullet"/>
      <w:lvlText w:val="•"/>
      <w:lvlJc w:val="left"/>
      <w:pPr>
        <w:tabs>
          <w:tab w:val="num" w:pos="2160"/>
        </w:tabs>
        <w:ind w:left="2160" w:hanging="360"/>
      </w:pPr>
      <w:rPr>
        <w:rFonts w:ascii="Arial" w:hAnsi="Arial" w:hint="default"/>
      </w:rPr>
    </w:lvl>
    <w:lvl w:ilvl="3" w:tplc="B880B606">
      <w:numFmt w:val="bullet"/>
      <w:lvlText w:val="–"/>
      <w:lvlJc w:val="left"/>
      <w:pPr>
        <w:tabs>
          <w:tab w:val="num" w:pos="2880"/>
        </w:tabs>
        <w:ind w:left="2880" w:hanging="360"/>
      </w:pPr>
      <w:rPr>
        <w:rFonts w:ascii="Arial" w:hAnsi="Arial" w:hint="default"/>
      </w:rPr>
    </w:lvl>
    <w:lvl w:ilvl="4" w:tplc="B0A05C2C" w:tentative="1">
      <w:start w:val="1"/>
      <w:numFmt w:val="bullet"/>
      <w:lvlText w:val="–"/>
      <w:lvlJc w:val="left"/>
      <w:pPr>
        <w:tabs>
          <w:tab w:val="num" w:pos="3600"/>
        </w:tabs>
        <w:ind w:left="3600" w:hanging="360"/>
      </w:pPr>
      <w:rPr>
        <w:rFonts w:ascii="Arial" w:hAnsi="Arial" w:hint="default"/>
      </w:rPr>
    </w:lvl>
    <w:lvl w:ilvl="5" w:tplc="749026D2" w:tentative="1">
      <w:start w:val="1"/>
      <w:numFmt w:val="bullet"/>
      <w:lvlText w:val="–"/>
      <w:lvlJc w:val="left"/>
      <w:pPr>
        <w:tabs>
          <w:tab w:val="num" w:pos="4320"/>
        </w:tabs>
        <w:ind w:left="4320" w:hanging="360"/>
      </w:pPr>
      <w:rPr>
        <w:rFonts w:ascii="Arial" w:hAnsi="Arial" w:hint="default"/>
      </w:rPr>
    </w:lvl>
    <w:lvl w:ilvl="6" w:tplc="C0F8772E" w:tentative="1">
      <w:start w:val="1"/>
      <w:numFmt w:val="bullet"/>
      <w:lvlText w:val="–"/>
      <w:lvlJc w:val="left"/>
      <w:pPr>
        <w:tabs>
          <w:tab w:val="num" w:pos="5040"/>
        </w:tabs>
        <w:ind w:left="5040" w:hanging="360"/>
      </w:pPr>
      <w:rPr>
        <w:rFonts w:ascii="Arial" w:hAnsi="Arial" w:hint="default"/>
      </w:rPr>
    </w:lvl>
    <w:lvl w:ilvl="7" w:tplc="B5421360" w:tentative="1">
      <w:start w:val="1"/>
      <w:numFmt w:val="bullet"/>
      <w:lvlText w:val="–"/>
      <w:lvlJc w:val="left"/>
      <w:pPr>
        <w:tabs>
          <w:tab w:val="num" w:pos="5760"/>
        </w:tabs>
        <w:ind w:left="5760" w:hanging="360"/>
      </w:pPr>
      <w:rPr>
        <w:rFonts w:ascii="Arial" w:hAnsi="Arial" w:hint="default"/>
      </w:rPr>
    </w:lvl>
    <w:lvl w:ilvl="8" w:tplc="CBA89FC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4"/>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6"/>
  </w:num>
  <w:num w:numId="16" w16cid:durableId="516113510">
    <w:abstractNumId w:val="4"/>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36467432">
    <w:abstractNumId w:val="17"/>
  </w:num>
  <w:num w:numId="28" w16cid:durableId="304625399">
    <w:abstractNumId w:val="13"/>
  </w:num>
  <w:num w:numId="29" w16cid:durableId="1477799921">
    <w:abstractNumId w:val="15"/>
  </w:num>
  <w:num w:numId="30" w16cid:durableId="4226506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41269"/>
    <w:rsid w:val="00001C9B"/>
    <w:rsid w:val="0000408E"/>
    <w:rsid w:val="000040DC"/>
    <w:rsid w:val="00011784"/>
    <w:rsid w:val="000151EF"/>
    <w:rsid w:val="00022D08"/>
    <w:rsid w:val="000239F5"/>
    <w:rsid w:val="00025E7D"/>
    <w:rsid w:val="000729CD"/>
    <w:rsid w:val="00076AB7"/>
    <w:rsid w:val="0008612A"/>
    <w:rsid w:val="00090E18"/>
    <w:rsid w:val="000A10BC"/>
    <w:rsid w:val="000A55D6"/>
    <w:rsid w:val="000B0056"/>
    <w:rsid w:val="000B7679"/>
    <w:rsid w:val="000C3C7B"/>
    <w:rsid w:val="000D0F93"/>
    <w:rsid w:val="000D4E8C"/>
    <w:rsid w:val="00106416"/>
    <w:rsid w:val="00107743"/>
    <w:rsid w:val="00110481"/>
    <w:rsid w:val="001127C9"/>
    <w:rsid w:val="00114498"/>
    <w:rsid w:val="00115B88"/>
    <w:rsid w:val="00132F6A"/>
    <w:rsid w:val="00133913"/>
    <w:rsid w:val="00140189"/>
    <w:rsid w:val="00140221"/>
    <w:rsid w:val="001642FC"/>
    <w:rsid w:val="0016496B"/>
    <w:rsid w:val="001743E2"/>
    <w:rsid w:val="001745F8"/>
    <w:rsid w:val="00175E77"/>
    <w:rsid w:val="001838CF"/>
    <w:rsid w:val="001868EE"/>
    <w:rsid w:val="001A3BA4"/>
    <w:rsid w:val="001A6D1F"/>
    <w:rsid w:val="001E30F6"/>
    <w:rsid w:val="001F1125"/>
    <w:rsid w:val="00216220"/>
    <w:rsid w:val="00217EE5"/>
    <w:rsid w:val="00235F5C"/>
    <w:rsid w:val="00257FA3"/>
    <w:rsid w:val="00262F27"/>
    <w:rsid w:val="00277B56"/>
    <w:rsid w:val="00282F33"/>
    <w:rsid w:val="0028733C"/>
    <w:rsid w:val="002A039D"/>
    <w:rsid w:val="002A19F5"/>
    <w:rsid w:val="002A42AB"/>
    <w:rsid w:val="002B4922"/>
    <w:rsid w:val="002C22C3"/>
    <w:rsid w:val="002C2D19"/>
    <w:rsid w:val="002D10FA"/>
    <w:rsid w:val="002D4C55"/>
    <w:rsid w:val="002E0A44"/>
    <w:rsid w:val="002E6DED"/>
    <w:rsid w:val="00300956"/>
    <w:rsid w:val="00311B50"/>
    <w:rsid w:val="00314121"/>
    <w:rsid w:val="00317187"/>
    <w:rsid w:val="0032147F"/>
    <w:rsid w:val="00321F34"/>
    <w:rsid w:val="0032499A"/>
    <w:rsid w:val="0032643E"/>
    <w:rsid w:val="003341F7"/>
    <w:rsid w:val="00347FEC"/>
    <w:rsid w:val="003509DF"/>
    <w:rsid w:val="00353268"/>
    <w:rsid w:val="00356F45"/>
    <w:rsid w:val="00366B74"/>
    <w:rsid w:val="00371AC6"/>
    <w:rsid w:val="0037318B"/>
    <w:rsid w:val="003733B5"/>
    <w:rsid w:val="00382D65"/>
    <w:rsid w:val="003A710A"/>
    <w:rsid w:val="003B13B2"/>
    <w:rsid w:val="003B659E"/>
    <w:rsid w:val="003C275E"/>
    <w:rsid w:val="003C4FDE"/>
    <w:rsid w:val="003E58DF"/>
    <w:rsid w:val="00404C4C"/>
    <w:rsid w:val="0041423F"/>
    <w:rsid w:val="00414F81"/>
    <w:rsid w:val="00436A0F"/>
    <w:rsid w:val="00437150"/>
    <w:rsid w:val="0043750A"/>
    <w:rsid w:val="00445340"/>
    <w:rsid w:val="00447577"/>
    <w:rsid w:val="004544D6"/>
    <w:rsid w:val="00456E77"/>
    <w:rsid w:val="00463774"/>
    <w:rsid w:val="00465E51"/>
    <w:rsid w:val="004732E9"/>
    <w:rsid w:val="004768E0"/>
    <w:rsid w:val="004854BB"/>
    <w:rsid w:val="00494493"/>
    <w:rsid w:val="00494692"/>
    <w:rsid w:val="00496606"/>
    <w:rsid w:val="004B4630"/>
    <w:rsid w:val="004D019E"/>
    <w:rsid w:val="004E2EC0"/>
    <w:rsid w:val="004E5E66"/>
    <w:rsid w:val="004E76E4"/>
    <w:rsid w:val="004E7ADB"/>
    <w:rsid w:val="00503B4D"/>
    <w:rsid w:val="00504EE9"/>
    <w:rsid w:val="00511AC0"/>
    <w:rsid w:val="00521576"/>
    <w:rsid w:val="005250E6"/>
    <w:rsid w:val="00536F6A"/>
    <w:rsid w:val="00542D23"/>
    <w:rsid w:val="0054442C"/>
    <w:rsid w:val="00550285"/>
    <w:rsid w:val="005548B9"/>
    <w:rsid w:val="00562492"/>
    <w:rsid w:val="00572A20"/>
    <w:rsid w:val="005836F8"/>
    <w:rsid w:val="005918FA"/>
    <w:rsid w:val="00592A86"/>
    <w:rsid w:val="005B4801"/>
    <w:rsid w:val="005C23A4"/>
    <w:rsid w:val="005D1CDF"/>
    <w:rsid w:val="005D2BB7"/>
    <w:rsid w:val="005D6546"/>
    <w:rsid w:val="005E1067"/>
    <w:rsid w:val="005E61A8"/>
    <w:rsid w:val="005F6419"/>
    <w:rsid w:val="0060543D"/>
    <w:rsid w:val="006104DD"/>
    <w:rsid w:val="006130B5"/>
    <w:rsid w:val="0061600D"/>
    <w:rsid w:val="00616E73"/>
    <w:rsid w:val="00617400"/>
    <w:rsid w:val="00632D29"/>
    <w:rsid w:val="00664950"/>
    <w:rsid w:val="00683220"/>
    <w:rsid w:val="00687708"/>
    <w:rsid w:val="00687FA0"/>
    <w:rsid w:val="006A0CD7"/>
    <w:rsid w:val="006A1F2C"/>
    <w:rsid w:val="006A3C11"/>
    <w:rsid w:val="006B1097"/>
    <w:rsid w:val="006B7010"/>
    <w:rsid w:val="006C0424"/>
    <w:rsid w:val="006C3095"/>
    <w:rsid w:val="006E1151"/>
    <w:rsid w:val="006E6311"/>
    <w:rsid w:val="006E6F75"/>
    <w:rsid w:val="006F6447"/>
    <w:rsid w:val="00707D84"/>
    <w:rsid w:val="007145FF"/>
    <w:rsid w:val="00715B2A"/>
    <w:rsid w:val="00743161"/>
    <w:rsid w:val="007450F1"/>
    <w:rsid w:val="00750640"/>
    <w:rsid w:val="00751515"/>
    <w:rsid w:val="007626B7"/>
    <w:rsid w:val="0078212B"/>
    <w:rsid w:val="00784DF6"/>
    <w:rsid w:val="00785232"/>
    <w:rsid w:val="007B186C"/>
    <w:rsid w:val="007C1696"/>
    <w:rsid w:val="007C3ED0"/>
    <w:rsid w:val="007C5971"/>
    <w:rsid w:val="007F54B9"/>
    <w:rsid w:val="00806A76"/>
    <w:rsid w:val="00811C9D"/>
    <w:rsid w:val="00816C80"/>
    <w:rsid w:val="00841BCD"/>
    <w:rsid w:val="008427C4"/>
    <w:rsid w:val="008469F6"/>
    <w:rsid w:val="00847264"/>
    <w:rsid w:val="00851A8E"/>
    <w:rsid w:val="00852E25"/>
    <w:rsid w:val="0085365B"/>
    <w:rsid w:val="008826C1"/>
    <w:rsid w:val="00883DFD"/>
    <w:rsid w:val="00884953"/>
    <w:rsid w:val="008A1BF7"/>
    <w:rsid w:val="008A5B0E"/>
    <w:rsid w:val="008B0961"/>
    <w:rsid w:val="008B434D"/>
    <w:rsid w:val="008B6BA8"/>
    <w:rsid w:val="008C39F7"/>
    <w:rsid w:val="008F589B"/>
    <w:rsid w:val="0090091A"/>
    <w:rsid w:val="009042BD"/>
    <w:rsid w:val="00904FE4"/>
    <w:rsid w:val="00910CC3"/>
    <w:rsid w:val="00914879"/>
    <w:rsid w:val="00936159"/>
    <w:rsid w:val="00964652"/>
    <w:rsid w:val="009714F7"/>
    <w:rsid w:val="00977E1D"/>
    <w:rsid w:val="009A6787"/>
    <w:rsid w:val="009B0573"/>
    <w:rsid w:val="009B7B4B"/>
    <w:rsid w:val="009B7C21"/>
    <w:rsid w:val="009F1B3F"/>
    <w:rsid w:val="009F5804"/>
    <w:rsid w:val="00A02328"/>
    <w:rsid w:val="00A04992"/>
    <w:rsid w:val="00A147AA"/>
    <w:rsid w:val="00A21D71"/>
    <w:rsid w:val="00A22B78"/>
    <w:rsid w:val="00A250BB"/>
    <w:rsid w:val="00A25AE5"/>
    <w:rsid w:val="00A37002"/>
    <w:rsid w:val="00A4355E"/>
    <w:rsid w:val="00A520D9"/>
    <w:rsid w:val="00A840F2"/>
    <w:rsid w:val="00A92BCD"/>
    <w:rsid w:val="00AA1B0E"/>
    <w:rsid w:val="00AA47B6"/>
    <w:rsid w:val="00AC0713"/>
    <w:rsid w:val="00AC163B"/>
    <w:rsid w:val="00AC5CA7"/>
    <w:rsid w:val="00AC6058"/>
    <w:rsid w:val="00AC663C"/>
    <w:rsid w:val="00AD78DB"/>
    <w:rsid w:val="00AE2949"/>
    <w:rsid w:val="00AE2BA5"/>
    <w:rsid w:val="00AE56B1"/>
    <w:rsid w:val="00AE6D09"/>
    <w:rsid w:val="00AF7A7C"/>
    <w:rsid w:val="00B02070"/>
    <w:rsid w:val="00B056C6"/>
    <w:rsid w:val="00B1126B"/>
    <w:rsid w:val="00B408B6"/>
    <w:rsid w:val="00B44009"/>
    <w:rsid w:val="00B47403"/>
    <w:rsid w:val="00B542DA"/>
    <w:rsid w:val="00B54998"/>
    <w:rsid w:val="00B56F98"/>
    <w:rsid w:val="00B73862"/>
    <w:rsid w:val="00B73F43"/>
    <w:rsid w:val="00B75BBF"/>
    <w:rsid w:val="00BA6B66"/>
    <w:rsid w:val="00BA6E48"/>
    <w:rsid w:val="00BE0AF6"/>
    <w:rsid w:val="00BE1F03"/>
    <w:rsid w:val="00BE58A7"/>
    <w:rsid w:val="00BF2218"/>
    <w:rsid w:val="00C0426B"/>
    <w:rsid w:val="00C045DF"/>
    <w:rsid w:val="00C159EE"/>
    <w:rsid w:val="00C16375"/>
    <w:rsid w:val="00C20C04"/>
    <w:rsid w:val="00C26D43"/>
    <w:rsid w:val="00C2760B"/>
    <w:rsid w:val="00C41269"/>
    <w:rsid w:val="00C46548"/>
    <w:rsid w:val="00C574D5"/>
    <w:rsid w:val="00C73F32"/>
    <w:rsid w:val="00C87462"/>
    <w:rsid w:val="00CA180C"/>
    <w:rsid w:val="00CB22B2"/>
    <w:rsid w:val="00CC3EE2"/>
    <w:rsid w:val="00CD7492"/>
    <w:rsid w:val="00CE3A6B"/>
    <w:rsid w:val="00CF62B5"/>
    <w:rsid w:val="00D00211"/>
    <w:rsid w:val="00D04C34"/>
    <w:rsid w:val="00D06309"/>
    <w:rsid w:val="00D351EA"/>
    <w:rsid w:val="00D36800"/>
    <w:rsid w:val="00D40288"/>
    <w:rsid w:val="00D43403"/>
    <w:rsid w:val="00D5270B"/>
    <w:rsid w:val="00D62E71"/>
    <w:rsid w:val="00D6316E"/>
    <w:rsid w:val="00D6430D"/>
    <w:rsid w:val="00D66188"/>
    <w:rsid w:val="00D71825"/>
    <w:rsid w:val="00D731F6"/>
    <w:rsid w:val="00D740CA"/>
    <w:rsid w:val="00D75753"/>
    <w:rsid w:val="00D75DE0"/>
    <w:rsid w:val="00D85728"/>
    <w:rsid w:val="00D90C53"/>
    <w:rsid w:val="00D95481"/>
    <w:rsid w:val="00DC7A13"/>
    <w:rsid w:val="00DD2CE3"/>
    <w:rsid w:val="00DE7EA1"/>
    <w:rsid w:val="00DF2997"/>
    <w:rsid w:val="00E02BBB"/>
    <w:rsid w:val="00E10BC4"/>
    <w:rsid w:val="00E1415D"/>
    <w:rsid w:val="00E23EBA"/>
    <w:rsid w:val="00E323E9"/>
    <w:rsid w:val="00E34018"/>
    <w:rsid w:val="00E437D2"/>
    <w:rsid w:val="00E52B3F"/>
    <w:rsid w:val="00E55751"/>
    <w:rsid w:val="00E642B3"/>
    <w:rsid w:val="00E72459"/>
    <w:rsid w:val="00E72515"/>
    <w:rsid w:val="00E94E3F"/>
    <w:rsid w:val="00EA2311"/>
    <w:rsid w:val="00EC1FD7"/>
    <w:rsid w:val="00EC7BC3"/>
    <w:rsid w:val="00ED7600"/>
    <w:rsid w:val="00EF045E"/>
    <w:rsid w:val="00EF6073"/>
    <w:rsid w:val="00EF698B"/>
    <w:rsid w:val="00F06646"/>
    <w:rsid w:val="00F06B88"/>
    <w:rsid w:val="00F1362C"/>
    <w:rsid w:val="00F414F1"/>
    <w:rsid w:val="00F508B8"/>
    <w:rsid w:val="00F72CB1"/>
    <w:rsid w:val="00F8215E"/>
    <w:rsid w:val="00F824F5"/>
    <w:rsid w:val="00F90FAB"/>
    <w:rsid w:val="00F9374D"/>
    <w:rsid w:val="00FC29B9"/>
    <w:rsid w:val="00FC6FD3"/>
    <w:rsid w:val="00FD5D0D"/>
    <w:rsid w:val="00FE0AD5"/>
    <w:rsid w:val="00FE305C"/>
    <w:rsid w:val="00FE7284"/>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C242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6B1097"/>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B1Char">
    <w:name w:val="B1 Char"/>
    <w:link w:val="B1"/>
    <w:qFormat/>
    <w:locked/>
    <w:rsid w:val="00025E7D"/>
    <w:rPr>
      <w:kern w:val="2"/>
      <w14:ligatures w14:val="standardContextual"/>
    </w:rPr>
  </w:style>
  <w:style w:type="paragraph" w:customStyle="1" w:styleId="B1">
    <w:name w:val="B1"/>
    <w:basedOn w:val="List"/>
    <w:link w:val="B1Char"/>
    <w:rsid w:val="00025E7D"/>
    <w:pPr>
      <w:spacing w:line="256" w:lineRule="auto"/>
      <w:ind w:left="568" w:hanging="284"/>
      <w:contextualSpacing w:val="0"/>
    </w:pPr>
    <w:rPr>
      <w:rFonts w:asciiTheme="minorHAnsi" w:hAnsiTheme="minorHAnsi"/>
      <w:kern w:val="2"/>
      <w:sz w:val="22"/>
      <w14:ligatures w14:val="standardContextual"/>
    </w:rPr>
  </w:style>
  <w:style w:type="paragraph" w:styleId="List">
    <w:name w:val="List"/>
    <w:basedOn w:val="Normal"/>
    <w:uiPriority w:val="99"/>
    <w:semiHidden/>
    <w:unhideWhenUsed/>
    <w:rsid w:val="00025E7D"/>
    <w:pPr>
      <w:ind w:left="283" w:hanging="283"/>
      <w:contextualSpacing/>
    </w:pPr>
  </w:style>
  <w:style w:type="paragraph" w:styleId="Revision">
    <w:name w:val="Revision"/>
    <w:hidden/>
    <w:uiPriority w:val="99"/>
    <w:semiHidden/>
    <w:rsid w:val="00B54998"/>
    <w:pPr>
      <w:spacing w:after="0" w:line="240" w:lineRule="auto"/>
    </w:pPr>
    <w:rPr>
      <w:rFonts w:ascii="Times New Roman" w:hAnsi="Times New Roman"/>
      <w:sz w:val="20"/>
    </w:rPr>
  </w:style>
  <w:style w:type="paragraph" w:styleId="Header">
    <w:name w:val="header"/>
    <w:basedOn w:val="Normal"/>
    <w:link w:val="HeaderChar"/>
    <w:uiPriority w:val="99"/>
    <w:unhideWhenUsed/>
    <w:rsid w:val="00B549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B54998"/>
    <w:rPr>
      <w:rFonts w:ascii="Times New Roman" w:hAnsi="Times New Roman"/>
      <w:sz w:val="20"/>
    </w:rPr>
  </w:style>
  <w:style w:type="paragraph" w:styleId="Footer">
    <w:name w:val="footer"/>
    <w:basedOn w:val="Normal"/>
    <w:link w:val="FooterChar"/>
    <w:uiPriority w:val="99"/>
    <w:unhideWhenUsed/>
    <w:rsid w:val="00B549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B54998"/>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7124707">
      <w:bodyDiv w:val="1"/>
      <w:marLeft w:val="0"/>
      <w:marRight w:val="0"/>
      <w:marTop w:val="0"/>
      <w:marBottom w:val="0"/>
      <w:divBdr>
        <w:top w:val="none" w:sz="0" w:space="0" w:color="auto"/>
        <w:left w:val="none" w:sz="0" w:space="0" w:color="auto"/>
        <w:bottom w:val="none" w:sz="0" w:space="0" w:color="auto"/>
        <w:right w:val="none" w:sz="0" w:space="0" w:color="auto"/>
      </w:divBdr>
    </w:div>
    <w:div w:id="1108433754">
      <w:bodyDiv w:val="1"/>
      <w:marLeft w:val="0"/>
      <w:marRight w:val="0"/>
      <w:marTop w:val="0"/>
      <w:marBottom w:val="0"/>
      <w:divBdr>
        <w:top w:val="none" w:sz="0" w:space="0" w:color="auto"/>
        <w:left w:val="none" w:sz="0" w:space="0" w:color="auto"/>
        <w:bottom w:val="none" w:sz="0" w:space="0" w:color="auto"/>
        <w:right w:val="none" w:sz="0" w:space="0" w:color="auto"/>
      </w:divBdr>
    </w:div>
    <w:div w:id="1159225336">
      <w:bodyDiv w:val="1"/>
      <w:marLeft w:val="0"/>
      <w:marRight w:val="0"/>
      <w:marTop w:val="0"/>
      <w:marBottom w:val="0"/>
      <w:divBdr>
        <w:top w:val="none" w:sz="0" w:space="0" w:color="auto"/>
        <w:left w:val="none" w:sz="0" w:space="0" w:color="auto"/>
        <w:bottom w:val="none" w:sz="0" w:space="0" w:color="auto"/>
        <w:right w:val="none" w:sz="0" w:space="0" w:color="auto"/>
      </w:divBdr>
    </w:div>
    <w:div w:id="1310162452">
      <w:bodyDiv w:val="1"/>
      <w:marLeft w:val="0"/>
      <w:marRight w:val="0"/>
      <w:marTop w:val="0"/>
      <w:marBottom w:val="0"/>
      <w:divBdr>
        <w:top w:val="none" w:sz="0" w:space="0" w:color="auto"/>
        <w:left w:val="none" w:sz="0" w:space="0" w:color="auto"/>
        <w:bottom w:val="none" w:sz="0" w:space="0" w:color="auto"/>
        <w:right w:val="none" w:sz="0" w:space="0" w:color="auto"/>
      </w:divBdr>
    </w:div>
    <w:div w:id="1327245308">
      <w:bodyDiv w:val="1"/>
      <w:marLeft w:val="0"/>
      <w:marRight w:val="0"/>
      <w:marTop w:val="0"/>
      <w:marBottom w:val="0"/>
      <w:divBdr>
        <w:top w:val="none" w:sz="0" w:space="0" w:color="auto"/>
        <w:left w:val="none" w:sz="0" w:space="0" w:color="auto"/>
        <w:bottom w:val="none" w:sz="0" w:space="0" w:color="auto"/>
        <w:right w:val="none" w:sz="0" w:space="0" w:color="auto"/>
      </w:divBdr>
      <w:divsChild>
        <w:div w:id="338121569">
          <w:marLeft w:val="2520"/>
          <w:marRight w:val="0"/>
          <w:marTop w:val="86"/>
          <w:marBottom w:val="0"/>
          <w:divBdr>
            <w:top w:val="none" w:sz="0" w:space="0" w:color="auto"/>
            <w:left w:val="none" w:sz="0" w:space="0" w:color="auto"/>
            <w:bottom w:val="none" w:sz="0" w:space="0" w:color="auto"/>
            <w:right w:val="none" w:sz="0" w:space="0" w:color="auto"/>
          </w:divBdr>
        </w:div>
        <w:div w:id="343018732">
          <w:marLeft w:val="1166"/>
          <w:marRight w:val="0"/>
          <w:marTop w:val="115"/>
          <w:marBottom w:val="0"/>
          <w:divBdr>
            <w:top w:val="none" w:sz="0" w:space="0" w:color="auto"/>
            <w:left w:val="none" w:sz="0" w:space="0" w:color="auto"/>
            <w:bottom w:val="none" w:sz="0" w:space="0" w:color="auto"/>
            <w:right w:val="none" w:sz="0" w:space="0" w:color="auto"/>
          </w:divBdr>
        </w:div>
        <w:div w:id="375735271">
          <w:marLeft w:val="1800"/>
          <w:marRight w:val="0"/>
          <w:marTop w:val="96"/>
          <w:marBottom w:val="0"/>
          <w:divBdr>
            <w:top w:val="none" w:sz="0" w:space="0" w:color="auto"/>
            <w:left w:val="none" w:sz="0" w:space="0" w:color="auto"/>
            <w:bottom w:val="none" w:sz="0" w:space="0" w:color="auto"/>
            <w:right w:val="none" w:sz="0" w:space="0" w:color="auto"/>
          </w:divBdr>
        </w:div>
        <w:div w:id="1756169344">
          <w:marLeft w:val="1166"/>
          <w:marRight w:val="0"/>
          <w:marTop w:val="115"/>
          <w:marBottom w:val="0"/>
          <w:divBdr>
            <w:top w:val="none" w:sz="0" w:space="0" w:color="auto"/>
            <w:left w:val="none" w:sz="0" w:space="0" w:color="auto"/>
            <w:bottom w:val="none" w:sz="0" w:space="0" w:color="auto"/>
            <w:right w:val="none" w:sz="0" w:space="0" w:color="auto"/>
          </w:divBdr>
        </w:div>
      </w:divsChild>
    </w:div>
    <w:div w:id="1356544715">
      <w:bodyDiv w:val="1"/>
      <w:marLeft w:val="0"/>
      <w:marRight w:val="0"/>
      <w:marTop w:val="0"/>
      <w:marBottom w:val="0"/>
      <w:divBdr>
        <w:top w:val="none" w:sz="0" w:space="0" w:color="auto"/>
        <w:left w:val="none" w:sz="0" w:space="0" w:color="auto"/>
        <w:bottom w:val="none" w:sz="0" w:space="0" w:color="auto"/>
        <w:right w:val="none" w:sz="0" w:space="0" w:color="auto"/>
      </w:divBdr>
    </w:div>
    <w:div w:id="1939555674">
      <w:bodyDiv w:val="1"/>
      <w:marLeft w:val="0"/>
      <w:marRight w:val="0"/>
      <w:marTop w:val="0"/>
      <w:marBottom w:val="0"/>
      <w:divBdr>
        <w:top w:val="none" w:sz="0" w:space="0" w:color="auto"/>
        <w:left w:val="none" w:sz="0" w:space="0" w:color="auto"/>
        <w:bottom w:val="none" w:sz="0" w:space="0" w:color="auto"/>
        <w:right w:val="none" w:sz="0" w:space="0" w:color="auto"/>
      </w:divBdr>
    </w:div>
    <w:div w:id="2075274024">
      <w:bodyDiv w:val="1"/>
      <w:marLeft w:val="0"/>
      <w:marRight w:val="0"/>
      <w:marTop w:val="0"/>
      <w:marBottom w:val="0"/>
      <w:divBdr>
        <w:top w:val="none" w:sz="0" w:space="0" w:color="auto"/>
        <w:left w:val="none" w:sz="0" w:space="0" w:color="auto"/>
        <w:bottom w:val="none" w:sz="0" w:space="0" w:color="auto"/>
        <w:right w:val="none" w:sz="0" w:space="0" w:color="auto"/>
      </w:divBdr>
      <w:divsChild>
        <w:div w:id="674498209">
          <w:marLeft w:val="274"/>
          <w:marRight w:val="0"/>
          <w:marTop w:val="0"/>
          <w:marBottom w:val="120"/>
          <w:divBdr>
            <w:top w:val="none" w:sz="0" w:space="0" w:color="auto"/>
            <w:left w:val="none" w:sz="0" w:space="0" w:color="auto"/>
            <w:bottom w:val="none" w:sz="0" w:space="0" w:color="auto"/>
            <w:right w:val="none" w:sz="0" w:space="0" w:color="auto"/>
          </w:divBdr>
        </w:div>
        <w:div w:id="1303466243">
          <w:marLeft w:val="547"/>
          <w:marRight w:val="0"/>
          <w:marTop w:val="0"/>
          <w:marBottom w:val="120"/>
          <w:divBdr>
            <w:top w:val="none" w:sz="0" w:space="0" w:color="auto"/>
            <w:left w:val="none" w:sz="0" w:space="0" w:color="auto"/>
            <w:bottom w:val="none" w:sz="0" w:space="0" w:color="auto"/>
            <w:right w:val="none" w:sz="0" w:space="0" w:color="auto"/>
          </w:divBdr>
        </w:div>
        <w:div w:id="1707103229">
          <w:marLeft w:val="547"/>
          <w:marRight w:val="0"/>
          <w:marTop w:val="0"/>
          <w:marBottom w:val="120"/>
          <w:divBdr>
            <w:top w:val="none" w:sz="0" w:space="0" w:color="auto"/>
            <w:left w:val="none" w:sz="0" w:space="0" w:color="auto"/>
            <w:bottom w:val="none" w:sz="0" w:space="0" w:color="auto"/>
            <w:right w:val="none" w:sz="0" w:space="0" w:color="auto"/>
          </w:divBdr>
        </w:div>
        <w:div w:id="2010137298">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1497</Words>
  <Characters>8537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2023-08-11T15:55:00Z</dcterms:created>
  <dcterms:modified xsi:type="dcterms:W3CDTF">2023-08-11T16:07:00Z</dcterms:modified>
</cp:coreProperties>
</file>