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9803C" w14:textId="4E466B0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C4466E" w:rsidRPr="00C4466E">
        <w:rPr>
          <w:rFonts w:ascii="Arial" w:eastAsia="SimSun" w:hAnsi="Arial" w:cs="Times New Roman"/>
          <w:b/>
          <w:bCs/>
          <w:sz w:val="24"/>
          <w:szCs w:val="20"/>
          <w:lang w:eastAsia="ja-JP"/>
        </w:rPr>
        <w:t>R4-2313424</w:t>
      </w:r>
    </w:p>
    <w:p w14:paraId="73194FC4"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7A5193D0"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911E45">
        <w:rPr>
          <w:rFonts w:ascii="Arial" w:eastAsia="Calibri" w:hAnsi="Arial" w:cs="Arial"/>
          <w:b/>
          <w:bCs/>
          <w:sz w:val="24"/>
          <w:lang w:val="en-GB"/>
        </w:rPr>
        <w:t>Adaptation of</w:t>
      </w:r>
      <w:r w:rsidR="00D03BD3" w:rsidRPr="00D03BD3">
        <w:rPr>
          <w:rFonts w:ascii="Arial" w:eastAsia="Calibri" w:hAnsi="Arial" w:cs="Arial"/>
          <w:b/>
          <w:bCs/>
          <w:sz w:val="24"/>
          <w:lang w:val="en-GB"/>
        </w:rPr>
        <w:t xml:space="preserve"> requirements for operation at 10 GHz</w:t>
      </w:r>
      <w:r w:rsidR="00D03BD3">
        <w:rPr>
          <w:rFonts w:ascii="Arial" w:eastAsia="Calibri" w:hAnsi="Arial" w:cs="Arial"/>
          <w:b/>
          <w:bCs/>
          <w:sz w:val="24"/>
          <w:lang w:val="en-GB"/>
        </w:rPr>
        <w:t xml:space="preserve"> in NTN</w:t>
      </w:r>
    </w:p>
    <w:p w14:paraId="0E7583EC" w14:textId="72250161"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E87EA0">
        <w:rPr>
          <w:rFonts w:ascii="Arial" w:eastAsia="MS Mincho" w:hAnsi="Arial" w:cs="Arial"/>
          <w:b/>
          <w:bCs/>
          <w:sz w:val="24"/>
          <w:szCs w:val="20"/>
          <w:lang w:val="pt-BR"/>
        </w:rPr>
        <w:t>8.26.5.1</w:t>
      </w:r>
    </w:p>
    <w:p w14:paraId="4D52A9EF" w14:textId="77777777" w:rsidR="00D66188" w:rsidRPr="00ED1787" w:rsidRDefault="00841BCD" w:rsidP="00841BCD">
      <w:pPr>
        <w:tabs>
          <w:tab w:val="left" w:pos="1985"/>
        </w:tabs>
        <w:rPr>
          <w:rFonts w:ascii="Arial" w:eastAsia="Calibri" w:hAnsi="Arial" w:cs="Arial"/>
          <w:b/>
          <w:bCs/>
          <w:sz w:val="24"/>
          <w:lang w:val="pt-BR"/>
        </w:rPr>
      </w:pPr>
      <w:proofErr w:type="spellStart"/>
      <w:r w:rsidRPr="00ED1787">
        <w:rPr>
          <w:rFonts w:ascii="Arial" w:eastAsia="Calibri" w:hAnsi="Arial" w:cs="Arial"/>
          <w:b/>
          <w:bCs/>
          <w:sz w:val="24"/>
          <w:lang w:val="pt-BR"/>
        </w:rPr>
        <w:t>Document</w:t>
      </w:r>
      <w:proofErr w:type="spellEnd"/>
      <w:r w:rsidRPr="00ED1787">
        <w:rPr>
          <w:rFonts w:ascii="Arial" w:eastAsia="Calibri" w:hAnsi="Arial" w:cs="Arial"/>
          <w:b/>
          <w:bCs/>
          <w:sz w:val="24"/>
          <w:lang w:val="pt-BR"/>
        </w:rPr>
        <w:t xml:space="preserve"> for:</w:t>
      </w:r>
      <w:r w:rsidRPr="00ED1787">
        <w:rPr>
          <w:rFonts w:ascii="Arial" w:eastAsia="Calibri" w:hAnsi="Arial" w:cs="Arial"/>
          <w:b/>
          <w:bCs/>
          <w:sz w:val="24"/>
          <w:lang w:val="pt-BR"/>
        </w:rPr>
        <w:tab/>
      </w:r>
      <w:proofErr w:type="spellStart"/>
      <w:r w:rsidR="00AE6D09" w:rsidRPr="00ED1787">
        <w:rPr>
          <w:rFonts w:ascii="Arial" w:eastAsia="Calibri" w:hAnsi="Arial" w:cs="Arial"/>
          <w:b/>
          <w:bCs/>
          <w:sz w:val="24"/>
          <w:lang w:val="pt-BR"/>
        </w:rPr>
        <w:t>Discussion</w:t>
      </w:r>
      <w:proofErr w:type="spellEnd"/>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Targeted UE types: fixed and mobile VSAT. VSAT UE characteristics from TR38.821 to be considered in priority but additional NTN UE classes may be considered if </w:t>
            </w:r>
            <w:proofErr w:type="gramStart"/>
            <w:r w:rsidRPr="00134B7D">
              <w:rPr>
                <w:bCs/>
              </w:rPr>
              <w:t>justified</w:t>
            </w:r>
            <w:proofErr w:type="gramEnd"/>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FDD mode is assumed for satellite operation above 10 GHz, while TDD mode is assumed for terrestrial operation in </w:t>
            </w:r>
            <w:proofErr w:type="gramStart"/>
            <w:r w:rsidRPr="00134B7D">
              <w:rPr>
                <w:bCs/>
              </w:rPr>
              <w:t>FR2</w:t>
            </w:r>
            <w:proofErr w:type="gramEnd"/>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 xml:space="preserve">will serve as </w:t>
            </w:r>
            <w:proofErr w:type="gramStart"/>
            <w:r w:rsidRPr="00134B7D">
              <w:rPr>
                <w:bCs/>
              </w:rPr>
              <w:t>reference</w:t>
            </w:r>
            <w:proofErr w:type="gramEnd"/>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 xml:space="preserve">Specify Rx/Tx requirements for satellite access node and different VSAT UE class (not only 60 cm </w:t>
            </w:r>
            <w:r w:rsidRPr="00134B7D">
              <w:rPr>
                <w:bCs/>
              </w:rPr>
              <w:lastRenderedPageBreak/>
              <w:t>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w:t>
            </w:r>
            <w:proofErr w:type="gramStart"/>
            <w:r w:rsidRPr="00134B7D">
              <w:rPr>
                <w:bCs/>
              </w:rPr>
              <w:t>channels</w:t>
            </w:r>
            <w:proofErr w:type="gramEnd"/>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3F85F141" w14:textId="45E5732B" w:rsidR="001C0296" w:rsidRPr="008C39F7" w:rsidRDefault="001C0296" w:rsidP="005C23A4">
      <w:r>
        <w:t>In previous meetings, it became clear that the timing pre-compensation might be an issue for the operation above 10 GHz, as the duration of the cyclic prefix becomes smaller</w:t>
      </w:r>
      <w:r w:rsidR="00C07B05">
        <w:t xml:space="preserve"> </w:t>
      </w:r>
      <w:r w:rsidR="00C07B05">
        <w:fldChar w:fldCharType="begin"/>
      </w:r>
      <w:r w:rsidR="00C07B05">
        <w:instrText xml:space="preserve"> REF _Ref134708583 \r \h </w:instrText>
      </w:r>
      <w:r w:rsidR="00C07B05">
        <w:fldChar w:fldCharType="separate"/>
      </w:r>
      <w:r w:rsidR="00C07B05">
        <w:t>[3]</w:t>
      </w:r>
      <w:r w:rsidR="00C07B05">
        <w:fldChar w:fldCharType="end"/>
      </w:r>
      <w:r>
        <w:t xml:space="preserve">. </w:t>
      </w:r>
    </w:p>
    <w:p w14:paraId="08E28A22" w14:textId="77777777" w:rsidR="0060543D" w:rsidRPr="008C39F7" w:rsidRDefault="0060543D" w:rsidP="005C23A4"/>
    <w:p w14:paraId="75D9EA74" w14:textId="77777777" w:rsidR="003B659E" w:rsidRDefault="003B659E" w:rsidP="00AE56B1">
      <w:pPr>
        <w:pStyle w:val="RAN4H1"/>
      </w:pPr>
      <w:bookmarkStart w:id="6" w:name="_Toc116995842"/>
      <w:r w:rsidRPr="008C39F7">
        <w:t>Discussion</w:t>
      </w:r>
      <w:bookmarkEnd w:id="6"/>
    </w:p>
    <w:p w14:paraId="1478A87E" w14:textId="5A806DE4" w:rsidR="00AD0082" w:rsidRPr="00AD0082" w:rsidRDefault="00AD0082" w:rsidP="00AD0082">
      <w:pPr>
        <w:pStyle w:val="RAN4H2"/>
      </w:pPr>
      <w:r>
        <w:t xml:space="preserve">Discussion on transmit timing </w:t>
      </w:r>
      <w:proofErr w:type="gramStart"/>
      <w:r>
        <w:t>requirements</w:t>
      </w:r>
      <w:proofErr w:type="gramEnd"/>
    </w:p>
    <w:p w14:paraId="7768E499" w14:textId="4E0FF54C" w:rsidR="00025C10" w:rsidRDefault="00C07B05" w:rsidP="009C6E9D">
      <w:pPr>
        <w:jc w:val="both"/>
      </w:pPr>
      <w:r>
        <w:t>The issue of the timing relaxation due to GNSS inaccuracies has been previously discussed in RAN4 meetings (</w:t>
      </w:r>
      <w:r>
        <w:fldChar w:fldCharType="begin"/>
      </w:r>
      <w:r>
        <w:instrText xml:space="preserve"> REF _Ref134708583 \r \h </w:instrText>
      </w:r>
      <w:r w:rsidR="009C6E9D">
        <w:instrText xml:space="preserve"> \* MERGEFORMAT </w:instrText>
      </w:r>
      <w:r>
        <w:fldChar w:fldCharType="separate"/>
      </w:r>
      <w:r>
        <w:t>[3]</w:t>
      </w:r>
      <w:r>
        <w:fldChar w:fldCharType="end"/>
      </w:r>
      <w:r>
        <w:fldChar w:fldCharType="begin"/>
      </w:r>
      <w:r>
        <w:instrText xml:space="preserve"> REF _Ref141279468 \r \h </w:instrText>
      </w:r>
      <w:r w:rsidR="009C6E9D">
        <w:instrText xml:space="preserve"> \* MERGEFORMAT </w:instrText>
      </w:r>
      <w:r>
        <w:fldChar w:fldCharType="separate"/>
      </w:r>
      <w:r>
        <w:t>[4]</w:t>
      </w:r>
      <w:r>
        <w:fldChar w:fldCharType="end"/>
      </w:r>
      <w:r>
        <w:t>) and our point of view has been thoroughly exposed in previous contributions</w:t>
      </w:r>
      <w:r w:rsidR="00025C10">
        <w:t xml:space="preserve"> </w:t>
      </w:r>
      <w:r w:rsidR="00025C10">
        <w:fldChar w:fldCharType="begin"/>
      </w:r>
      <w:r w:rsidR="00025C10">
        <w:instrText xml:space="preserve"> REF _Ref141279468 \r \h </w:instrText>
      </w:r>
      <w:r w:rsidR="009C6E9D">
        <w:instrText xml:space="preserve"> \* MERGEFORMAT </w:instrText>
      </w:r>
      <w:r w:rsidR="002F6077">
        <w:fldChar w:fldCharType="separate"/>
      </w:r>
      <w:r w:rsidR="00025C10">
        <w:fldChar w:fldCharType="end"/>
      </w:r>
      <w:r w:rsidR="00025C10">
        <w:fldChar w:fldCharType="begin"/>
      </w:r>
      <w:r w:rsidR="00025C10">
        <w:instrText xml:space="preserve"> REF _Ref141279810 \r \h </w:instrText>
      </w:r>
      <w:r w:rsidR="009C6E9D">
        <w:instrText xml:space="preserve"> \* MERGEFORMAT </w:instrText>
      </w:r>
      <w:r w:rsidR="00025C10">
        <w:fldChar w:fldCharType="separate"/>
      </w:r>
      <w:r w:rsidR="00ED1D3C">
        <w:t>[5]</w:t>
      </w:r>
      <w:r w:rsidR="00025C10">
        <w:fldChar w:fldCharType="end"/>
      </w:r>
      <w:r w:rsidR="00025C10">
        <w:fldChar w:fldCharType="begin"/>
      </w:r>
      <w:r w:rsidR="00025C10">
        <w:instrText xml:space="preserve"> REF _Ref141279811 \r \h </w:instrText>
      </w:r>
      <w:r w:rsidR="009C6E9D">
        <w:instrText xml:space="preserve"> \* MERGEFORMAT </w:instrText>
      </w:r>
      <w:r w:rsidR="00025C10">
        <w:fldChar w:fldCharType="separate"/>
      </w:r>
      <w:r w:rsidR="00ED1D3C">
        <w:t>[6]</w:t>
      </w:r>
      <w:r w:rsidR="00025C10">
        <w:fldChar w:fldCharType="end"/>
      </w:r>
      <w:r w:rsidR="00025C10">
        <w:t>. The content of these contributions, in our opinion</w:t>
      </w:r>
      <w:r w:rsidR="001934BB">
        <w:t>, some of which is repeated in the Annex A of the present document,</w:t>
      </w:r>
      <w:r w:rsidR="00025C10">
        <w:t xml:space="preserve"> is still valid and highlight our concerns in adopting a too flexible approach for the timing pre-compensation requirements.</w:t>
      </w:r>
      <w:r w:rsidR="001934BB">
        <w:t xml:space="preserve"> </w:t>
      </w:r>
      <w:r w:rsidR="00025C10">
        <w:t xml:space="preserve">Therefore, </w:t>
      </w:r>
      <w:r w:rsidR="001934BB">
        <w:t>we repeat our previously presented proposal:</w:t>
      </w:r>
    </w:p>
    <w:p w14:paraId="2A12D73D" w14:textId="77777777" w:rsidR="001934BB" w:rsidRDefault="001934BB" w:rsidP="001934BB">
      <w:pPr>
        <w:pStyle w:val="RAN4proposal"/>
        <w:rPr>
          <w:lang w:val="en-GB"/>
        </w:rPr>
      </w:pPr>
      <w:bookmarkStart w:id="7" w:name="_Toc131891075"/>
      <w:bookmarkStart w:id="8" w:name="_Toc135062932"/>
      <w:bookmarkStart w:id="9" w:name="_Toc142668039"/>
      <w:r>
        <w:rPr>
          <w:lang w:val="en-GB"/>
        </w:rPr>
        <w:t>For the operation in the NTN Ka-bands, if the chosen SCS is 60 or 120 kHz, the transmit timing error limit must be tightened up to 4 Ts for 120 kHz and 8 Ts for 60 kHz.</w:t>
      </w:r>
      <w:bookmarkEnd w:id="7"/>
      <w:bookmarkEnd w:id="8"/>
      <w:bookmarkEnd w:id="9"/>
      <w:r>
        <w:rPr>
          <w:lang w:val="en-GB"/>
        </w:rPr>
        <w:t xml:space="preserve"> </w:t>
      </w:r>
    </w:p>
    <w:p w14:paraId="5E409E0D" w14:textId="77777777" w:rsidR="001934BB" w:rsidRDefault="001934BB" w:rsidP="00300956">
      <w:pPr>
        <w:rPr>
          <w:lang w:val="en-GB"/>
        </w:rPr>
      </w:pPr>
    </w:p>
    <w:p w14:paraId="6A14E1EF" w14:textId="06A4867F" w:rsidR="006D069D" w:rsidRDefault="006D069D" w:rsidP="00300956">
      <w:pPr>
        <w:rPr>
          <w:lang w:val="en-GB"/>
        </w:rPr>
      </w:pPr>
      <w:r>
        <w:rPr>
          <w:lang w:val="en-GB"/>
        </w:rPr>
        <w:t>We understand the concerns presented by some companies about the feasibility of such tight requirements at the UE side. In the previous RAN4 meeting, some options for alleviate the requirements were discussed as highlighted in the box below. In the next subsections we will discuss our views regarding those options:</w:t>
      </w:r>
    </w:p>
    <w:tbl>
      <w:tblPr>
        <w:tblStyle w:val="TableGrid"/>
        <w:tblW w:w="0" w:type="auto"/>
        <w:tblLook w:val="04A0" w:firstRow="1" w:lastRow="0" w:firstColumn="1" w:lastColumn="0" w:noHBand="0" w:noVBand="1"/>
      </w:tblPr>
      <w:tblGrid>
        <w:gridCol w:w="9617"/>
      </w:tblGrid>
      <w:tr w:rsidR="006D069D" w14:paraId="6D8A44E8" w14:textId="77777777" w:rsidTr="006D069D">
        <w:tc>
          <w:tcPr>
            <w:tcW w:w="9843" w:type="dxa"/>
          </w:tcPr>
          <w:p w14:paraId="72B5E734" w14:textId="6A42C95C" w:rsidR="006D069D" w:rsidRDefault="006D069D" w:rsidP="00300956">
            <w:pPr>
              <w:rPr>
                <w:lang w:val="en-GB"/>
              </w:rPr>
            </w:pPr>
            <w:r>
              <w:rPr>
                <w:lang w:val="en-GB"/>
              </w:rPr>
              <w:t xml:space="preserve">From </w:t>
            </w:r>
            <w:r>
              <w:rPr>
                <w:lang w:val="en-GB"/>
              </w:rPr>
              <w:fldChar w:fldCharType="begin"/>
            </w:r>
            <w:r>
              <w:rPr>
                <w:lang w:val="en-GB"/>
              </w:rPr>
              <w:instrText xml:space="preserve"> REF _Ref134708583 \r \h </w:instrText>
            </w:r>
            <w:r>
              <w:rPr>
                <w:lang w:val="en-GB"/>
              </w:rPr>
            </w:r>
            <w:r>
              <w:rPr>
                <w:lang w:val="en-GB"/>
              </w:rPr>
              <w:fldChar w:fldCharType="separate"/>
            </w:r>
            <w:r w:rsidR="00ED1D3C">
              <w:rPr>
                <w:lang w:val="en-GB"/>
              </w:rPr>
              <w:t>[3]</w:t>
            </w:r>
            <w:r>
              <w:rPr>
                <w:lang w:val="en-GB"/>
              </w:rPr>
              <w:fldChar w:fldCharType="end"/>
            </w:r>
          </w:p>
          <w:p w14:paraId="15648E1D" w14:textId="77777777" w:rsidR="006D069D" w:rsidRDefault="006D069D" w:rsidP="006D069D">
            <w:pPr>
              <w:outlineLvl w:val="2"/>
              <w:rPr>
                <w:b/>
                <w:u w:val="single"/>
                <w:lang w:eastAsia="ko-KR"/>
              </w:rPr>
            </w:pPr>
            <w:r>
              <w:rPr>
                <w:b/>
                <w:u w:val="single"/>
                <w:lang w:eastAsia="ko-KR"/>
              </w:rPr>
              <w:t>Issue 2-1: UE UL Timing Accuracy Requirements for UL SCSs of 60kHz and 120kHz</w:t>
            </w:r>
          </w:p>
          <w:p w14:paraId="4DAC9C9E" w14:textId="77777777" w:rsidR="006D069D" w:rsidRDefault="006D069D" w:rsidP="006D069D">
            <w:pPr>
              <w:spacing w:after="120" w:line="252" w:lineRule="auto"/>
              <w:ind w:firstLine="284"/>
              <w:rPr>
                <w:b/>
                <w:bCs/>
                <w:u w:val="single"/>
                <w:lang w:eastAsia="ja-JP"/>
              </w:rPr>
            </w:pPr>
            <w:r>
              <w:rPr>
                <w:b/>
                <w:bCs/>
                <w:u w:val="single"/>
                <w:lang w:eastAsia="ja-JP"/>
              </w:rPr>
              <w:t>Agreement:</w:t>
            </w:r>
          </w:p>
          <w:p w14:paraId="72012812" w14:textId="77777777" w:rsidR="006D069D" w:rsidRDefault="006D069D" w:rsidP="006D069D">
            <w:pPr>
              <w:pStyle w:val="ListParagraph"/>
              <w:numPr>
                <w:ilvl w:val="0"/>
                <w:numId w:val="30"/>
              </w:numPr>
              <w:overflowPunct w:val="0"/>
              <w:autoSpaceDE w:val="0"/>
              <w:autoSpaceDN w:val="0"/>
              <w:adjustRightInd w:val="0"/>
              <w:spacing w:after="180" w:line="276" w:lineRule="auto"/>
              <w:ind w:left="644"/>
              <w:contextualSpacing w:val="0"/>
              <w:rPr>
                <w:lang w:eastAsia="ja-JP"/>
              </w:rPr>
            </w:pPr>
            <w:r>
              <w:rPr>
                <w:lang w:eastAsia="ja-JP"/>
              </w:rPr>
              <w:t>The assumption of the maximum total positioning error due to UE location and Satellite position estimation error shall be tightened as below:</w:t>
            </w:r>
          </w:p>
          <w:p w14:paraId="316B301A" w14:textId="77777777" w:rsidR="006D069D" w:rsidRDefault="006D069D" w:rsidP="006D069D">
            <w:pPr>
              <w:pStyle w:val="ListParagraph"/>
              <w:numPr>
                <w:ilvl w:val="1"/>
                <w:numId w:val="30"/>
              </w:numPr>
              <w:overflowPunct w:val="0"/>
              <w:autoSpaceDE w:val="0"/>
              <w:autoSpaceDN w:val="0"/>
              <w:adjustRightInd w:val="0"/>
              <w:spacing w:after="180" w:line="276" w:lineRule="auto"/>
              <w:ind w:left="1364"/>
              <w:contextualSpacing w:val="0"/>
              <w:rPr>
                <w:lang w:eastAsia="ja-JP"/>
              </w:rPr>
            </w:pPr>
            <w:r>
              <w:rPr>
                <w:lang w:eastAsia="ja-JP"/>
              </w:rPr>
              <w:t>For UL SCS of 60kHz, [X] meters.</w:t>
            </w:r>
          </w:p>
          <w:p w14:paraId="78212F22" w14:textId="77777777" w:rsidR="006D069D" w:rsidRDefault="006D069D" w:rsidP="006D069D">
            <w:pPr>
              <w:pStyle w:val="ListParagraph"/>
              <w:numPr>
                <w:ilvl w:val="1"/>
                <w:numId w:val="30"/>
              </w:numPr>
              <w:overflowPunct w:val="0"/>
              <w:autoSpaceDE w:val="0"/>
              <w:autoSpaceDN w:val="0"/>
              <w:adjustRightInd w:val="0"/>
              <w:spacing w:after="180" w:line="276" w:lineRule="auto"/>
              <w:ind w:left="1364"/>
              <w:contextualSpacing w:val="0"/>
              <w:rPr>
                <w:lang w:eastAsia="ja-JP"/>
              </w:rPr>
            </w:pPr>
            <w:r>
              <w:rPr>
                <w:lang w:eastAsia="ja-JP"/>
              </w:rPr>
              <w:t>For UL SCS of 120kHz, [Y] meters</w:t>
            </w:r>
          </w:p>
          <w:p w14:paraId="2C1A1574" w14:textId="77777777" w:rsidR="006D069D" w:rsidRDefault="006D069D" w:rsidP="006D069D">
            <w:pPr>
              <w:pStyle w:val="ListParagraph"/>
              <w:numPr>
                <w:ilvl w:val="1"/>
                <w:numId w:val="30"/>
              </w:numPr>
              <w:overflowPunct w:val="0"/>
              <w:autoSpaceDE w:val="0"/>
              <w:autoSpaceDN w:val="0"/>
              <w:adjustRightInd w:val="0"/>
              <w:spacing w:after="180" w:line="276" w:lineRule="auto"/>
              <w:ind w:left="1364"/>
              <w:contextualSpacing w:val="0"/>
              <w:rPr>
                <w:lang w:eastAsia="ja-JP"/>
              </w:rPr>
            </w:pPr>
            <w:r>
              <w:rPr>
                <w:lang w:eastAsia="ja-JP"/>
              </w:rPr>
              <w:t xml:space="preserve">The above is applicable only when SSB SCS is equal to or higher than </w:t>
            </w:r>
            <w:proofErr w:type="gramStart"/>
            <w:r>
              <w:rPr>
                <w:lang w:eastAsia="ja-JP"/>
              </w:rPr>
              <w:t>120kHz</w:t>
            </w:r>
            <w:proofErr w:type="gramEnd"/>
          </w:p>
          <w:p w14:paraId="7FB5BE68" w14:textId="77777777" w:rsidR="006D069D" w:rsidRPr="003D2041" w:rsidRDefault="006D069D" w:rsidP="006D069D">
            <w:pPr>
              <w:pStyle w:val="ListParagraph"/>
              <w:numPr>
                <w:ilvl w:val="1"/>
                <w:numId w:val="30"/>
              </w:numPr>
              <w:overflowPunct w:val="0"/>
              <w:autoSpaceDE w:val="0"/>
              <w:autoSpaceDN w:val="0"/>
              <w:adjustRightInd w:val="0"/>
              <w:spacing w:after="180" w:line="276" w:lineRule="auto"/>
              <w:ind w:left="1364"/>
              <w:contextualSpacing w:val="0"/>
              <w:rPr>
                <w:highlight w:val="cyan"/>
                <w:lang w:eastAsia="ja-JP"/>
              </w:rPr>
            </w:pPr>
            <w:r w:rsidRPr="003D2041">
              <w:rPr>
                <w:highlight w:val="cyan"/>
                <w:lang w:eastAsia="ja-JP"/>
              </w:rPr>
              <w:t>FFS on whether applicable to UE in mobile platform.</w:t>
            </w:r>
          </w:p>
          <w:p w14:paraId="7A568F9E" w14:textId="77777777" w:rsidR="006D069D" w:rsidRPr="006D069D" w:rsidRDefault="006D069D" w:rsidP="006D069D">
            <w:pPr>
              <w:pStyle w:val="ListParagraph"/>
              <w:numPr>
                <w:ilvl w:val="1"/>
                <w:numId w:val="30"/>
              </w:numPr>
              <w:overflowPunct w:val="0"/>
              <w:autoSpaceDE w:val="0"/>
              <w:autoSpaceDN w:val="0"/>
              <w:adjustRightInd w:val="0"/>
              <w:spacing w:after="180" w:line="276" w:lineRule="auto"/>
              <w:ind w:left="1364"/>
              <w:contextualSpacing w:val="0"/>
              <w:rPr>
                <w:highlight w:val="cyan"/>
                <w:lang w:eastAsia="ja-JP"/>
              </w:rPr>
            </w:pPr>
            <w:r w:rsidRPr="006D069D">
              <w:rPr>
                <w:highlight w:val="cyan"/>
                <w:lang w:eastAsia="ja-JP"/>
              </w:rPr>
              <w:t>FFS on whether and how to connect the tightened UE positioning error to the advanced GNSS capability or UE type.</w:t>
            </w:r>
          </w:p>
          <w:p w14:paraId="65D099B5" w14:textId="77777777" w:rsidR="006D069D" w:rsidRPr="006D069D" w:rsidRDefault="006D069D" w:rsidP="006D069D">
            <w:pPr>
              <w:pStyle w:val="ListParagraph"/>
              <w:numPr>
                <w:ilvl w:val="1"/>
                <w:numId w:val="30"/>
              </w:numPr>
              <w:overflowPunct w:val="0"/>
              <w:autoSpaceDE w:val="0"/>
              <w:autoSpaceDN w:val="0"/>
              <w:adjustRightInd w:val="0"/>
              <w:spacing w:after="180" w:line="276" w:lineRule="auto"/>
              <w:ind w:left="1364"/>
              <w:contextualSpacing w:val="0"/>
              <w:rPr>
                <w:highlight w:val="cyan"/>
                <w:lang w:eastAsia="ja-JP"/>
              </w:rPr>
            </w:pPr>
            <w:r w:rsidRPr="006D069D">
              <w:rPr>
                <w:highlight w:val="cyan"/>
                <w:lang w:eastAsia="ja-JP"/>
              </w:rPr>
              <w:tab/>
              <w:t xml:space="preserve">FFS whether to use different requirements for different types of devices defined in the RF session and/or different satellite </w:t>
            </w:r>
            <w:proofErr w:type="gramStart"/>
            <w:r w:rsidRPr="006D069D">
              <w:rPr>
                <w:highlight w:val="cyan"/>
                <w:lang w:eastAsia="ja-JP"/>
              </w:rPr>
              <w:t>types</w:t>
            </w:r>
            <w:proofErr w:type="gramEnd"/>
          </w:p>
          <w:p w14:paraId="0EA59198" w14:textId="77777777" w:rsidR="006D069D" w:rsidRPr="006D069D" w:rsidRDefault="006D069D" w:rsidP="006D069D">
            <w:pPr>
              <w:pStyle w:val="ListParagraph"/>
              <w:numPr>
                <w:ilvl w:val="1"/>
                <w:numId w:val="30"/>
              </w:numPr>
              <w:overflowPunct w:val="0"/>
              <w:autoSpaceDE w:val="0"/>
              <w:autoSpaceDN w:val="0"/>
              <w:adjustRightInd w:val="0"/>
              <w:spacing w:after="180" w:line="276" w:lineRule="auto"/>
              <w:ind w:left="1364"/>
              <w:contextualSpacing w:val="0"/>
              <w:rPr>
                <w:highlight w:val="cyan"/>
                <w:lang w:eastAsia="ja-JP"/>
              </w:rPr>
            </w:pPr>
            <w:r w:rsidRPr="006D069D">
              <w:rPr>
                <w:highlight w:val="cyan"/>
                <w:lang w:eastAsia="ja-JP"/>
              </w:rPr>
              <w:t xml:space="preserve">FFS on different UE UL Timing Accuracy Requirements for different physical signals/channels, </w:t>
            </w:r>
            <w:proofErr w:type="gramStart"/>
            <w:r w:rsidRPr="006D069D">
              <w:rPr>
                <w:highlight w:val="cyan"/>
                <w:lang w:eastAsia="ja-JP"/>
              </w:rPr>
              <w:t>e.g.</w:t>
            </w:r>
            <w:proofErr w:type="gramEnd"/>
            <w:r w:rsidRPr="006D069D">
              <w:rPr>
                <w:highlight w:val="cyan"/>
                <w:lang w:eastAsia="ja-JP"/>
              </w:rPr>
              <w:t xml:space="preserve"> relaxed requirements for PRACH for certain PRACH formats, compared to other signal/channels.</w:t>
            </w:r>
          </w:p>
          <w:p w14:paraId="53C2A6EA" w14:textId="75D06E75" w:rsidR="006D069D" w:rsidRPr="006D069D" w:rsidRDefault="006D069D" w:rsidP="00300956"/>
        </w:tc>
      </w:tr>
    </w:tbl>
    <w:p w14:paraId="5B0B53D5" w14:textId="77777777" w:rsidR="006D069D" w:rsidRPr="001934BB" w:rsidRDefault="006D069D" w:rsidP="00300956">
      <w:pPr>
        <w:rPr>
          <w:lang w:val="en-GB"/>
        </w:rPr>
      </w:pPr>
    </w:p>
    <w:p w14:paraId="5DDA2D6E" w14:textId="6EABA166" w:rsidR="006D069D" w:rsidRDefault="006D069D" w:rsidP="00ED1787">
      <w:pPr>
        <w:pStyle w:val="RAN4H3"/>
      </w:pPr>
      <w:r>
        <w:t xml:space="preserve">Timing Requirements based on UE/satellite </w:t>
      </w:r>
      <w:proofErr w:type="gramStart"/>
      <w:r>
        <w:t>types</w:t>
      </w:r>
      <w:proofErr w:type="gramEnd"/>
    </w:p>
    <w:p w14:paraId="3E4E2487" w14:textId="6A23773A" w:rsidR="00CE5D1F" w:rsidRDefault="003D2041" w:rsidP="00FE2AA4">
      <w:pPr>
        <w:jc w:val="both"/>
      </w:pPr>
      <w:r>
        <w:lastRenderedPageBreak/>
        <w:t>The first two highlighted FFS on the list abov</w:t>
      </w:r>
      <w:r w:rsidR="00441EA9">
        <w:t xml:space="preserve">e are related to the applicability of the timing requirements for UE type. In a general sense, the idea is that </w:t>
      </w:r>
      <w:r w:rsidR="004C3486">
        <w:t>there might be two types of VSAT UEs: with fixed positions or deployed in mobile platforms</w:t>
      </w:r>
      <w:r w:rsidR="006D728A">
        <w:t xml:space="preserve">. </w:t>
      </w:r>
      <w:r w:rsidR="00CD7EDB">
        <w:t>It is understood among companies that</w:t>
      </w:r>
      <w:r w:rsidR="002D2024">
        <w:t xml:space="preserve"> UEs deployed in fixed positions </w:t>
      </w:r>
      <w:r w:rsidR="00CD7EDB">
        <w:t xml:space="preserve">can better estimate/calculate (or even hardcode) their positions over time and because of that they are less </w:t>
      </w:r>
      <w:r w:rsidR="001D2282">
        <w:t xml:space="preserve">affected by GNSS inaccuracies and intermittencies, therefore they require less relaxation of the timing requirements compared to UE in mobile platforms. </w:t>
      </w:r>
    </w:p>
    <w:p w14:paraId="734C00A4" w14:textId="1E85E266" w:rsidR="001D2282" w:rsidRDefault="00B57F9B" w:rsidP="00FE2AA4">
      <w:pPr>
        <w:jc w:val="both"/>
      </w:pPr>
      <w:r>
        <w:t xml:space="preserve">However, this </w:t>
      </w:r>
      <w:r w:rsidR="008310FA">
        <w:t xml:space="preserve">approach does not seem </w:t>
      </w:r>
      <w:r w:rsidR="00E66BC2">
        <w:t xml:space="preserve">feasible at the current stage of specification, nor address the fundamental problem. It is not feasible because </w:t>
      </w:r>
      <w:r w:rsidR="00141817">
        <w:t>it has not been agreed that fixed and mobile VSATs are different types of UEs. Proposals were made</w:t>
      </w:r>
      <w:r w:rsidR="00AB6F6F">
        <w:t xml:space="preserve"> to have this addressed in previous meetings, but agreements were not reached</w:t>
      </w:r>
      <w:r w:rsidR="009C2E67">
        <w:t xml:space="preserve">. </w:t>
      </w:r>
    </w:p>
    <w:p w14:paraId="0AB7598B" w14:textId="7E589327" w:rsidR="009C2E67" w:rsidRDefault="009C2E67" w:rsidP="00FE2AA4">
      <w:pPr>
        <w:jc w:val="both"/>
      </w:pPr>
      <w:r>
        <w:t xml:space="preserve">Besides, if this approach is </w:t>
      </w:r>
      <w:r w:rsidR="00710BE6">
        <w:t>adopted, VSAT UEs on mobile platform will still have a much more relaxed timing requirements, and they still might cause harmful interference</w:t>
      </w:r>
      <w:r w:rsidR="00D97975">
        <w:t xml:space="preserve"> at </w:t>
      </w:r>
      <w:proofErr w:type="spellStart"/>
      <w:r w:rsidR="00D97975">
        <w:t>gNB</w:t>
      </w:r>
      <w:proofErr w:type="spellEnd"/>
      <w:r w:rsidR="00D97975">
        <w:t xml:space="preserve"> reception. It is not possible to foresee whether the VSAT UEs will be the majority or the minority of the UEs deployed over time, as that depends on market developments </w:t>
      </w:r>
      <w:r w:rsidR="00395F6A">
        <w:t xml:space="preserve">that are outside of the control of 3GPP. Therefore, the issue at hand is not solved and possibly not even alleviated by this approach. </w:t>
      </w:r>
    </w:p>
    <w:p w14:paraId="0446781E" w14:textId="77777777" w:rsidR="00395F6A" w:rsidRDefault="00395F6A" w:rsidP="00FE2AA4">
      <w:pPr>
        <w:jc w:val="both"/>
      </w:pPr>
    </w:p>
    <w:p w14:paraId="6A059BC6" w14:textId="00065870" w:rsidR="00395F6A" w:rsidRDefault="00395F6A" w:rsidP="00FE2AA4">
      <w:pPr>
        <w:pStyle w:val="RAN4observation0"/>
        <w:jc w:val="both"/>
      </w:pPr>
      <w:bookmarkStart w:id="10" w:name="_Toc142668040"/>
      <w:r>
        <w:t>It has not been agreed that fixed VSATs and VSATs on mobile platforms are different types of UEs.</w:t>
      </w:r>
      <w:bookmarkEnd w:id="10"/>
      <w:r>
        <w:t xml:space="preserve"> </w:t>
      </w:r>
    </w:p>
    <w:p w14:paraId="2EFC59C3" w14:textId="40EE43DE" w:rsidR="00395F6A" w:rsidRDefault="000C511F" w:rsidP="00FE2AA4">
      <w:pPr>
        <w:pStyle w:val="RAN4observation0"/>
        <w:jc w:val="both"/>
      </w:pPr>
      <w:bookmarkStart w:id="11" w:name="_Toc142668041"/>
      <w:r>
        <w:t xml:space="preserve">The strategy of adopting different </w:t>
      </w:r>
      <w:r w:rsidR="00E44901">
        <w:t xml:space="preserve">requirements based on UE types do not solve the problem that there will be </w:t>
      </w:r>
      <w:r w:rsidR="00BD4D12">
        <w:t xml:space="preserve">UEs causing harmful interference at the </w:t>
      </w:r>
      <w:proofErr w:type="spellStart"/>
      <w:r w:rsidR="00BD4D12">
        <w:t>gNB</w:t>
      </w:r>
      <w:proofErr w:type="spellEnd"/>
      <w:r w:rsidR="00BD4D12">
        <w:t xml:space="preserve"> reception.</w:t>
      </w:r>
      <w:bookmarkEnd w:id="11"/>
      <w:r w:rsidR="00BD4D12">
        <w:t xml:space="preserve"> </w:t>
      </w:r>
    </w:p>
    <w:p w14:paraId="32C14F60" w14:textId="5DEDDE4E" w:rsidR="00BD4D12" w:rsidRDefault="00BD4D12" w:rsidP="00FE2AA4">
      <w:pPr>
        <w:pStyle w:val="RAN4proposal"/>
        <w:jc w:val="both"/>
      </w:pPr>
      <w:bookmarkStart w:id="12" w:name="_Toc142668042"/>
      <w:r>
        <w:t xml:space="preserve">Do not adopt different </w:t>
      </w:r>
      <w:r w:rsidR="00F5307C">
        <w:t xml:space="preserve">UL transmit timing </w:t>
      </w:r>
      <w:r>
        <w:t>requirements based on UE types.</w:t>
      </w:r>
      <w:bookmarkEnd w:id="12"/>
      <w:r>
        <w:t xml:space="preserve"> </w:t>
      </w:r>
    </w:p>
    <w:p w14:paraId="30DBD627" w14:textId="1BFCE9E2" w:rsidR="00BD4D12" w:rsidRDefault="00BD4D12" w:rsidP="00FE2AA4">
      <w:pPr>
        <w:jc w:val="both"/>
      </w:pPr>
      <w:r>
        <w:t>The same premise is valid for satellite types. Even though it is ok to think that GEO satellites are less mobile, and therefore th</w:t>
      </w:r>
      <w:r w:rsidR="006837A8">
        <w:t>e propagation time is less variable over time, the requirements defined in specifications are there to en</w:t>
      </w:r>
      <w:r w:rsidR="00227031">
        <w:t xml:space="preserve">sure a working ecosystem. Adopting </w:t>
      </w:r>
      <w:r w:rsidR="006A07D7">
        <w:t xml:space="preserve">requirements that are not applicable for LEO satellites will just guarantee that the problem is persistent for LEO deployments. </w:t>
      </w:r>
    </w:p>
    <w:p w14:paraId="01E783AB" w14:textId="60F287A4" w:rsidR="00F5307C" w:rsidRPr="00BD4D12" w:rsidRDefault="00F5307C" w:rsidP="00FE2AA4">
      <w:pPr>
        <w:pStyle w:val="RAN4proposal"/>
        <w:jc w:val="both"/>
      </w:pPr>
      <w:bookmarkStart w:id="13" w:name="_Toc142668043"/>
      <w:r>
        <w:t xml:space="preserve">Do not adopt different UL transmit timing requirements based on satellite </w:t>
      </w:r>
      <w:proofErr w:type="gramStart"/>
      <w:r>
        <w:t>types</w:t>
      </w:r>
      <w:bookmarkEnd w:id="13"/>
      <w:proofErr w:type="gramEnd"/>
    </w:p>
    <w:p w14:paraId="49539C79" w14:textId="732C21FC" w:rsidR="006D069D" w:rsidRDefault="006D069D" w:rsidP="00AD0082">
      <w:pPr>
        <w:pStyle w:val="RAN4H3"/>
      </w:pPr>
      <w:r>
        <w:t xml:space="preserve">Timing Requirements based on UL </w:t>
      </w:r>
      <w:proofErr w:type="gramStart"/>
      <w:r>
        <w:t>channel</w:t>
      </w:r>
      <w:proofErr w:type="gramEnd"/>
    </w:p>
    <w:p w14:paraId="6BC9693B" w14:textId="73177E74" w:rsidR="00F5307C" w:rsidRDefault="00B54013" w:rsidP="00FE2AA4">
      <w:pPr>
        <w:jc w:val="both"/>
      </w:pPr>
      <w:r>
        <w:t xml:space="preserve">Another option explored in the previous RAN4 meeting, also highlighted on the box above </w:t>
      </w:r>
      <w:r w:rsidR="0043680A">
        <w:t xml:space="preserve">relates to adopting different requirements for the transmit timing accuracy for different UL channels. </w:t>
      </w:r>
    </w:p>
    <w:p w14:paraId="2DC319C1" w14:textId="3EB98EA3" w:rsidR="0043680A" w:rsidRDefault="0043680A" w:rsidP="00FE2AA4">
      <w:pPr>
        <w:jc w:val="both"/>
      </w:pPr>
      <w:r>
        <w:t xml:space="preserve">The idea is that </w:t>
      </w:r>
      <w:r w:rsidR="00AC5861">
        <w:t xml:space="preserve">for the very first PRACH message, the network can select </w:t>
      </w:r>
      <w:r w:rsidR="00F84C4F">
        <w:t>RACH formats with</w:t>
      </w:r>
      <w:r w:rsidR="00BB2FD3">
        <w:t xml:space="preserve"> larger cyclic prefix, </w:t>
      </w:r>
      <w:r w:rsidR="00696E96">
        <w:t xml:space="preserve">calculate and issue a timing advance command </w:t>
      </w:r>
      <w:r w:rsidR="00525A8B">
        <w:t xml:space="preserve">in RACH msg3, </w:t>
      </w:r>
      <w:r w:rsidR="003A111C">
        <w:t xml:space="preserve">where the timing advance command is expected to compensate for the errors in the UE pre-compensation, and from that point on, enforce tighter requirements on the PUSCH channel. </w:t>
      </w:r>
      <w:r w:rsidR="008E071E">
        <w:t xml:space="preserve"> </w:t>
      </w:r>
    </w:p>
    <w:p w14:paraId="7E6E0A59" w14:textId="2C0EA210" w:rsidR="00E3417B" w:rsidRDefault="00E3417B" w:rsidP="00FE2AA4">
      <w:pPr>
        <w:jc w:val="both"/>
      </w:pPr>
      <w:r>
        <w:t xml:space="preserve">As we previously discussed, </w:t>
      </w:r>
      <w:proofErr w:type="gramStart"/>
      <w:r>
        <w:t>in order to</w:t>
      </w:r>
      <w:proofErr w:type="gramEnd"/>
      <w:r>
        <w:t xml:space="preserve"> accommodate for the delay budget and the inaccuracy of the common TA information, it is important that the delay budget is not fully consumed by UE inaccuracies. For technical implementation reasons, it is important that the total delay budget </w:t>
      </w:r>
      <w:r w:rsidR="00690D0C">
        <w:t xml:space="preserve">consumed by the transmit timing inaccuracy do not supersede 50% of the cyclic prefix. </w:t>
      </w:r>
    </w:p>
    <w:p w14:paraId="084D65C8" w14:textId="41E1B303" w:rsidR="00983A6B" w:rsidRDefault="00983A6B" w:rsidP="00FE2AA4">
      <w:pPr>
        <w:jc w:val="both"/>
      </w:pPr>
      <w:r>
        <w:t xml:space="preserve">The </w:t>
      </w:r>
      <w:r w:rsidR="00041B56">
        <w:fldChar w:fldCharType="begin"/>
      </w:r>
      <w:r w:rsidR="00041B56">
        <w:instrText xml:space="preserve"> REF _Ref129959122 \h </w:instrText>
      </w:r>
      <w:r w:rsidR="00FE2AA4">
        <w:instrText xml:space="preserve"> \* MERGEFORMAT </w:instrText>
      </w:r>
      <w:r w:rsidR="00041B56">
        <w:fldChar w:fldCharType="separate"/>
      </w:r>
      <w:r w:rsidR="00041B56">
        <w:t xml:space="preserve">Table </w:t>
      </w:r>
      <w:r w:rsidR="00041B56">
        <w:rPr>
          <w:noProof/>
        </w:rPr>
        <w:t>1</w:t>
      </w:r>
      <w:r w:rsidR="00041B56">
        <w:fldChar w:fldCharType="end"/>
      </w:r>
      <w:r w:rsidR="00041B56">
        <w:t xml:space="preserve"> </w:t>
      </w:r>
      <w:r>
        <w:t xml:space="preserve">below presents the duration of the cyclic prefix for the different PUSCH </w:t>
      </w:r>
      <w:r w:rsidR="003230DC">
        <w:t xml:space="preserve">and RACH formats. In green the formats that would tolerate up to 12 Ts of </w:t>
      </w:r>
      <w:r w:rsidR="00BC2BEB">
        <w:t xml:space="preserve">transmit timing </w:t>
      </w:r>
      <w:proofErr w:type="spellStart"/>
      <w:r w:rsidR="00BC2BEB">
        <w:t>innacuracies</w:t>
      </w:r>
      <w:proofErr w:type="spellEnd"/>
      <w:r w:rsidR="00BC2BEB">
        <w:t xml:space="preserve"> ( which is 9 Ts larger than the 3 Ts in specifications for the terrestrial applications). </w:t>
      </w:r>
    </w:p>
    <w:p w14:paraId="00D7720E" w14:textId="7B9A2D31" w:rsidR="00614F27" w:rsidRDefault="00614F27" w:rsidP="00614F27">
      <w:pPr>
        <w:pStyle w:val="Caption"/>
        <w:keepNext/>
      </w:pPr>
      <w:r>
        <w:t>Table 1 Table with Cyclic Prefix Size for different UL channel formats</w:t>
      </w:r>
    </w:p>
    <w:tbl>
      <w:tblPr>
        <w:tblW w:w="8980" w:type="dxa"/>
        <w:tblLook w:val="04A0" w:firstRow="1" w:lastRow="0" w:firstColumn="1" w:lastColumn="0" w:noHBand="0" w:noVBand="1"/>
      </w:tblPr>
      <w:tblGrid>
        <w:gridCol w:w="2420"/>
        <w:gridCol w:w="1118"/>
        <w:gridCol w:w="2162"/>
        <w:gridCol w:w="1118"/>
        <w:gridCol w:w="2162"/>
      </w:tblGrid>
      <w:tr w:rsidR="00614F27" w:rsidRPr="00B65A7B" w14:paraId="10A592F8" w14:textId="77777777" w:rsidTr="00912BD7">
        <w:trPr>
          <w:trHeight w:val="300"/>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2F75B5"/>
            <w:noWrap/>
            <w:vAlign w:val="center"/>
            <w:hideMark/>
          </w:tcPr>
          <w:p w14:paraId="643F3A62"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Channel</w:t>
            </w:r>
          </w:p>
        </w:tc>
        <w:tc>
          <w:tcPr>
            <w:tcW w:w="3280" w:type="dxa"/>
            <w:gridSpan w:val="2"/>
            <w:tcBorders>
              <w:top w:val="single" w:sz="4" w:space="0" w:color="auto"/>
              <w:left w:val="nil"/>
              <w:bottom w:val="single" w:sz="4" w:space="0" w:color="auto"/>
              <w:right w:val="single" w:sz="4" w:space="0" w:color="auto"/>
            </w:tcBorders>
            <w:shd w:val="clear" w:color="000000" w:fill="2F75B5"/>
            <w:noWrap/>
            <w:vAlign w:val="center"/>
            <w:hideMark/>
          </w:tcPr>
          <w:p w14:paraId="68AF9D63"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SCS = 60 kHz</w:t>
            </w:r>
          </w:p>
        </w:tc>
        <w:tc>
          <w:tcPr>
            <w:tcW w:w="3280" w:type="dxa"/>
            <w:gridSpan w:val="2"/>
            <w:tcBorders>
              <w:top w:val="single" w:sz="4" w:space="0" w:color="auto"/>
              <w:left w:val="nil"/>
              <w:bottom w:val="single" w:sz="4" w:space="0" w:color="auto"/>
              <w:right w:val="single" w:sz="4" w:space="0" w:color="auto"/>
            </w:tcBorders>
            <w:shd w:val="clear" w:color="000000" w:fill="2F75B5"/>
            <w:noWrap/>
            <w:vAlign w:val="center"/>
            <w:hideMark/>
          </w:tcPr>
          <w:p w14:paraId="3435D7D3"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SCS = 120 kHz</w:t>
            </w:r>
          </w:p>
        </w:tc>
      </w:tr>
      <w:tr w:rsidR="00614F27" w:rsidRPr="00B65A7B" w14:paraId="7EB98E77" w14:textId="77777777" w:rsidTr="00912BD7">
        <w:trPr>
          <w:trHeight w:val="300"/>
        </w:trPr>
        <w:tc>
          <w:tcPr>
            <w:tcW w:w="2420" w:type="dxa"/>
            <w:vMerge/>
            <w:tcBorders>
              <w:top w:val="single" w:sz="4" w:space="0" w:color="auto"/>
              <w:left w:val="single" w:sz="4" w:space="0" w:color="auto"/>
              <w:bottom w:val="single" w:sz="4" w:space="0" w:color="000000"/>
              <w:right w:val="single" w:sz="4" w:space="0" w:color="auto"/>
            </w:tcBorders>
            <w:vAlign w:val="center"/>
            <w:hideMark/>
          </w:tcPr>
          <w:p w14:paraId="3B03FB5A" w14:textId="77777777" w:rsidR="00614F27" w:rsidRPr="00B65A7B" w:rsidRDefault="00614F27" w:rsidP="00912BD7">
            <w:pPr>
              <w:spacing w:after="0" w:line="240" w:lineRule="auto"/>
              <w:rPr>
                <w:rFonts w:ascii="Calibri" w:eastAsia="Times New Roman" w:hAnsi="Calibri" w:cs="Calibri"/>
                <w:color w:val="FFFFFF"/>
                <w:sz w:val="22"/>
                <w:lang w:val="en-GB" w:eastAsia="en-GB"/>
              </w:rPr>
            </w:pPr>
          </w:p>
        </w:tc>
        <w:tc>
          <w:tcPr>
            <w:tcW w:w="1118" w:type="dxa"/>
            <w:tcBorders>
              <w:top w:val="nil"/>
              <w:left w:val="nil"/>
              <w:bottom w:val="single" w:sz="4" w:space="0" w:color="auto"/>
              <w:right w:val="single" w:sz="4" w:space="0" w:color="auto"/>
            </w:tcBorders>
            <w:shd w:val="clear" w:color="000000" w:fill="2F75B5"/>
            <w:noWrap/>
            <w:vAlign w:val="center"/>
            <w:hideMark/>
          </w:tcPr>
          <w:p w14:paraId="22CE7B92"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proofErr w:type="spellStart"/>
            <w:r w:rsidRPr="00B65A7B">
              <w:rPr>
                <w:rFonts w:ascii="Calibri" w:eastAsia="Times New Roman" w:hAnsi="Calibri" w:cs="Calibri"/>
                <w:color w:val="FFFFFF"/>
                <w:sz w:val="22"/>
                <w:lang w:val="en-GB" w:eastAsia="en-GB"/>
              </w:rPr>
              <w:t>Ncp</w:t>
            </w:r>
            <w:proofErr w:type="spellEnd"/>
            <w:r w:rsidRPr="00B65A7B">
              <w:rPr>
                <w:rFonts w:ascii="Calibri" w:eastAsia="Times New Roman" w:hAnsi="Calibri" w:cs="Calibri"/>
                <w:color w:val="FFFFFF"/>
                <w:sz w:val="22"/>
                <w:lang w:val="en-GB" w:eastAsia="en-GB"/>
              </w:rPr>
              <w:t xml:space="preserve"> [Ts]</w:t>
            </w:r>
          </w:p>
        </w:tc>
        <w:tc>
          <w:tcPr>
            <w:tcW w:w="2162" w:type="dxa"/>
            <w:tcBorders>
              <w:top w:val="nil"/>
              <w:left w:val="nil"/>
              <w:bottom w:val="single" w:sz="4" w:space="0" w:color="auto"/>
              <w:right w:val="single" w:sz="4" w:space="0" w:color="auto"/>
            </w:tcBorders>
            <w:shd w:val="clear" w:color="000000" w:fill="2F75B5"/>
            <w:noWrap/>
            <w:vAlign w:val="center"/>
            <w:hideMark/>
          </w:tcPr>
          <w:p w14:paraId="66675BA4"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CP duration [us]</w:t>
            </w:r>
          </w:p>
        </w:tc>
        <w:tc>
          <w:tcPr>
            <w:tcW w:w="1118" w:type="dxa"/>
            <w:tcBorders>
              <w:top w:val="nil"/>
              <w:left w:val="nil"/>
              <w:bottom w:val="single" w:sz="4" w:space="0" w:color="auto"/>
              <w:right w:val="single" w:sz="4" w:space="0" w:color="auto"/>
            </w:tcBorders>
            <w:shd w:val="clear" w:color="000000" w:fill="2F75B5"/>
            <w:noWrap/>
            <w:vAlign w:val="center"/>
            <w:hideMark/>
          </w:tcPr>
          <w:p w14:paraId="263386FC"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proofErr w:type="spellStart"/>
            <w:r w:rsidRPr="00B65A7B">
              <w:rPr>
                <w:rFonts w:ascii="Calibri" w:eastAsia="Times New Roman" w:hAnsi="Calibri" w:cs="Calibri"/>
                <w:color w:val="FFFFFF"/>
                <w:sz w:val="22"/>
                <w:lang w:val="en-GB" w:eastAsia="en-GB"/>
              </w:rPr>
              <w:t>Ncp</w:t>
            </w:r>
            <w:proofErr w:type="spellEnd"/>
            <w:r w:rsidRPr="00B65A7B">
              <w:rPr>
                <w:rFonts w:ascii="Calibri" w:eastAsia="Times New Roman" w:hAnsi="Calibri" w:cs="Calibri"/>
                <w:color w:val="FFFFFF"/>
                <w:sz w:val="22"/>
                <w:lang w:val="en-GB" w:eastAsia="en-GB"/>
              </w:rPr>
              <w:t xml:space="preserve"> [Ts]</w:t>
            </w:r>
          </w:p>
        </w:tc>
        <w:tc>
          <w:tcPr>
            <w:tcW w:w="2162" w:type="dxa"/>
            <w:tcBorders>
              <w:top w:val="nil"/>
              <w:left w:val="nil"/>
              <w:bottom w:val="single" w:sz="4" w:space="0" w:color="auto"/>
              <w:right w:val="single" w:sz="4" w:space="0" w:color="auto"/>
            </w:tcBorders>
            <w:shd w:val="clear" w:color="000000" w:fill="2F75B5"/>
            <w:noWrap/>
            <w:vAlign w:val="center"/>
            <w:hideMark/>
          </w:tcPr>
          <w:p w14:paraId="21CE344F" w14:textId="77777777" w:rsidR="00614F27" w:rsidRPr="00B65A7B" w:rsidRDefault="00614F27" w:rsidP="00912BD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CP duration [us]</w:t>
            </w:r>
          </w:p>
        </w:tc>
      </w:tr>
      <w:tr w:rsidR="00614F27" w:rsidRPr="00B65A7B" w14:paraId="0D64B495"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2F9B6E48"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PUSCH/PUCCH</w:t>
            </w:r>
          </w:p>
        </w:tc>
        <w:tc>
          <w:tcPr>
            <w:tcW w:w="1118" w:type="dxa"/>
            <w:tcBorders>
              <w:top w:val="nil"/>
              <w:left w:val="nil"/>
              <w:bottom w:val="single" w:sz="4" w:space="0" w:color="auto"/>
              <w:right w:val="single" w:sz="4" w:space="0" w:color="auto"/>
            </w:tcBorders>
            <w:shd w:val="clear" w:color="000000" w:fill="FFC7CE"/>
            <w:noWrap/>
            <w:vAlign w:val="center"/>
            <w:hideMark/>
          </w:tcPr>
          <w:p w14:paraId="78E28E27"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36</w:t>
            </w:r>
          </w:p>
        </w:tc>
        <w:tc>
          <w:tcPr>
            <w:tcW w:w="2162" w:type="dxa"/>
            <w:tcBorders>
              <w:top w:val="nil"/>
              <w:left w:val="nil"/>
              <w:bottom w:val="single" w:sz="4" w:space="0" w:color="auto"/>
              <w:right w:val="single" w:sz="4" w:space="0" w:color="auto"/>
            </w:tcBorders>
            <w:shd w:val="clear" w:color="000000" w:fill="FFC7CE"/>
            <w:noWrap/>
            <w:vAlign w:val="center"/>
            <w:hideMark/>
          </w:tcPr>
          <w:p w14:paraId="267471BE"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1,2</w:t>
            </w:r>
          </w:p>
        </w:tc>
        <w:tc>
          <w:tcPr>
            <w:tcW w:w="1118" w:type="dxa"/>
            <w:tcBorders>
              <w:top w:val="nil"/>
              <w:left w:val="nil"/>
              <w:bottom w:val="single" w:sz="4" w:space="0" w:color="auto"/>
              <w:right w:val="single" w:sz="4" w:space="0" w:color="auto"/>
            </w:tcBorders>
            <w:shd w:val="clear" w:color="000000" w:fill="FFC7CE"/>
            <w:noWrap/>
            <w:vAlign w:val="center"/>
            <w:hideMark/>
          </w:tcPr>
          <w:p w14:paraId="5C3C5E5D"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18</w:t>
            </w:r>
          </w:p>
        </w:tc>
        <w:tc>
          <w:tcPr>
            <w:tcW w:w="2162" w:type="dxa"/>
            <w:tcBorders>
              <w:top w:val="nil"/>
              <w:left w:val="nil"/>
              <w:bottom w:val="single" w:sz="4" w:space="0" w:color="auto"/>
              <w:right w:val="single" w:sz="4" w:space="0" w:color="auto"/>
            </w:tcBorders>
            <w:shd w:val="clear" w:color="000000" w:fill="FFC7CE"/>
            <w:noWrap/>
            <w:vAlign w:val="center"/>
            <w:hideMark/>
          </w:tcPr>
          <w:p w14:paraId="12FCF58C"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0,6</w:t>
            </w:r>
          </w:p>
        </w:tc>
      </w:tr>
      <w:tr w:rsidR="00614F27" w:rsidRPr="00B65A7B" w14:paraId="13C4E2A9"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6B707EDC"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A1</w:t>
            </w:r>
          </w:p>
        </w:tc>
        <w:tc>
          <w:tcPr>
            <w:tcW w:w="1118" w:type="dxa"/>
            <w:tcBorders>
              <w:top w:val="nil"/>
              <w:left w:val="nil"/>
              <w:bottom w:val="single" w:sz="4" w:space="0" w:color="auto"/>
              <w:right w:val="single" w:sz="4" w:space="0" w:color="auto"/>
            </w:tcBorders>
            <w:shd w:val="clear" w:color="000000" w:fill="C6EFCE"/>
            <w:noWrap/>
            <w:vAlign w:val="center"/>
            <w:hideMark/>
          </w:tcPr>
          <w:p w14:paraId="55BFA9BE"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72</w:t>
            </w:r>
          </w:p>
        </w:tc>
        <w:tc>
          <w:tcPr>
            <w:tcW w:w="2162" w:type="dxa"/>
            <w:tcBorders>
              <w:top w:val="nil"/>
              <w:left w:val="nil"/>
              <w:bottom w:val="single" w:sz="4" w:space="0" w:color="auto"/>
              <w:right w:val="single" w:sz="4" w:space="0" w:color="auto"/>
            </w:tcBorders>
            <w:shd w:val="clear" w:color="000000" w:fill="C6EFCE"/>
            <w:noWrap/>
            <w:vAlign w:val="center"/>
            <w:hideMark/>
          </w:tcPr>
          <w:p w14:paraId="34DFC68D"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2,3</w:t>
            </w:r>
          </w:p>
        </w:tc>
        <w:tc>
          <w:tcPr>
            <w:tcW w:w="1118" w:type="dxa"/>
            <w:tcBorders>
              <w:top w:val="nil"/>
              <w:left w:val="nil"/>
              <w:bottom w:val="single" w:sz="4" w:space="0" w:color="auto"/>
              <w:right w:val="single" w:sz="4" w:space="0" w:color="auto"/>
            </w:tcBorders>
            <w:shd w:val="clear" w:color="000000" w:fill="FFC7CE"/>
            <w:noWrap/>
            <w:vAlign w:val="center"/>
            <w:hideMark/>
          </w:tcPr>
          <w:p w14:paraId="07D0D19D"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36</w:t>
            </w:r>
          </w:p>
        </w:tc>
        <w:tc>
          <w:tcPr>
            <w:tcW w:w="2162" w:type="dxa"/>
            <w:tcBorders>
              <w:top w:val="nil"/>
              <w:left w:val="nil"/>
              <w:bottom w:val="single" w:sz="4" w:space="0" w:color="auto"/>
              <w:right w:val="single" w:sz="4" w:space="0" w:color="auto"/>
            </w:tcBorders>
            <w:shd w:val="clear" w:color="000000" w:fill="FFC7CE"/>
            <w:noWrap/>
            <w:vAlign w:val="center"/>
            <w:hideMark/>
          </w:tcPr>
          <w:p w14:paraId="710624F6"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1,2</w:t>
            </w:r>
          </w:p>
        </w:tc>
      </w:tr>
      <w:tr w:rsidR="00614F27" w:rsidRPr="00B65A7B" w14:paraId="0881BD13"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03383973"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A2</w:t>
            </w:r>
          </w:p>
        </w:tc>
        <w:tc>
          <w:tcPr>
            <w:tcW w:w="1118" w:type="dxa"/>
            <w:tcBorders>
              <w:top w:val="nil"/>
              <w:left w:val="nil"/>
              <w:bottom w:val="single" w:sz="4" w:space="0" w:color="auto"/>
              <w:right w:val="single" w:sz="4" w:space="0" w:color="auto"/>
            </w:tcBorders>
            <w:shd w:val="clear" w:color="000000" w:fill="C6EFCE"/>
            <w:noWrap/>
            <w:vAlign w:val="center"/>
            <w:hideMark/>
          </w:tcPr>
          <w:p w14:paraId="1F00B244"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144</w:t>
            </w:r>
          </w:p>
        </w:tc>
        <w:tc>
          <w:tcPr>
            <w:tcW w:w="2162" w:type="dxa"/>
            <w:tcBorders>
              <w:top w:val="nil"/>
              <w:left w:val="nil"/>
              <w:bottom w:val="single" w:sz="4" w:space="0" w:color="auto"/>
              <w:right w:val="single" w:sz="4" w:space="0" w:color="auto"/>
            </w:tcBorders>
            <w:shd w:val="clear" w:color="000000" w:fill="C6EFCE"/>
            <w:noWrap/>
            <w:vAlign w:val="center"/>
            <w:hideMark/>
          </w:tcPr>
          <w:p w14:paraId="78C3AB1A"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4,7</w:t>
            </w:r>
          </w:p>
        </w:tc>
        <w:tc>
          <w:tcPr>
            <w:tcW w:w="1118" w:type="dxa"/>
            <w:tcBorders>
              <w:top w:val="nil"/>
              <w:left w:val="nil"/>
              <w:bottom w:val="single" w:sz="4" w:space="0" w:color="auto"/>
              <w:right w:val="single" w:sz="4" w:space="0" w:color="auto"/>
            </w:tcBorders>
            <w:shd w:val="clear" w:color="000000" w:fill="C6EFCE"/>
            <w:noWrap/>
            <w:vAlign w:val="center"/>
            <w:hideMark/>
          </w:tcPr>
          <w:p w14:paraId="0587F178"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72</w:t>
            </w:r>
          </w:p>
        </w:tc>
        <w:tc>
          <w:tcPr>
            <w:tcW w:w="2162" w:type="dxa"/>
            <w:tcBorders>
              <w:top w:val="nil"/>
              <w:left w:val="nil"/>
              <w:bottom w:val="single" w:sz="4" w:space="0" w:color="auto"/>
              <w:right w:val="single" w:sz="4" w:space="0" w:color="auto"/>
            </w:tcBorders>
            <w:shd w:val="clear" w:color="000000" w:fill="C6EFCE"/>
            <w:noWrap/>
            <w:vAlign w:val="center"/>
            <w:hideMark/>
          </w:tcPr>
          <w:p w14:paraId="4B474729"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2,3</w:t>
            </w:r>
          </w:p>
        </w:tc>
      </w:tr>
      <w:tr w:rsidR="00614F27" w:rsidRPr="00B65A7B" w14:paraId="5261A180"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743F38D2"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A3</w:t>
            </w:r>
          </w:p>
        </w:tc>
        <w:tc>
          <w:tcPr>
            <w:tcW w:w="1118" w:type="dxa"/>
            <w:tcBorders>
              <w:top w:val="nil"/>
              <w:left w:val="nil"/>
              <w:bottom w:val="single" w:sz="4" w:space="0" w:color="auto"/>
              <w:right w:val="single" w:sz="4" w:space="0" w:color="auto"/>
            </w:tcBorders>
            <w:shd w:val="clear" w:color="000000" w:fill="C6EFCE"/>
            <w:noWrap/>
            <w:vAlign w:val="center"/>
            <w:hideMark/>
          </w:tcPr>
          <w:p w14:paraId="3873D5F6"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216</w:t>
            </w:r>
          </w:p>
        </w:tc>
        <w:tc>
          <w:tcPr>
            <w:tcW w:w="2162" w:type="dxa"/>
            <w:tcBorders>
              <w:top w:val="nil"/>
              <w:left w:val="nil"/>
              <w:bottom w:val="single" w:sz="4" w:space="0" w:color="auto"/>
              <w:right w:val="single" w:sz="4" w:space="0" w:color="auto"/>
            </w:tcBorders>
            <w:shd w:val="clear" w:color="000000" w:fill="C6EFCE"/>
            <w:noWrap/>
            <w:vAlign w:val="center"/>
            <w:hideMark/>
          </w:tcPr>
          <w:p w14:paraId="4EE41A01"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7,0</w:t>
            </w:r>
          </w:p>
        </w:tc>
        <w:tc>
          <w:tcPr>
            <w:tcW w:w="1118" w:type="dxa"/>
            <w:tcBorders>
              <w:top w:val="nil"/>
              <w:left w:val="nil"/>
              <w:bottom w:val="single" w:sz="4" w:space="0" w:color="auto"/>
              <w:right w:val="single" w:sz="4" w:space="0" w:color="auto"/>
            </w:tcBorders>
            <w:shd w:val="clear" w:color="000000" w:fill="C6EFCE"/>
            <w:noWrap/>
            <w:vAlign w:val="center"/>
            <w:hideMark/>
          </w:tcPr>
          <w:p w14:paraId="1FC677D3"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108</w:t>
            </w:r>
          </w:p>
        </w:tc>
        <w:tc>
          <w:tcPr>
            <w:tcW w:w="2162" w:type="dxa"/>
            <w:tcBorders>
              <w:top w:val="nil"/>
              <w:left w:val="nil"/>
              <w:bottom w:val="single" w:sz="4" w:space="0" w:color="auto"/>
              <w:right w:val="single" w:sz="4" w:space="0" w:color="auto"/>
            </w:tcBorders>
            <w:shd w:val="clear" w:color="000000" w:fill="C6EFCE"/>
            <w:noWrap/>
            <w:vAlign w:val="center"/>
            <w:hideMark/>
          </w:tcPr>
          <w:p w14:paraId="1BEF9CDE"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3,5</w:t>
            </w:r>
          </w:p>
        </w:tc>
      </w:tr>
      <w:tr w:rsidR="00614F27" w:rsidRPr="00B65A7B" w14:paraId="7D7FC9F6"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067D95D4"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B1</w:t>
            </w:r>
          </w:p>
        </w:tc>
        <w:tc>
          <w:tcPr>
            <w:tcW w:w="1118" w:type="dxa"/>
            <w:tcBorders>
              <w:top w:val="nil"/>
              <w:left w:val="nil"/>
              <w:bottom w:val="single" w:sz="4" w:space="0" w:color="auto"/>
              <w:right w:val="single" w:sz="4" w:space="0" w:color="auto"/>
            </w:tcBorders>
            <w:shd w:val="clear" w:color="000000" w:fill="C6EFCE"/>
            <w:noWrap/>
            <w:vAlign w:val="center"/>
            <w:hideMark/>
          </w:tcPr>
          <w:p w14:paraId="1AE98FD4"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54</w:t>
            </w:r>
          </w:p>
        </w:tc>
        <w:tc>
          <w:tcPr>
            <w:tcW w:w="2162" w:type="dxa"/>
            <w:tcBorders>
              <w:top w:val="nil"/>
              <w:left w:val="nil"/>
              <w:bottom w:val="single" w:sz="4" w:space="0" w:color="auto"/>
              <w:right w:val="single" w:sz="4" w:space="0" w:color="auto"/>
            </w:tcBorders>
            <w:shd w:val="clear" w:color="000000" w:fill="C6EFCE"/>
            <w:noWrap/>
            <w:vAlign w:val="center"/>
            <w:hideMark/>
          </w:tcPr>
          <w:p w14:paraId="0D3F7922"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1,8</w:t>
            </w:r>
          </w:p>
        </w:tc>
        <w:tc>
          <w:tcPr>
            <w:tcW w:w="1118" w:type="dxa"/>
            <w:tcBorders>
              <w:top w:val="nil"/>
              <w:left w:val="nil"/>
              <w:bottom w:val="single" w:sz="4" w:space="0" w:color="auto"/>
              <w:right w:val="single" w:sz="4" w:space="0" w:color="auto"/>
            </w:tcBorders>
            <w:shd w:val="clear" w:color="000000" w:fill="C6EFCE"/>
            <w:noWrap/>
            <w:vAlign w:val="center"/>
            <w:hideMark/>
          </w:tcPr>
          <w:p w14:paraId="5716BAE8"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27</w:t>
            </w:r>
          </w:p>
        </w:tc>
        <w:tc>
          <w:tcPr>
            <w:tcW w:w="2162" w:type="dxa"/>
            <w:tcBorders>
              <w:top w:val="nil"/>
              <w:left w:val="nil"/>
              <w:bottom w:val="single" w:sz="4" w:space="0" w:color="auto"/>
              <w:right w:val="single" w:sz="4" w:space="0" w:color="auto"/>
            </w:tcBorders>
            <w:shd w:val="clear" w:color="000000" w:fill="C6EFCE"/>
            <w:noWrap/>
            <w:vAlign w:val="center"/>
            <w:hideMark/>
          </w:tcPr>
          <w:p w14:paraId="1E0D40E8"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0,9</w:t>
            </w:r>
          </w:p>
        </w:tc>
      </w:tr>
      <w:tr w:rsidR="00614F27" w:rsidRPr="00B65A7B" w14:paraId="1DB6D718"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2A73DFB9"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B2</w:t>
            </w:r>
          </w:p>
        </w:tc>
        <w:tc>
          <w:tcPr>
            <w:tcW w:w="1118" w:type="dxa"/>
            <w:tcBorders>
              <w:top w:val="nil"/>
              <w:left w:val="nil"/>
              <w:bottom w:val="single" w:sz="4" w:space="0" w:color="auto"/>
              <w:right w:val="single" w:sz="4" w:space="0" w:color="auto"/>
            </w:tcBorders>
            <w:shd w:val="clear" w:color="000000" w:fill="C6EFCE"/>
            <w:noWrap/>
            <w:vAlign w:val="center"/>
            <w:hideMark/>
          </w:tcPr>
          <w:p w14:paraId="3A5A91B3"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90</w:t>
            </w:r>
          </w:p>
        </w:tc>
        <w:tc>
          <w:tcPr>
            <w:tcW w:w="2162" w:type="dxa"/>
            <w:tcBorders>
              <w:top w:val="nil"/>
              <w:left w:val="nil"/>
              <w:bottom w:val="single" w:sz="4" w:space="0" w:color="auto"/>
              <w:right w:val="single" w:sz="4" w:space="0" w:color="auto"/>
            </w:tcBorders>
            <w:shd w:val="clear" w:color="000000" w:fill="C6EFCE"/>
            <w:noWrap/>
            <w:vAlign w:val="center"/>
            <w:hideMark/>
          </w:tcPr>
          <w:p w14:paraId="3F946388"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2,9</w:t>
            </w:r>
          </w:p>
        </w:tc>
        <w:tc>
          <w:tcPr>
            <w:tcW w:w="1118" w:type="dxa"/>
            <w:tcBorders>
              <w:top w:val="nil"/>
              <w:left w:val="nil"/>
              <w:bottom w:val="single" w:sz="4" w:space="0" w:color="auto"/>
              <w:right w:val="single" w:sz="4" w:space="0" w:color="auto"/>
            </w:tcBorders>
            <w:shd w:val="clear" w:color="000000" w:fill="FFC7CE"/>
            <w:noWrap/>
            <w:vAlign w:val="center"/>
            <w:hideMark/>
          </w:tcPr>
          <w:p w14:paraId="3ABB3AA3"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45</w:t>
            </w:r>
          </w:p>
        </w:tc>
        <w:tc>
          <w:tcPr>
            <w:tcW w:w="2162" w:type="dxa"/>
            <w:tcBorders>
              <w:top w:val="nil"/>
              <w:left w:val="nil"/>
              <w:bottom w:val="single" w:sz="4" w:space="0" w:color="auto"/>
              <w:right w:val="single" w:sz="4" w:space="0" w:color="auto"/>
            </w:tcBorders>
            <w:shd w:val="clear" w:color="000000" w:fill="FFC7CE"/>
            <w:noWrap/>
            <w:vAlign w:val="center"/>
            <w:hideMark/>
          </w:tcPr>
          <w:p w14:paraId="3BC55E13"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1,5</w:t>
            </w:r>
          </w:p>
        </w:tc>
      </w:tr>
      <w:tr w:rsidR="00614F27" w:rsidRPr="00B65A7B" w14:paraId="11B60F68"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0A66858B"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lastRenderedPageBreak/>
              <w:t>RACH Format B3</w:t>
            </w:r>
          </w:p>
        </w:tc>
        <w:tc>
          <w:tcPr>
            <w:tcW w:w="1118" w:type="dxa"/>
            <w:tcBorders>
              <w:top w:val="nil"/>
              <w:left w:val="nil"/>
              <w:bottom w:val="single" w:sz="4" w:space="0" w:color="auto"/>
              <w:right w:val="single" w:sz="4" w:space="0" w:color="auto"/>
            </w:tcBorders>
            <w:shd w:val="clear" w:color="000000" w:fill="C6EFCE"/>
            <w:noWrap/>
            <w:vAlign w:val="center"/>
            <w:hideMark/>
          </w:tcPr>
          <w:p w14:paraId="1A1DE676"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126</w:t>
            </w:r>
          </w:p>
        </w:tc>
        <w:tc>
          <w:tcPr>
            <w:tcW w:w="2162" w:type="dxa"/>
            <w:tcBorders>
              <w:top w:val="nil"/>
              <w:left w:val="nil"/>
              <w:bottom w:val="single" w:sz="4" w:space="0" w:color="auto"/>
              <w:right w:val="single" w:sz="4" w:space="0" w:color="auto"/>
            </w:tcBorders>
            <w:shd w:val="clear" w:color="000000" w:fill="C6EFCE"/>
            <w:noWrap/>
            <w:vAlign w:val="center"/>
            <w:hideMark/>
          </w:tcPr>
          <w:p w14:paraId="081F02DB"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4,1</w:t>
            </w:r>
          </w:p>
        </w:tc>
        <w:tc>
          <w:tcPr>
            <w:tcW w:w="1118" w:type="dxa"/>
            <w:tcBorders>
              <w:top w:val="nil"/>
              <w:left w:val="nil"/>
              <w:bottom w:val="single" w:sz="4" w:space="0" w:color="auto"/>
              <w:right w:val="single" w:sz="4" w:space="0" w:color="auto"/>
            </w:tcBorders>
            <w:shd w:val="clear" w:color="000000" w:fill="FFC7CE"/>
            <w:noWrap/>
            <w:vAlign w:val="center"/>
            <w:hideMark/>
          </w:tcPr>
          <w:p w14:paraId="28BD31B3"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63</w:t>
            </w:r>
          </w:p>
        </w:tc>
        <w:tc>
          <w:tcPr>
            <w:tcW w:w="2162" w:type="dxa"/>
            <w:tcBorders>
              <w:top w:val="nil"/>
              <w:left w:val="nil"/>
              <w:bottom w:val="single" w:sz="4" w:space="0" w:color="auto"/>
              <w:right w:val="single" w:sz="4" w:space="0" w:color="auto"/>
            </w:tcBorders>
            <w:shd w:val="clear" w:color="000000" w:fill="FFC7CE"/>
            <w:noWrap/>
            <w:vAlign w:val="center"/>
            <w:hideMark/>
          </w:tcPr>
          <w:p w14:paraId="7D2864F5" w14:textId="77777777" w:rsidR="00614F27" w:rsidRPr="00B65A7B" w:rsidRDefault="00614F27" w:rsidP="00912BD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2,1</w:t>
            </w:r>
          </w:p>
        </w:tc>
      </w:tr>
      <w:tr w:rsidR="00614F27" w:rsidRPr="00B65A7B" w14:paraId="132E7BFB"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1079BAC3"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B4</w:t>
            </w:r>
          </w:p>
        </w:tc>
        <w:tc>
          <w:tcPr>
            <w:tcW w:w="1118" w:type="dxa"/>
            <w:tcBorders>
              <w:top w:val="nil"/>
              <w:left w:val="nil"/>
              <w:bottom w:val="single" w:sz="4" w:space="0" w:color="auto"/>
              <w:right w:val="single" w:sz="4" w:space="0" w:color="auto"/>
            </w:tcBorders>
            <w:shd w:val="clear" w:color="000000" w:fill="C6EFCE"/>
            <w:noWrap/>
            <w:vAlign w:val="center"/>
            <w:hideMark/>
          </w:tcPr>
          <w:p w14:paraId="28FE843D"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234</w:t>
            </w:r>
          </w:p>
        </w:tc>
        <w:tc>
          <w:tcPr>
            <w:tcW w:w="2162" w:type="dxa"/>
            <w:tcBorders>
              <w:top w:val="nil"/>
              <w:left w:val="nil"/>
              <w:bottom w:val="single" w:sz="4" w:space="0" w:color="auto"/>
              <w:right w:val="single" w:sz="4" w:space="0" w:color="auto"/>
            </w:tcBorders>
            <w:shd w:val="clear" w:color="000000" w:fill="C6EFCE"/>
            <w:noWrap/>
            <w:vAlign w:val="center"/>
            <w:hideMark/>
          </w:tcPr>
          <w:p w14:paraId="4723D0E1"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7,6</w:t>
            </w:r>
          </w:p>
        </w:tc>
        <w:tc>
          <w:tcPr>
            <w:tcW w:w="1118" w:type="dxa"/>
            <w:tcBorders>
              <w:top w:val="nil"/>
              <w:left w:val="nil"/>
              <w:bottom w:val="single" w:sz="4" w:space="0" w:color="auto"/>
              <w:right w:val="single" w:sz="4" w:space="0" w:color="auto"/>
            </w:tcBorders>
            <w:shd w:val="clear" w:color="000000" w:fill="C6EFCE"/>
            <w:noWrap/>
            <w:vAlign w:val="center"/>
            <w:hideMark/>
          </w:tcPr>
          <w:p w14:paraId="441134D5"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117</w:t>
            </w:r>
          </w:p>
        </w:tc>
        <w:tc>
          <w:tcPr>
            <w:tcW w:w="2162" w:type="dxa"/>
            <w:tcBorders>
              <w:top w:val="nil"/>
              <w:left w:val="nil"/>
              <w:bottom w:val="single" w:sz="4" w:space="0" w:color="auto"/>
              <w:right w:val="single" w:sz="4" w:space="0" w:color="auto"/>
            </w:tcBorders>
            <w:shd w:val="clear" w:color="000000" w:fill="C6EFCE"/>
            <w:noWrap/>
            <w:vAlign w:val="center"/>
            <w:hideMark/>
          </w:tcPr>
          <w:p w14:paraId="6324BB33"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3,8</w:t>
            </w:r>
          </w:p>
        </w:tc>
      </w:tr>
      <w:tr w:rsidR="00614F27" w:rsidRPr="00B65A7B" w14:paraId="3EDC748B"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79570799"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C0</w:t>
            </w:r>
          </w:p>
        </w:tc>
        <w:tc>
          <w:tcPr>
            <w:tcW w:w="1118" w:type="dxa"/>
            <w:tcBorders>
              <w:top w:val="nil"/>
              <w:left w:val="nil"/>
              <w:bottom w:val="single" w:sz="4" w:space="0" w:color="auto"/>
              <w:right w:val="single" w:sz="4" w:space="0" w:color="auto"/>
            </w:tcBorders>
            <w:shd w:val="clear" w:color="000000" w:fill="C6EFCE"/>
            <w:noWrap/>
            <w:vAlign w:val="center"/>
            <w:hideMark/>
          </w:tcPr>
          <w:p w14:paraId="1ACB7A5C"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310</w:t>
            </w:r>
          </w:p>
        </w:tc>
        <w:tc>
          <w:tcPr>
            <w:tcW w:w="2162" w:type="dxa"/>
            <w:tcBorders>
              <w:top w:val="nil"/>
              <w:left w:val="nil"/>
              <w:bottom w:val="single" w:sz="4" w:space="0" w:color="auto"/>
              <w:right w:val="single" w:sz="4" w:space="0" w:color="auto"/>
            </w:tcBorders>
            <w:shd w:val="clear" w:color="000000" w:fill="C6EFCE"/>
            <w:noWrap/>
            <w:vAlign w:val="center"/>
            <w:hideMark/>
          </w:tcPr>
          <w:p w14:paraId="0B21E5FB"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10,1</w:t>
            </w:r>
          </w:p>
        </w:tc>
        <w:tc>
          <w:tcPr>
            <w:tcW w:w="1118" w:type="dxa"/>
            <w:tcBorders>
              <w:top w:val="nil"/>
              <w:left w:val="nil"/>
              <w:bottom w:val="single" w:sz="4" w:space="0" w:color="auto"/>
              <w:right w:val="single" w:sz="4" w:space="0" w:color="auto"/>
            </w:tcBorders>
            <w:shd w:val="clear" w:color="000000" w:fill="C6EFCE"/>
            <w:noWrap/>
            <w:vAlign w:val="center"/>
            <w:hideMark/>
          </w:tcPr>
          <w:p w14:paraId="2E807765"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155</w:t>
            </w:r>
          </w:p>
        </w:tc>
        <w:tc>
          <w:tcPr>
            <w:tcW w:w="2162" w:type="dxa"/>
            <w:tcBorders>
              <w:top w:val="nil"/>
              <w:left w:val="nil"/>
              <w:bottom w:val="single" w:sz="4" w:space="0" w:color="auto"/>
              <w:right w:val="single" w:sz="4" w:space="0" w:color="auto"/>
            </w:tcBorders>
            <w:shd w:val="clear" w:color="000000" w:fill="C6EFCE"/>
            <w:noWrap/>
            <w:vAlign w:val="center"/>
            <w:hideMark/>
          </w:tcPr>
          <w:p w14:paraId="117133CA"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5,0</w:t>
            </w:r>
          </w:p>
        </w:tc>
      </w:tr>
      <w:tr w:rsidR="00614F27" w:rsidRPr="00B65A7B" w14:paraId="1B4CED69" w14:textId="77777777" w:rsidTr="00912BD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2A6FE020" w14:textId="77777777" w:rsidR="00614F27" w:rsidRPr="00B65A7B" w:rsidRDefault="00614F27" w:rsidP="00912BD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C2</w:t>
            </w:r>
          </w:p>
        </w:tc>
        <w:tc>
          <w:tcPr>
            <w:tcW w:w="1118" w:type="dxa"/>
            <w:tcBorders>
              <w:top w:val="nil"/>
              <w:left w:val="nil"/>
              <w:bottom w:val="single" w:sz="4" w:space="0" w:color="auto"/>
              <w:right w:val="single" w:sz="4" w:space="0" w:color="auto"/>
            </w:tcBorders>
            <w:shd w:val="clear" w:color="000000" w:fill="C6EFCE"/>
            <w:noWrap/>
            <w:vAlign w:val="center"/>
            <w:hideMark/>
          </w:tcPr>
          <w:p w14:paraId="20F5E71F"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512</w:t>
            </w:r>
          </w:p>
        </w:tc>
        <w:tc>
          <w:tcPr>
            <w:tcW w:w="2162" w:type="dxa"/>
            <w:tcBorders>
              <w:top w:val="nil"/>
              <w:left w:val="nil"/>
              <w:bottom w:val="single" w:sz="4" w:space="0" w:color="auto"/>
              <w:right w:val="single" w:sz="4" w:space="0" w:color="auto"/>
            </w:tcBorders>
            <w:shd w:val="clear" w:color="000000" w:fill="C6EFCE"/>
            <w:noWrap/>
            <w:vAlign w:val="center"/>
            <w:hideMark/>
          </w:tcPr>
          <w:p w14:paraId="14B04C48"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16,7</w:t>
            </w:r>
          </w:p>
        </w:tc>
        <w:tc>
          <w:tcPr>
            <w:tcW w:w="1118" w:type="dxa"/>
            <w:tcBorders>
              <w:top w:val="nil"/>
              <w:left w:val="nil"/>
              <w:bottom w:val="single" w:sz="4" w:space="0" w:color="auto"/>
              <w:right w:val="single" w:sz="4" w:space="0" w:color="auto"/>
            </w:tcBorders>
            <w:shd w:val="clear" w:color="000000" w:fill="C6EFCE"/>
            <w:noWrap/>
            <w:vAlign w:val="center"/>
            <w:hideMark/>
          </w:tcPr>
          <w:p w14:paraId="4A6B2C97"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256</w:t>
            </w:r>
          </w:p>
        </w:tc>
        <w:tc>
          <w:tcPr>
            <w:tcW w:w="2162" w:type="dxa"/>
            <w:tcBorders>
              <w:top w:val="nil"/>
              <w:left w:val="nil"/>
              <w:bottom w:val="single" w:sz="4" w:space="0" w:color="auto"/>
              <w:right w:val="single" w:sz="4" w:space="0" w:color="auto"/>
            </w:tcBorders>
            <w:shd w:val="clear" w:color="000000" w:fill="C6EFCE"/>
            <w:noWrap/>
            <w:vAlign w:val="center"/>
            <w:hideMark/>
          </w:tcPr>
          <w:p w14:paraId="0C9A6CCF" w14:textId="77777777" w:rsidR="00614F27" w:rsidRPr="00B65A7B" w:rsidRDefault="00614F27" w:rsidP="00912BD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8,3</w:t>
            </w:r>
          </w:p>
        </w:tc>
      </w:tr>
    </w:tbl>
    <w:p w14:paraId="4895C0E2" w14:textId="77777777" w:rsidR="00983A6B" w:rsidRDefault="00983A6B" w:rsidP="00F5307C"/>
    <w:p w14:paraId="01C2FA7B" w14:textId="6549B7DA" w:rsidR="00041B56" w:rsidRDefault="00041B56" w:rsidP="00041B56">
      <w:pPr>
        <w:pStyle w:val="RAN4proposal"/>
      </w:pPr>
      <w:bookmarkStart w:id="14" w:name="_Toc142668044"/>
      <w:r>
        <w:t>If further relaxation is adopted for PRACH formats</w:t>
      </w:r>
      <w:r w:rsidR="00792B58">
        <w:t>, limit the transmit timing inaccuracy</w:t>
      </w:r>
      <w:r w:rsidR="00094903">
        <w:t>,</w:t>
      </w:r>
      <w:r w:rsidR="00792B58">
        <w:t xml:space="preserve"> </w:t>
      </w:r>
      <w:proofErr w:type="spellStart"/>
      <w:r w:rsidR="00094903">
        <w:t>T</w:t>
      </w:r>
      <w:r w:rsidR="00094903" w:rsidRPr="00094903">
        <w:rPr>
          <w:vertAlign w:val="subscript"/>
        </w:rPr>
        <w:t>e_NTN</w:t>
      </w:r>
      <w:proofErr w:type="spellEnd"/>
      <w:r w:rsidR="00094903">
        <w:t xml:space="preserve"> , to </w:t>
      </w:r>
      <w:r w:rsidR="00792B58">
        <w:t>12 T</w:t>
      </w:r>
      <w:r w:rsidR="00094903">
        <w:t>s in total.</w:t>
      </w:r>
      <w:bookmarkEnd w:id="14"/>
      <w:r w:rsidR="00094903">
        <w:t xml:space="preserve"> </w:t>
      </w:r>
    </w:p>
    <w:p w14:paraId="3B9E44EC" w14:textId="77777777" w:rsidR="00094903" w:rsidRPr="00094903" w:rsidRDefault="00094903" w:rsidP="00094903"/>
    <w:p w14:paraId="75512F52" w14:textId="77777777" w:rsidR="0060543D" w:rsidRDefault="0060543D" w:rsidP="00300956"/>
    <w:p w14:paraId="462F5FAF" w14:textId="77777777" w:rsidR="00847264" w:rsidRPr="008C39F7" w:rsidRDefault="00847264" w:rsidP="00300956"/>
    <w:p w14:paraId="2276925F" w14:textId="2BA55AA8" w:rsidR="00CB22B2" w:rsidRDefault="00C77803" w:rsidP="00496606">
      <w:pPr>
        <w:pStyle w:val="RAN4H2"/>
      </w:pPr>
      <w:r>
        <w:t>Mobility Measurements</w:t>
      </w:r>
    </w:p>
    <w:p w14:paraId="17EC39EF" w14:textId="39384A6D" w:rsidR="00C77803" w:rsidRDefault="00E3323E" w:rsidP="00C77803">
      <w:r>
        <w:t xml:space="preserve">Another relevant problem for the operation in frequencies above 10 GHz in NTN regards the mobility measurements. </w:t>
      </w:r>
      <w:r w:rsidR="008979C8">
        <w:t xml:space="preserve">This was discussed in a recent RAN plenary, and the objective added to the </w:t>
      </w:r>
      <w:r w:rsidR="00320144">
        <w:t xml:space="preserve">WID </w:t>
      </w:r>
      <w:r w:rsidR="008C536B">
        <w:fldChar w:fldCharType="begin"/>
      </w:r>
      <w:r w:rsidR="008C536B">
        <w:instrText xml:space="preserve"> REF _Ref141701505 \r \h </w:instrText>
      </w:r>
      <w:r w:rsidR="008C536B">
        <w:fldChar w:fldCharType="separate"/>
      </w:r>
      <w:r w:rsidR="00D24E42">
        <w:t>[8]</w:t>
      </w:r>
      <w:r w:rsidR="008C536B">
        <w:fldChar w:fldCharType="end"/>
      </w:r>
      <w:r w:rsidR="008C536B">
        <w:t xml:space="preserve">. </w:t>
      </w:r>
      <w:r w:rsidR="00593318">
        <w:t>It was added to the objective to specify RRM requirement for NR-NTN UE operating in these bands,</w:t>
      </w:r>
      <w:r w:rsidR="00EC1F58">
        <w:t>”</w:t>
      </w:r>
      <w:r w:rsidR="00593318">
        <w:t xml:space="preserve"> </w:t>
      </w:r>
      <w:r w:rsidR="008E7E55">
        <w:t>assuming that UE needs to use RX beamforming</w:t>
      </w:r>
      <w:r w:rsidR="00EC1F58">
        <w:t>”</w:t>
      </w:r>
      <w:r w:rsidR="008E7E55">
        <w:t xml:space="preserve">. </w:t>
      </w:r>
    </w:p>
    <w:p w14:paraId="1501C1ED" w14:textId="5F64EF07" w:rsidR="00EC1F58" w:rsidRDefault="00681596" w:rsidP="00C77803">
      <w:r>
        <w:t xml:space="preserve">This discussion was presented on one of our earlier papers as well, and here we reintroduce some of the </w:t>
      </w:r>
      <w:r w:rsidR="00A07553">
        <w:t>concepts already proposed:</w:t>
      </w:r>
    </w:p>
    <w:p w14:paraId="1AC31C47" w14:textId="77777777" w:rsidR="00A07553" w:rsidRPr="008C39F7" w:rsidRDefault="00A07553" w:rsidP="00A07553">
      <w:pPr>
        <w:pStyle w:val="RAN4H3"/>
      </w:pPr>
      <w:r>
        <w:t>Beam Sweeping for Cell Reselection</w:t>
      </w:r>
    </w:p>
    <w:p w14:paraId="4A20848B" w14:textId="69EDB847" w:rsidR="00A07553" w:rsidRDefault="00A07553" w:rsidP="00A07553">
      <w:pPr>
        <w:rPr>
          <w:lang w:val="en-GB"/>
        </w:rPr>
      </w:pPr>
      <w:bookmarkStart w:id="15" w:name="_Toc116981541"/>
      <w:bookmarkStart w:id="16" w:name="_Toc116982824"/>
      <w:bookmarkStart w:id="17" w:name="_Toc116982859"/>
      <w:bookmarkStart w:id="18" w:name="_Toc116982882"/>
      <w:bookmarkStart w:id="19" w:name="_Toc116994710"/>
      <w:bookmarkStart w:id="20" w:name="_Toc116994823"/>
      <w:bookmarkStart w:id="21" w:name="_Toc116994895"/>
      <w:bookmarkStart w:id="22" w:name="_Toc116994909"/>
      <w:bookmarkStart w:id="23" w:name="_Toc116995098"/>
      <w:bookmarkStart w:id="24" w:name="_Toc116995141"/>
      <w:bookmarkStart w:id="25" w:name="_Toc116995897"/>
      <w:bookmarkStart w:id="26" w:name="_Toc116995923"/>
      <w:bookmarkStart w:id="27" w:name="_Toc116995943"/>
      <w:bookmarkStart w:id="28" w:name="_Toc116996063"/>
      <w:bookmarkStart w:id="29" w:name="_Toc116996084"/>
      <w:bookmarkStart w:id="30" w:name="_Toc116996089"/>
      <w:bookmarkStart w:id="31" w:name="_Toc116996131"/>
      <w:bookmarkStart w:id="32" w:name="_Toc116996431"/>
      <w:bookmarkStart w:id="33" w:name="_Toc116996752"/>
      <w:bookmarkStart w:id="34" w:name="_Toc116997065"/>
      <w:bookmarkStart w:id="35" w:name="_Toc132796768"/>
      <w:r>
        <w:rPr>
          <w:lang w:val="en-GB"/>
        </w:rPr>
        <w:t xml:space="preserve">The WID description indicates that studies might cover mobile and fixed VSAT operations using the baseline the description on TS 38.821 </w:t>
      </w:r>
      <w:r>
        <w:rPr>
          <w:lang w:val="en-GB"/>
        </w:rPr>
        <w:fldChar w:fldCharType="begin"/>
      </w:r>
      <w:r>
        <w:rPr>
          <w:lang w:val="en-GB"/>
        </w:rPr>
        <w:instrText xml:space="preserve"> REF _Ref130303848 \r \h </w:instrText>
      </w:r>
      <w:r>
        <w:rPr>
          <w:lang w:val="en-GB"/>
        </w:rPr>
      </w:r>
      <w:r>
        <w:rPr>
          <w:lang w:val="en-GB"/>
        </w:rPr>
        <w:fldChar w:fldCharType="separate"/>
      </w:r>
      <w:r w:rsidR="00551E90">
        <w:rPr>
          <w:lang w:val="en-GB"/>
        </w:rPr>
        <w:t>[11]</w:t>
      </w:r>
      <w:r>
        <w:rPr>
          <w:lang w:val="en-GB"/>
        </w:rPr>
        <w:fldChar w:fldCharType="end"/>
      </w:r>
      <w:r>
        <w:rPr>
          <w:lang w:val="en-GB"/>
        </w:rPr>
        <w:t xml:space="preserve">. The VSAT as described in TS 38.821 can be implemented as a phased array antenna. This means that directional “satellite tracking” is performed at the UE side. This brings the advantage to enhance the antenna gain in the direction of the serving satellite, but it potentially decreases the antenna gain in the direction of </w:t>
      </w:r>
      <w:proofErr w:type="spellStart"/>
      <w:r>
        <w:rPr>
          <w:lang w:val="en-GB"/>
        </w:rPr>
        <w:t>neighboring</w:t>
      </w:r>
      <w:proofErr w:type="spellEnd"/>
      <w:r>
        <w:rPr>
          <w:lang w:val="en-GB"/>
        </w:rPr>
        <w:t xml:space="preserve"> satellites. Therefore, the UE shall perform measurements also in different directions when measuring cells from </w:t>
      </w:r>
      <w:proofErr w:type="spellStart"/>
      <w:r>
        <w:rPr>
          <w:lang w:val="en-GB"/>
        </w:rPr>
        <w:t>neighbor</w:t>
      </w:r>
      <w:proofErr w:type="spellEnd"/>
      <w:r>
        <w:rPr>
          <w:lang w:val="en-GB"/>
        </w:rPr>
        <w:t xml:space="preserve"> satellites. </w:t>
      </w:r>
    </w:p>
    <w:p w14:paraId="5C899D8A" w14:textId="62241362" w:rsidR="00A07553" w:rsidRDefault="00A07553" w:rsidP="00A07553">
      <w:r>
        <w:rPr>
          <w:lang w:val="en-GB"/>
        </w:rPr>
        <w:t xml:space="preserve">A similar procedure was adopted in legacy (terrestrial) deployments in FR2, as depicted in the </w:t>
      </w:r>
      <w:r>
        <w:t xml:space="preserve">Example from Table 4.2.2.3-1, from TS 38.133 </w:t>
      </w:r>
      <w:r>
        <w:fldChar w:fldCharType="begin"/>
      </w:r>
      <w:r>
        <w:instrText xml:space="preserve"> REF _Ref118130196 \r \h </w:instrText>
      </w:r>
      <w:r>
        <w:fldChar w:fldCharType="separate"/>
      </w:r>
      <w:r w:rsidR="00551E90">
        <w:t>[9]</w:t>
      </w:r>
      <w:r>
        <w:fldChar w:fldCharType="end"/>
      </w:r>
      <w:r>
        <w:t xml:space="preserve">, for intra-frequency mobility in RRC_IDLE (highlights are our own): </w:t>
      </w:r>
    </w:p>
    <w:p w14:paraId="266D9731" w14:textId="77777777" w:rsidR="00A07553" w:rsidRDefault="00A07553" w:rsidP="00A07553">
      <w:pPr>
        <w:pStyle w:val="TH"/>
        <w:rPr>
          <w:lang w:val="en-US"/>
        </w:rPr>
      </w:pPr>
      <w:r>
        <w:rPr>
          <w:lang w:val="en-US"/>
        </w:rPr>
        <w:t xml:space="preserve">Table 4.2.2.3-1: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76"/>
        <w:gridCol w:w="1915"/>
        <w:gridCol w:w="1868"/>
        <w:gridCol w:w="1397"/>
        <w:gridCol w:w="1542"/>
        <w:gridCol w:w="1465"/>
      </w:tblGrid>
      <w:tr w:rsidR="00A07553" w14:paraId="043EF974" w14:textId="77777777" w:rsidTr="00D20B6B">
        <w:trPr>
          <w:cantSplit/>
          <w:trHeight w:val="308"/>
          <w:jc w:val="center"/>
        </w:trPr>
        <w:tc>
          <w:tcPr>
            <w:tcW w:w="0" w:type="auto"/>
            <w:tcBorders>
              <w:top w:val="single" w:sz="4" w:space="0" w:color="auto"/>
              <w:left w:val="single" w:sz="4" w:space="0" w:color="auto"/>
              <w:bottom w:val="nil"/>
              <w:right w:val="single" w:sz="4" w:space="0" w:color="auto"/>
            </w:tcBorders>
            <w:hideMark/>
          </w:tcPr>
          <w:p w14:paraId="554E0765" w14:textId="77777777" w:rsidR="00A07553" w:rsidRDefault="00A07553" w:rsidP="00D20B6B">
            <w:pPr>
              <w:pStyle w:val="TAH"/>
            </w:pPr>
            <w: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D7E8A4E" w14:textId="77777777" w:rsidR="00A07553" w:rsidRDefault="00A07553" w:rsidP="00D20B6B">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6A8C994A" w14:textId="77777777" w:rsidR="00A07553" w:rsidRDefault="00A07553" w:rsidP="00D20B6B">
            <w:pPr>
              <w:pStyle w:val="TAH"/>
            </w:pPr>
            <w:proofErr w:type="spellStart"/>
            <w:r>
              <w:t>T</w:t>
            </w:r>
            <w:r>
              <w:rPr>
                <w:vertAlign w:val="subscript"/>
              </w:rPr>
              <w:t>detect,NR_Intra</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2EE1AC9C" w14:textId="77777777" w:rsidR="00A07553" w:rsidRDefault="00A07553" w:rsidP="00D20B6B">
            <w:pPr>
              <w:pStyle w:val="TAH"/>
            </w:pPr>
            <w:proofErr w:type="spellStart"/>
            <w:r>
              <w:t>T</w:t>
            </w:r>
            <w:r>
              <w:rPr>
                <w:vertAlign w:val="subscript"/>
              </w:rPr>
              <w:t>measure,NR_Intra</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22A7B8C3" w14:textId="77777777" w:rsidR="00A07553" w:rsidRDefault="00A07553" w:rsidP="00D20B6B">
            <w:pPr>
              <w:pStyle w:val="TAH"/>
              <w:rPr>
                <w:vertAlign w:val="subscript"/>
              </w:rPr>
            </w:pPr>
            <w:proofErr w:type="spellStart"/>
            <w:r>
              <w:t>T</w:t>
            </w:r>
            <w:r>
              <w:rPr>
                <w:vertAlign w:val="subscript"/>
              </w:rPr>
              <w:t>evaluate,NR_</w:t>
            </w:r>
            <w:r>
              <w:rPr>
                <w:rFonts w:cs="v4.2.0"/>
                <w:vertAlign w:val="subscript"/>
              </w:rPr>
              <w:t>Intra</w:t>
            </w:r>
            <w:proofErr w:type="spellEnd"/>
          </w:p>
          <w:p w14:paraId="1767CD62" w14:textId="77777777" w:rsidR="00A07553" w:rsidRDefault="00A07553" w:rsidP="00D20B6B">
            <w:pPr>
              <w:pStyle w:val="TAH"/>
            </w:pPr>
            <w:r>
              <w:t>[s] (number of DRX cycles)</w:t>
            </w:r>
          </w:p>
        </w:tc>
      </w:tr>
      <w:tr w:rsidR="00A07553" w14:paraId="17249A8D" w14:textId="77777777" w:rsidTr="00D20B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EF48A3D" w14:textId="77777777" w:rsidR="00A07553" w:rsidRDefault="00A07553" w:rsidP="00D20B6B"/>
        </w:tc>
        <w:tc>
          <w:tcPr>
            <w:tcW w:w="0" w:type="auto"/>
            <w:tcBorders>
              <w:top w:val="single" w:sz="4" w:space="0" w:color="auto"/>
              <w:left w:val="single" w:sz="4" w:space="0" w:color="auto"/>
              <w:bottom w:val="single" w:sz="4" w:space="0" w:color="auto"/>
              <w:right w:val="single" w:sz="4" w:space="0" w:color="auto"/>
            </w:tcBorders>
            <w:hideMark/>
          </w:tcPr>
          <w:p w14:paraId="066841B9" w14:textId="77777777" w:rsidR="00A07553" w:rsidRDefault="00A07553" w:rsidP="00D20B6B">
            <w:pPr>
              <w:pStyle w:val="TAH"/>
              <w:rPr>
                <w:rFonts w:eastAsiaTheme="minorHAnsi" w:cstheme="minorBidi"/>
                <w:szCs w:val="22"/>
                <w:lang w:eastAsia="en-US"/>
              </w:rPr>
            </w:pPr>
            <w:r>
              <w:t>FR1</w:t>
            </w:r>
          </w:p>
        </w:tc>
        <w:tc>
          <w:tcPr>
            <w:tcW w:w="854" w:type="dxa"/>
            <w:tcBorders>
              <w:top w:val="single" w:sz="4" w:space="0" w:color="auto"/>
              <w:left w:val="single" w:sz="4" w:space="0" w:color="auto"/>
              <w:bottom w:val="single" w:sz="4" w:space="0" w:color="auto"/>
              <w:right w:val="single" w:sz="4" w:space="0" w:color="auto"/>
            </w:tcBorders>
            <w:hideMark/>
          </w:tcPr>
          <w:p w14:paraId="68ADF78C" w14:textId="77777777" w:rsidR="00A07553" w:rsidRDefault="00A07553" w:rsidP="00D20B6B">
            <w:pPr>
              <w:pStyle w:val="TAH"/>
              <w:rPr>
                <w:vertAlign w:val="superscript"/>
              </w:rPr>
            </w:pPr>
            <w:r>
              <w:t>FR2-1</w:t>
            </w:r>
            <w:r w:rsidRPr="009F0510">
              <w:rPr>
                <w:highlight w:val="cyan"/>
                <w:vertAlign w:val="superscript"/>
              </w:rPr>
              <w:t>Note1</w:t>
            </w:r>
          </w:p>
        </w:tc>
        <w:tc>
          <w:tcPr>
            <w:tcW w:w="833" w:type="dxa"/>
            <w:tcBorders>
              <w:top w:val="single" w:sz="4" w:space="0" w:color="auto"/>
              <w:left w:val="single" w:sz="4" w:space="0" w:color="auto"/>
              <w:bottom w:val="single" w:sz="4" w:space="0" w:color="auto"/>
              <w:right w:val="single" w:sz="4" w:space="0" w:color="auto"/>
            </w:tcBorders>
            <w:hideMark/>
          </w:tcPr>
          <w:p w14:paraId="74FEAF8A" w14:textId="77777777" w:rsidR="00A07553" w:rsidRDefault="00A07553" w:rsidP="00D20B6B">
            <w:pPr>
              <w:pStyle w:val="TAH"/>
              <w:rPr>
                <w:vertAlign w:val="superscript"/>
              </w:rPr>
            </w:pPr>
            <w:r>
              <w:rPr>
                <w:lang w:eastAsia="zh-CN"/>
              </w:rPr>
              <w:t>FR2-2</w:t>
            </w:r>
            <w:r>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69A140BC" w14:textId="77777777" w:rsidR="00A07553" w:rsidRDefault="00A07553" w:rsidP="00D20B6B">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6A3D5305" w14:textId="77777777" w:rsidR="00A07553" w:rsidRDefault="00A07553" w:rsidP="00D20B6B">
            <w:pPr>
              <w:spacing w:after="0" w:line="240" w:lineRule="auto"/>
              <w:rPr>
                <w:rFonts w:eastAsia="SimSun" w:cs="Times New Roman"/>
                <w:szCs w:val="20"/>
                <w:lang w:eastAsia="en-GB"/>
              </w:rPr>
            </w:pPr>
          </w:p>
        </w:tc>
        <w:tc>
          <w:tcPr>
            <w:tcW w:w="0" w:type="auto"/>
            <w:tcBorders>
              <w:top w:val="nil"/>
              <w:left w:val="single" w:sz="4" w:space="0" w:color="auto"/>
              <w:bottom w:val="single" w:sz="4" w:space="0" w:color="auto"/>
              <w:right w:val="single" w:sz="4" w:space="0" w:color="auto"/>
            </w:tcBorders>
            <w:vAlign w:val="center"/>
            <w:hideMark/>
          </w:tcPr>
          <w:p w14:paraId="4DA6E824" w14:textId="77777777" w:rsidR="00A07553" w:rsidRDefault="00A07553" w:rsidP="00D20B6B">
            <w:pPr>
              <w:spacing w:after="0" w:line="240" w:lineRule="auto"/>
              <w:rPr>
                <w:rFonts w:eastAsia="SimSun" w:cs="Times New Roman"/>
                <w:szCs w:val="20"/>
                <w:lang w:eastAsia="en-GB"/>
              </w:rPr>
            </w:pPr>
          </w:p>
        </w:tc>
      </w:tr>
      <w:tr w:rsidR="00A07553" w14:paraId="689F0F90" w14:textId="77777777" w:rsidTr="00D20B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9D528" w14:textId="77777777" w:rsidR="00A07553" w:rsidRDefault="00A07553" w:rsidP="00D20B6B">
            <w:pPr>
              <w:pStyle w:val="TAC"/>
              <w:rPr>
                <w:rFonts w:eastAsiaTheme="minorHAnsi" w:cstheme="minorBidi"/>
                <w:szCs w:val="22"/>
                <w:lang w:eastAsia="en-US"/>
              </w:rPr>
            </w:pPr>
            <w:r>
              <w:t>0.32</w:t>
            </w:r>
          </w:p>
        </w:tc>
        <w:tc>
          <w:tcPr>
            <w:tcW w:w="0" w:type="auto"/>
            <w:tcBorders>
              <w:top w:val="single" w:sz="4" w:space="0" w:color="auto"/>
              <w:left w:val="single" w:sz="4" w:space="0" w:color="auto"/>
              <w:bottom w:val="nil"/>
              <w:right w:val="single" w:sz="4" w:space="0" w:color="auto"/>
            </w:tcBorders>
            <w:vAlign w:val="center"/>
            <w:hideMark/>
          </w:tcPr>
          <w:p w14:paraId="158359BE" w14:textId="77777777" w:rsidR="00A07553" w:rsidRDefault="00A07553" w:rsidP="00D20B6B">
            <w:pPr>
              <w:pStyle w:val="TAC"/>
            </w:pPr>
            <w:r w:rsidRPr="009F0510">
              <w:rPr>
                <w:highlight w:val="yellow"/>
              </w:rPr>
              <w:t>1</w:t>
            </w:r>
          </w:p>
        </w:tc>
        <w:tc>
          <w:tcPr>
            <w:tcW w:w="854" w:type="dxa"/>
            <w:tcBorders>
              <w:top w:val="single" w:sz="4" w:space="0" w:color="auto"/>
              <w:left w:val="single" w:sz="4" w:space="0" w:color="auto"/>
              <w:bottom w:val="single" w:sz="4" w:space="0" w:color="auto"/>
              <w:right w:val="single" w:sz="4" w:space="0" w:color="auto"/>
            </w:tcBorders>
            <w:hideMark/>
          </w:tcPr>
          <w:p w14:paraId="6B168B63" w14:textId="77777777" w:rsidR="00A07553" w:rsidRPr="009F0510" w:rsidRDefault="00A07553" w:rsidP="00D20B6B">
            <w:pPr>
              <w:pStyle w:val="TAC"/>
              <w:rPr>
                <w:highlight w:val="yellow"/>
              </w:rPr>
            </w:pPr>
            <w:r w:rsidRPr="009F0510">
              <w:rPr>
                <w:highlight w:val="yellow"/>
              </w:rPr>
              <w:t>8</w:t>
            </w:r>
          </w:p>
        </w:tc>
        <w:tc>
          <w:tcPr>
            <w:tcW w:w="833" w:type="dxa"/>
            <w:tcBorders>
              <w:top w:val="single" w:sz="4" w:space="0" w:color="auto"/>
              <w:left w:val="single" w:sz="4" w:space="0" w:color="auto"/>
              <w:bottom w:val="single" w:sz="4" w:space="0" w:color="auto"/>
              <w:right w:val="single" w:sz="4" w:space="0" w:color="auto"/>
            </w:tcBorders>
            <w:hideMark/>
          </w:tcPr>
          <w:p w14:paraId="5AEE4C19" w14:textId="77777777" w:rsidR="00A07553" w:rsidRDefault="00A07553" w:rsidP="00D20B6B">
            <w:pPr>
              <w:pStyle w:val="TAC"/>
              <w:rPr>
                <w:szCs w:val="18"/>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2EA5418" w14:textId="77777777" w:rsidR="00A07553" w:rsidRDefault="00A07553" w:rsidP="00D20B6B">
            <w:pPr>
              <w:pStyle w:val="TAC"/>
              <w:rPr>
                <w:szCs w:val="22"/>
              </w:rPr>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72A8DD9B" w14:textId="77777777" w:rsidR="00A07553" w:rsidRDefault="00A07553" w:rsidP="00D20B6B">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534A68B0" w14:textId="77777777" w:rsidR="00A07553" w:rsidRDefault="00A07553" w:rsidP="00D20B6B">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A07553" w14:paraId="1D7EF561" w14:textId="77777777" w:rsidTr="00D20B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4E92B" w14:textId="77777777" w:rsidR="00A07553" w:rsidRDefault="00A07553" w:rsidP="00D20B6B">
            <w:pPr>
              <w:pStyle w:val="TAC"/>
            </w:pPr>
            <w:r>
              <w:t>0.64</w:t>
            </w:r>
          </w:p>
        </w:tc>
        <w:tc>
          <w:tcPr>
            <w:tcW w:w="0" w:type="auto"/>
            <w:tcBorders>
              <w:top w:val="nil"/>
              <w:left w:val="single" w:sz="4" w:space="0" w:color="auto"/>
              <w:bottom w:val="nil"/>
              <w:right w:val="single" w:sz="4" w:space="0" w:color="auto"/>
            </w:tcBorders>
            <w:vAlign w:val="center"/>
            <w:hideMark/>
          </w:tcPr>
          <w:p w14:paraId="5811F900" w14:textId="77777777" w:rsidR="00A07553" w:rsidRDefault="00A07553" w:rsidP="00D20B6B"/>
        </w:tc>
        <w:tc>
          <w:tcPr>
            <w:tcW w:w="854" w:type="dxa"/>
            <w:tcBorders>
              <w:top w:val="single" w:sz="4" w:space="0" w:color="auto"/>
              <w:left w:val="single" w:sz="4" w:space="0" w:color="auto"/>
              <w:bottom w:val="single" w:sz="4" w:space="0" w:color="auto"/>
              <w:right w:val="single" w:sz="4" w:space="0" w:color="auto"/>
            </w:tcBorders>
            <w:hideMark/>
          </w:tcPr>
          <w:p w14:paraId="448A61CC" w14:textId="77777777" w:rsidR="00A07553" w:rsidRPr="009F0510" w:rsidRDefault="00A07553" w:rsidP="00D20B6B">
            <w:pPr>
              <w:pStyle w:val="TAC"/>
              <w:rPr>
                <w:rFonts w:eastAsiaTheme="minorHAnsi" w:cstheme="minorBidi"/>
                <w:szCs w:val="22"/>
                <w:highlight w:val="yellow"/>
                <w:lang w:eastAsia="en-US"/>
              </w:rPr>
            </w:pPr>
            <w:r w:rsidRPr="009F0510">
              <w:rPr>
                <w:highlight w:val="yellow"/>
              </w:rPr>
              <w:t>5</w:t>
            </w:r>
          </w:p>
        </w:tc>
        <w:tc>
          <w:tcPr>
            <w:tcW w:w="833" w:type="dxa"/>
            <w:tcBorders>
              <w:top w:val="single" w:sz="4" w:space="0" w:color="auto"/>
              <w:left w:val="single" w:sz="4" w:space="0" w:color="auto"/>
              <w:bottom w:val="single" w:sz="4" w:space="0" w:color="auto"/>
              <w:right w:val="single" w:sz="4" w:space="0" w:color="auto"/>
            </w:tcBorders>
            <w:hideMark/>
          </w:tcPr>
          <w:p w14:paraId="0BD69F10" w14:textId="77777777" w:rsidR="00A07553" w:rsidRDefault="00A07553" w:rsidP="00D20B6B">
            <w:pPr>
              <w:pStyle w:val="TAC"/>
              <w:rPr>
                <w:szCs w:val="18"/>
              </w:rPr>
            </w:pPr>
            <w:r>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3A0D505" w14:textId="77777777" w:rsidR="00A07553" w:rsidRDefault="00A07553" w:rsidP="00D20B6B">
            <w:pPr>
              <w:pStyle w:val="TAC"/>
              <w:rPr>
                <w:szCs w:val="22"/>
              </w:rPr>
            </w:pPr>
            <w:r>
              <w:t>17.92 x N1 (28 x N1)</w:t>
            </w:r>
          </w:p>
        </w:tc>
        <w:tc>
          <w:tcPr>
            <w:tcW w:w="0" w:type="auto"/>
            <w:tcBorders>
              <w:top w:val="single" w:sz="4" w:space="0" w:color="auto"/>
              <w:left w:val="single" w:sz="4" w:space="0" w:color="auto"/>
              <w:bottom w:val="single" w:sz="4" w:space="0" w:color="auto"/>
              <w:right w:val="single" w:sz="4" w:space="0" w:color="auto"/>
            </w:tcBorders>
            <w:hideMark/>
          </w:tcPr>
          <w:p w14:paraId="0C19011A" w14:textId="77777777" w:rsidR="00A07553" w:rsidRDefault="00A07553" w:rsidP="00D20B6B">
            <w:pPr>
              <w:pStyle w:val="TAC"/>
            </w:pPr>
            <w:r>
              <w:t>1.28 x N1 (2 x N1)</w:t>
            </w:r>
          </w:p>
        </w:tc>
        <w:tc>
          <w:tcPr>
            <w:tcW w:w="0" w:type="auto"/>
            <w:tcBorders>
              <w:top w:val="single" w:sz="4" w:space="0" w:color="auto"/>
              <w:left w:val="single" w:sz="4" w:space="0" w:color="auto"/>
              <w:bottom w:val="single" w:sz="4" w:space="0" w:color="auto"/>
              <w:right w:val="single" w:sz="4" w:space="0" w:color="auto"/>
            </w:tcBorders>
            <w:hideMark/>
          </w:tcPr>
          <w:p w14:paraId="364C0595" w14:textId="77777777" w:rsidR="00A07553" w:rsidRDefault="00A07553" w:rsidP="00D20B6B">
            <w:pPr>
              <w:pStyle w:val="TAC"/>
            </w:pPr>
            <w:r>
              <w:t>5.12 x N1 (8 x N1)</w:t>
            </w:r>
          </w:p>
        </w:tc>
      </w:tr>
      <w:tr w:rsidR="00A07553" w14:paraId="1FCF83BD" w14:textId="77777777" w:rsidTr="00D20B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985252" w14:textId="77777777" w:rsidR="00A07553" w:rsidRDefault="00A07553" w:rsidP="00D20B6B">
            <w:pPr>
              <w:pStyle w:val="TAC"/>
            </w:pPr>
            <w:r>
              <w:t>1.28</w:t>
            </w:r>
          </w:p>
        </w:tc>
        <w:tc>
          <w:tcPr>
            <w:tcW w:w="0" w:type="auto"/>
            <w:tcBorders>
              <w:top w:val="nil"/>
              <w:left w:val="single" w:sz="4" w:space="0" w:color="auto"/>
              <w:bottom w:val="nil"/>
              <w:right w:val="single" w:sz="4" w:space="0" w:color="auto"/>
            </w:tcBorders>
            <w:vAlign w:val="center"/>
            <w:hideMark/>
          </w:tcPr>
          <w:p w14:paraId="309AE397" w14:textId="77777777" w:rsidR="00A07553" w:rsidRDefault="00A07553" w:rsidP="00D20B6B"/>
        </w:tc>
        <w:tc>
          <w:tcPr>
            <w:tcW w:w="854" w:type="dxa"/>
            <w:tcBorders>
              <w:top w:val="single" w:sz="4" w:space="0" w:color="auto"/>
              <w:left w:val="single" w:sz="4" w:space="0" w:color="auto"/>
              <w:bottom w:val="single" w:sz="4" w:space="0" w:color="auto"/>
              <w:right w:val="single" w:sz="4" w:space="0" w:color="auto"/>
            </w:tcBorders>
            <w:hideMark/>
          </w:tcPr>
          <w:p w14:paraId="4119DC7D" w14:textId="77777777" w:rsidR="00A07553" w:rsidRPr="009F0510" w:rsidRDefault="00A07553" w:rsidP="00D20B6B">
            <w:pPr>
              <w:pStyle w:val="TAC"/>
              <w:rPr>
                <w:rFonts w:eastAsiaTheme="minorHAnsi" w:cstheme="minorBidi"/>
                <w:szCs w:val="22"/>
                <w:highlight w:val="yellow"/>
                <w:lang w:eastAsia="en-US"/>
              </w:rPr>
            </w:pPr>
            <w:r w:rsidRPr="009F0510">
              <w:rPr>
                <w:highlight w:val="yellow"/>
              </w:rPr>
              <w:t>4</w:t>
            </w:r>
          </w:p>
        </w:tc>
        <w:tc>
          <w:tcPr>
            <w:tcW w:w="833" w:type="dxa"/>
            <w:tcBorders>
              <w:top w:val="single" w:sz="4" w:space="0" w:color="auto"/>
              <w:left w:val="single" w:sz="4" w:space="0" w:color="auto"/>
              <w:bottom w:val="single" w:sz="4" w:space="0" w:color="auto"/>
              <w:right w:val="single" w:sz="4" w:space="0" w:color="auto"/>
            </w:tcBorders>
            <w:hideMark/>
          </w:tcPr>
          <w:p w14:paraId="182C8FF0" w14:textId="77777777" w:rsidR="00A07553" w:rsidRDefault="00A07553" w:rsidP="00D20B6B">
            <w:pPr>
              <w:pStyle w:val="TAC"/>
              <w:rPr>
                <w:szCs w:val="18"/>
              </w:rPr>
            </w:pPr>
            <w:r>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09AAC94" w14:textId="77777777" w:rsidR="00A07553" w:rsidRDefault="00A07553" w:rsidP="00D20B6B">
            <w:pPr>
              <w:pStyle w:val="TAC"/>
              <w:rPr>
                <w:szCs w:val="22"/>
              </w:rPr>
            </w:pPr>
            <w:r>
              <w:t>32 x N1 (25 x N1)</w:t>
            </w:r>
          </w:p>
        </w:tc>
        <w:tc>
          <w:tcPr>
            <w:tcW w:w="0" w:type="auto"/>
            <w:tcBorders>
              <w:top w:val="single" w:sz="4" w:space="0" w:color="auto"/>
              <w:left w:val="single" w:sz="4" w:space="0" w:color="auto"/>
              <w:bottom w:val="single" w:sz="4" w:space="0" w:color="auto"/>
              <w:right w:val="single" w:sz="4" w:space="0" w:color="auto"/>
            </w:tcBorders>
            <w:hideMark/>
          </w:tcPr>
          <w:p w14:paraId="48DB5AB2" w14:textId="77777777" w:rsidR="00A07553" w:rsidRDefault="00A07553" w:rsidP="00D20B6B">
            <w:pPr>
              <w:pStyle w:val="TAC"/>
            </w:pPr>
            <w:r>
              <w:t>1.28 x N1 (1 x N1)</w:t>
            </w:r>
          </w:p>
        </w:tc>
        <w:tc>
          <w:tcPr>
            <w:tcW w:w="0" w:type="auto"/>
            <w:tcBorders>
              <w:top w:val="single" w:sz="4" w:space="0" w:color="auto"/>
              <w:left w:val="single" w:sz="4" w:space="0" w:color="auto"/>
              <w:bottom w:val="single" w:sz="4" w:space="0" w:color="auto"/>
              <w:right w:val="single" w:sz="4" w:space="0" w:color="auto"/>
            </w:tcBorders>
            <w:hideMark/>
          </w:tcPr>
          <w:p w14:paraId="22332998" w14:textId="77777777" w:rsidR="00A07553" w:rsidRDefault="00A07553" w:rsidP="00D20B6B">
            <w:pPr>
              <w:pStyle w:val="TAC"/>
            </w:pPr>
            <w:r>
              <w:t>6.4 x N1 (5 x N1)</w:t>
            </w:r>
          </w:p>
        </w:tc>
      </w:tr>
      <w:tr w:rsidR="00A07553" w14:paraId="759C1916" w14:textId="77777777" w:rsidTr="00D20B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FDA321" w14:textId="77777777" w:rsidR="00A07553" w:rsidRDefault="00A07553" w:rsidP="00D20B6B">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7B680F0A" w14:textId="77777777" w:rsidR="00A07553" w:rsidRDefault="00A07553" w:rsidP="00D20B6B"/>
        </w:tc>
        <w:tc>
          <w:tcPr>
            <w:tcW w:w="854" w:type="dxa"/>
            <w:tcBorders>
              <w:top w:val="single" w:sz="4" w:space="0" w:color="auto"/>
              <w:left w:val="single" w:sz="4" w:space="0" w:color="auto"/>
              <w:bottom w:val="single" w:sz="4" w:space="0" w:color="auto"/>
              <w:right w:val="single" w:sz="4" w:space="0" w:color="auto"/>
            </w:tcBorders>
            <w:hideMark/>
          </w:tcPr>
          <w:p w14:paraId="6215DBC1" w14:textId="77777777" w:rsidR="00A07553" w:rsidRPr="009F0510" w:rsidRDefault="00A07553" w:rsidP="00D20B6B">
            <w:pPr>
              <w:pStyle w:val="TAC"/>
              <w:rPr>
                <w:rFonts w:eastAsiaTheme="minorHAnsi" w:cs="Arial"/>
                <w:szCs w:val="22"/>
                <w:highlight w:val="yellow"/>
                <w:lang w:eastAsia="zh-CN"/>
              </w:rPr>
            </w:pPr>
            <w:r w:rsidRPr="009F0510">
              <w:rPr>
                <w:rFonts w:cs="Arial"/>
                <w:highlight w:val="yellow"/>
                <w:lang w:eastAsia="zh-CN"/>
              </w:rPr>
              <w:t>3</w:t>
            </w:r>
          </w:p>
        </w:tc>
        <w:tc>
          <w:tcPr>
            <w:tcW w:w="833" w:type="dxa"/>
            <w:tcBorders>
              <w:top w:val="single" w:sz="4" w:space="0" w:color="auto"/>
              <w:left w:val="single" w:sz="4" w:space="0" w:color="auto"/>
              <w:bottom w:val="single" w:sz="4" w:space="0" w:color="auto"/>
              <w:right w:val="single" w:sz="4" w:space="0" w:color="auto"/>
            </w:tcBorders>
            <w:hideMark/>
          </w:tcPr>
          <w:p w14:paraId="7B9C7551" w14:textId="77777777" w:rsidR="00A07553" w:rsidRDefault="00A07553" w:rsidP="00D20B6B">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C4DAE72" w14:textId="77777777" w:rsidR="00A07553" w:rsidRDefault="00A07553" w:rsidP="00D20B6B">
            <w:pPr>
              <w:pStyle w:val="TAC"/>
              <w:rPr>
                <w:rFonts w:cstheme="minorBidi"/>
                <w:szCs w:val="22"/>
                <w:lang w:eastAsia="en-US"/>
              </w:rPr>
            </w:pPr>
            <w:r>
              <w:rPr>
                <w:rFonts w:cs="Arial"/>
                <w:lang w:eastAsia="zh-CN"/>
              </w:rPr>
              <w:t>58.88</w:t>
            </w:r>
            <w: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0B2A155F" w14:textId="77777777" w:rsidR="00A07553" w:rsidRDefault="00A07553" w:rsidP="00D20B6B">
            <w:pPr>
              <w:pStyle w:val="TAC"/>
            </w:pPr>
            <w:r>
              <w:t>2.56 x N1 (1 x N1)</w:t>
            </w:r>
          </w:p>
        </w:tc>
        <w:tc>
          <w:tcPr>
            <w:tcW w:w="0" w:type="auto"/>
            <w:tcBorders>
              <w:top w:val="single" w:sz="4" w:space="0" w:color="auto"/>
              <w:left w:val="single" w:sz="4" w:space="0" w:color="auto"/>
              <w:bottom w:val="single" w:sz="4" w:space="0" w:color="auto"/>
              <w:right w:val="single" w:sz="4" w:space="0" w:color="auto"/>
            </w:tcBorders>
            <w:hideMark/>
          </w:tcPr>
          <w:p w14:paraId="68829BB3" w14:textId="77777777" w:rsidR="00A07553" w:rsidRDefault="00A07553" w:rsidP="00D20B6B">
            <w:pPr>
              <w:pStyle w:val="TAC"/>
            </w:pPr>
            <w:r>
              <w:t>7.68 x N1 (3 x N1)</w:t>
            </w:r>
          </w:p>
        </w:tc>
      </w:tr>
      <w:tr w:rsidR="00A07553" w14:paraId="3ACB665A" w14:textId="77777777" w:rsidTr="00D20B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07B52E3" w14:textId="77777777" w:rsidR="00A07553" w:rsidRDefault="00A07553" w:rsidP="00D20B6B">
            <w:pPr>
              <w:pStyle w:val="TAN"/>
            </w:pPr>
            <w:r>
              <w:rPr>
                <w:snapToGrid w:val="0"/>
                <w:lang w:eastAsia="zh-CN"/>
              </w:rPr>
              <w:t>Note 1</w:t>
            </w:r>
            <w:r>
              <w:t>:</w:t>
            </w:r>
            <w:r>
              <w:tab/>
            </w:r>
            <w:r w:rsidRPr="009F0510">
              <w:rPr>
                <w:highlight w:val="cyan"/>
              </w:rPr>
              <w:t xml:space="preserve">Applies for UE supporting FR2-1 power class </w:t>
            </w:r>
            <w:r w:rsidRPr="009F0510">
              <w:rPr>
                <w:highlight w:val="cyan"/>
                <w:lang w:eastAsia="zh-CN"/>
              </w:rPr>
              <w:t>2&amp;3&amp;4</w:t>
            </w:r>
            <w:r w:rsidRPr="009F0510">
              <w:rPr>
                <w:highlight w:val="cyan"/>
              </w:rPr>
              <w:t>. For UE supporting FR2-1 power class 1</w:t>
            </w:r>
            <w:r w:rsidRPr="009F0510">
              <w:rPr>
                <w:highlight w:val="cyan"/>
                <w:lang w:eastAsia="zh-CN"/>
              </w:rPr>
              <w:t xml:space="preserve"> or 5</w:t>
            </w:r>
            <w:r w:rsidRPr="009F0510">
              <w:rPr>
                <w:highlight w:val="cyan"/>
              </w:rPr>
              <w:t>, N1 = 8 for all DRX cycle length.</w:t>
            </w:r>
          </w:p>
          <w:p w14:paraId="1627858A" w14:textId="77777777" w:rsidR="00A07553" w:rsidRDefault="00A07553" w:rsidP="00D20B6B">
            <w:pPr>
              <w:pStyle w:val="TAN"/>
              <w:rPr>
                <w:snapToGrid w:val="0"/>
                <w:lang w:eastAsia="zh-CN"/>
              </w:rPr>
            </w:pPr>
            <w:r>
              <w:rPr>
                <w:lang w:eastAsia="zh-CN"/>
              </w:rPr>
              <w:t>Note 2:</w:t>
            </w:r>
            <w:r>
              <w:rPr>
                <w:lang w:eastAsia="zh-CN"/>
              </w:rPr>
              <w:tab/>
              <w:t>Applies for UE supporting FR2-2 power class 2&amp;3. For UE supporting FR2-2 power class 1, N1 = 12 for all DRX cycle length.</w:t>
            </w:r>
          </w:p>
          <w:p w14:paraId="053AC605" w14:textId="77777777" w:rsidR="00A07553" w:rsidRDefault="00A07553" w:rsidP="00D20B6B">
            <w:pPr>
              <w:pStyle w:val="TAN"/>
              <w:rPr>
                <w:lang w:eastAsia="en-US"/>
              </w:rPr>
            </w:pPr>
            <w:r>
              <w:rPr>
                <w:snapToGrid w:val="0"/>
                <w:lang w:eastAsia="zh-CN"/>
              </w:rPr>
              <w:t>Note 3:</w:t>
            </w:r>
            <w: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tc>
      </w:tr>
    </w:tbl>
    <w:p w14:paraId="28225331" w14:textId="77777777" w:rsidR="00A07553" w:rsidRDefault="00A07553" w:rsidP="00A07553"/>
    <w:p w14:paraId="47DE3B58" w14:textId="77777777" w:rsidR="00A07553" w:rsidRDefault="00A07553" w:rsidP="00A07553">
      <w:r>
        <w:lastRenderedPageBreak/>
        <w:t>The table indicates that the time to detect may be enlarged to accommodate measurements across multiple beams at the UE side. A similar procedure can be adopted in FR2-NTN, for UEs with phased array. But there are differences to be considered:</w:t>
      </w:r>
    </w:p>
    <w:p w14:paraId="33976FD1" w14:textId="73125C12" w:rsidR="00A07553" w:rsidRDefault="00A07553" w:rsidP="00A07553">
      <w:pPr>
        <w:pStyle w:val="ListParagraph"/>
        <w:numPr>
          <w:ilvl w:val="0"/>
          <w:numId w:val="31"/>
        </w:numPr>
      </w:pPr>
      <w:r>
        <w:t>UE is expected to have information on the ephemeris of neighbor satellites</w:t>
      </w:r>
      <w:r w:rsidR="0012611D">
        <w:t>.</w:t>
      </w:r>
      <w:r>
        <w:t xml:space="preserve"> </w:t>
      </w:r>
    </w:p>
    <w:p w14:paraId="53A97E64" w14:textId="77777777" w:rsidR="00A07553" w:rsidRDefault="00A07553" w:rsidP="00A07553">
      <w:pPr>
        <w:pStyle w:val="ListParagraph"/>
        <w:numPr>
          <w:ilvl w:val="0"/>
          <w:numId w:val="31"/>
        </w:numPr>
      </w:pPr>
      <w:r>
        <w:t>The time to detect (evaluate and measure) is already expanded in LTE to accommodate to measurements across multiple satellites due to doppler re-tunning.</w:t>
      </w:r>
    </w:p>
    <w:p w14:paraId="28629786" w14:textId="77777777" w:rsidR="00A07553" w:rsidRDefault="00A07553" w:rsidP="00A07553">
      <w:r>
        <w:t>Therefore, for operation in FR2-NTN, we support a scaling factor for measurements across different beams, but in a smaller degree than the one applied for FR2.</w:t>
      </w:r>
    </w:p>
    <w:p w14:paraId="695BB74F" w14:textId="77777777" w:rsidR="00A07553" w:rsidRDefault="00A07553" w:rsidP="00A07553">
      <w:pPr>
        <w:pStyle w:val="RAN4proposal"/>
      </w:pPr>
      <w:bookmarkStart w:id="36" w:name="_Toc135062935"/>
      <w:bookmarkStart w:id="37" w:name="_Toc142668045"/>
      <w:r>
        <w:t>For phased-array VSATs, use a scaling factor for cell reselection requirements (</w:t>
      </w:r>
      <w:proofErr w:type="spellStart"/>
      <w:r>
        <w:t>Tdetect</w:t>
      </w:r>
      <w:proofErr w:type="spellEnd"/>
      <w:r>
        <w:t xml:space="preserve">, </w:t>
      </w:r>
      <w:proofErr w:type="spellStart"/>
      <w:r>
        <w:t>Tevaluate</w:t>
      </w:r>
      <w:proofErr w:type="spellEnd"/>
      <w:r>
        <w:t xml:space="preserve">, T measure) for measurements across different beams, favoring scaling factor values smaller than the ones adopted for FR2 in terrestrial </w:t>
      </w:r>
      <w:proofErr w:type="gramStart"/>
      <w:r>
        <w:t>deployments</w:t>
      </w:r>
      <w:bookmarkEnd w:id="36"/>
      <w:bookmarkEnd w:id="37"/>
      <w:proofErr w:type="gramEnd"/>
    </w:p>
    <w:p w14:paraId="7E944469" w14:textId="77777777" w:rsidR="00A07553" w:rsidRPr="00EC029B" w:rsidRDefault="00A07553" w:rsidP="00A07553">
      <w:pPr>
        <w:pStyle w:val="RAN4proposal"/>
      </w:pPr>
      <w:bookmarkStart w:id="38" w:name="_Toc135062936"/>
      <w:bookmarkStart w:id="39" w:name="_Toc142668046"/>
      <w:r>
        <w:t>Use scaling factor (N1) 4 for DRX Cycle Length 0.32s and 0.64s and N1=2 for DRX Cycle lengths 1.28 and 2.56.</w:t>
      </w:r>
      <w:bookmarkEnd w:id="38"/>
      <w:bookmarkEnd w:id="39"/>
      <w:r>
        <w:t xml:space="preserve"> </w:t>
      </w:r>
    </w:p>
    <w:p w14:paraId="191173DF" w14:textId="215D2600" w:rsidR="00A07553" w:rsidRDefault="00A07553" w:rsidP="00A07553">
      <w:r>
        <w:t>Another problem regards the deployment of directional VSATs using antennas</w:t>
      </w:r>
      <w:r w:rsidR="00363F7D">
        <w:t xml:space="preserve"> with mechanical switch (instead of the phased array). </w:t>
      </w:r>
      <w:r>
        <w:t>In this case, these UEs might not be capable to retune their satellite tracking direction as fast as a phased array UE. In this case cell reselection requirements might need to be rediscussed for this type of UEs.</w:t>
      </w:r>
    </w:p>
    <w:p w14:paraId="277603C1" w14:textId="77777777" w:rsidR="00386A83" w:rsidRDefault="00386A83" w:rsidP="00386A83">
      <w:r>
        <w:t>This topic was also discussed in the RF session in the previous meeting:</w:t>
      </w:r>
    </w:p>
    <w:tbl>
      <w:tblPr>
        <w:tblStyle w:val="TableGrid"/>
        <w:tblW w:w="0" w:type="auto"/>
        <w:tblLook w:val="04A0" w:firstRow="1" w:lastRow="0" w:firstColumn="1" w:lastColumn="0" w:noHBand="0" w:noVBand="1"/>
      </w:tblPr>
      <w:tblGrid>
        <w:gridCol w:w="9617"/>
      </w:tblGrid>
      <w:tr w:rsidR="00386A83" w14:paraId="3591005F" w14:textId="77777777" w:rsidTr="00386A83">
        <w:tc>
          <w:tcPr>
            <w:tcW w:w="9843" w:type="dxa"/>
          </w:tcPr>
          <w:p w14:paraId="4D2FEF3B" w14:textId="77777777" w:rsidR="00A1585A" w:rsidRDefault="00A1585A" w:rsidP="00A1585A">
            <w:pPr>
              <w:pStyle w:val="ListParagraph"/>
              <w:adjustRightInd w:val="0"/>
              <w:spacing w:after="180"/>
              <w:rPr>
                <w:rFonts w:eastAsiaTheme="minorEastAsia"/>
                <w:b/>
                <w:szCs w:val="20"/>
                <w:highlight w:val="green"/>
              </w:rPr>
            </w:pPr>
            <w:r>
              <w:rPr>
                <w:rFonts w:eastAsiaTheme="minorEastAsia"/>
                <w:b/>
                <w:szCs w:val="20"/>
                <w:highlight w:val="green"/>
              </w:rPr>
              <w:t>Agreement:</w:t>
            </w:r>
          </w:p>
          <w:p w14:paraId="42F975E3" w14:textId="77777777" w:rsidR="00A1585A" w:rsidRDefault="00A1585A" w:rsidP="00A1585A">
            <w:pPr>
              <w:pStyle w:val="ListParagraph"/>
              <w:numPr>
                <w:ilvl w:val="0"/>
                <w:numId w:val="32"/>
              </w:numPr>
              <w:adjustRightInd w:val="0"/>
              <w:spacing w:after="180"/>
              <w:contextualSpacing w:val="0"/>
              <w:rPr>
                <w:rFonts w:eastAsiaTheme="minorEastAsia"/>
                <w:szCs w:val="20"/>
                <w:highlight w:val="green"/>
              </w:rPr>
            </w:pPr>
            <w:r>
              <w:rPr>
                <w:rFonts w:eastAsiaTheme="minorEastAsia"/>
                <w:szCs w:val="20"/>
                <w:highlight w:val="green"/>
              </w:rPr>
              <w:t>At least consider the differentiation between mechanical and electronic steering</w:t>
            </w:r>
          </w:p>
          <w:p w14:paraId="772C5BEE" w14:textId="77777777" w:rsidR="00A1585A" w:rsidRDefault="00A1585A" w:rsidP="00A1585A">
            <w:pPr>
              <w:pStyle w:val="ListParagraph"/>
              <w:numPr>
                <w:ilvl w:val="1"/>
                <w:numId w:val="32"/>
              </w:numPr>
              <w:adjustRightInd w:val="0"/>
              <w:spacing w:after="180"/>
              <w:contextualSpacing w:val="0"/>
              <w:rPr>
                <w:rFonts w:eastAsiaTheme="minorEastAsia"/>
                <w:szCs w:val="20"/>
                <w:highlight w:val="green"/>
              </w:rPr>
            </w:pPr>
            <w:r>
              <w:rPr>
                <w:rFonts w:eastAsiaTheme="minorEastAsia"/>
                <w:szCs w:val="20"/>
                <w:highlight w:val="green"/>
              </w:rPr>
              <w:t xml:space="preserve">FFS on phased array or </w:t>
            </w:r>
            <w:proofErr w:type="gramStart"/>
            <w:r>
              <w:rPr>
                <w:rFonts w:eastAsiaTheme="minorEastAsia"/>
                <w:szCs w:val="20"/>
                <w:highlight w:val="green"/>
              </w:rPr>
              <w:t>parabolic</w:t>
            </w:r>
            <w:proofErr w:type="gramEnd"/>
          </w:p>
          <w:p w14:paraId="7BCFAAD3" w14:textId="77777777" w:rsidR="00A1585A" w:rsidRDefault="00A1585A" w:rsidP="00A1585A">
            <w:pPr>
              <w:pStyle w:val="ListParagraph"/>
              <w:numPr>
                <w:ilvl w:val="1"/>
                <w:numId w:val="32"/>
              </w:numPr>
              <w:adjustRightInd w:val="0"/>
              <w:spacing w:after="180"/>
              <w:contextualSpacing w:val="0"/>
              <w:rPr>
                <w:rFonts w:eastAsiaTheme="minorEastAsia"/>
                <w:szCs w:val="20"/>
                <w:highlight w:val="green"/>
              </w:rPr>
            </w:pPr>
            <w:r>
              <w:rPr>
                <w:rFonts w:eastAsiaTheme="minorEastAsia"/>
                <w:szCs w:val="20"/>
                <w:highlight w:val="green"/>
              </w:rPr>
              <w:t>Encourage satellite companies to provide the data to show the beam switching delay.</w:t>
            </w:r>
          </w:p>
          <w:p w14:paraId="68D95A1C" w14:textId="77777777" w:rsidR="00A1585A" w:rsidRDefault="00A1585A" w:rsidP="00A1585A">
            <w:pPr>
              <w:pStyle w:val="ListParagraph"/>
              <w:numPr>
                <w:ilvl w:val="0"/>
                <w:numId w:val="32"/>
              </w:numPr>
              <w:adjustRightInd w:val="0"/>
              <w:spacing w:after="180"/>
              <w:contextualSpacing w:val="0"/>
              <w:rPr>
                <w:rFonts w:eastAsiaTheme="minorEastAsia"/>
                <w:szCs w:val="20"/>
                <w:highlight w:val="green"/>
              </w:rPr>
            </w:pPr>
            <w:r>
              <w:rPr>
                <w:rFonts w:eastAsiaTheme="minorEastAsia"/>
                <w:szCs w:val="20"/>
                <w:highlight w:val="green"/>
              </w:rPr>
              <w:t xml:space="preserve">As the baseline, assume that UE has the single beam towards one single satellite at a given </w:t>
            </w:r>
            <w:proofErr w:type="gramStart"/>
            <w:r>
              <w:rPr>
                <w:rFonts w:eastAsiaTheme="minorEastAsia"/>
                <w:szCs w:val="20"/>
                <w:highlight w:val="green"/>
              </w:rPr>
              <w:t>time</w:t>
            </w:r>
            <w:proofErr w:type="gramEnd"/>
          </w:p>
          <w:p w14:paraId="4F3EC178" w14:textId="77777777" w:rsidR="00386A83" w:rsidRDefault="00386A83" w:rsidP="00A07553"/>
        </w:tc>
      </w:tr>
    </w:tbl>
    <w:p w14:paraId="26EB840A" w14:textId="2288C1E2" w:rsidR="00363F7D" w:rsidRDefault="00A1585A" w:rsidP="00A07553">
      <w:r>
        <w:t xml:space="preserve"> It is expected that the mechanical steering may take dozens of </w:t>
      </w:r>
      <w:proofErr w:type="spellStart"/>
      <w:r>
        <w:t>ms</w:t>
      </w:r>
      <w:proofErr w:type="spellEnd"/>
      <w:r>
        <w:t xml:space="preserve"> to be completed, and that would </w:t>
      </w:r>
      <w:r w:rsidR="00926253">
        <w:t xml:space="preserve">preclude the measurements to be performed in feasible time for the UE without disruption. </w:t>
      </w:r>
    </w:p>
    <w:p w14:paraId="4D96F213" w14:textId="07CA2668" w:rsidR="00A07553" w:rsidRDefault="009A2477" w:rsidP="00A07553">
      <w:pPr>
        <w:pStyle w:val="RAN4proposal"/>
      </w:pPr>
      <w:bookmarkStart w:id="40" w:name="_Toc142668047"/>
      <w:r>
        <w:t xml:space="preserve">For UEs with mechanical steering, </w:t>
      </w:r>
      <w:r w:rsidR="00B2039E">
        <w:t xml:space="preserve">a new capability </w:t>
      </w:r>
      <w:proofErr w:type="gramStart"/>
      <w:r w:rsidR="00B2039E">
        <w:t>has to</w:t>
      </w:r>
      <w:proofErr w:type="gramEnd"/>
      <w:r w:rsidR="00B2039E">
        <w:t xml:space="preserve"> be created to indicate this UE do not support measurements towards neighbor satellites.</w:t>
      </w:r>
      <w:bookmarkEnd w:id="40"/>
      <w:r w:rsidR="00B2039E">
        <w:t xml:space="preserve"> </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FFAFCDA" w14:textId="77777777" w:rsidR="00A07553" w:rsidRPr="00C77803" w:rsidRDefault="00A07553" w:rsidP="00C77803"/>
    <w:p w14:paraId="265F60A9" w14:textId="77777777" w:rsidR="0060543D" w:rsidRPr="008C39F7" w:rsidRDefault="0060543D" w:rsidP="0060543D"/>
    <w:p w14:paraId="340C02BF" w14:textId="77777777" w:rsidR="0060543D" w:rsidRPr="008C39F7" w:rsidRDefault="0060543D" w:rsidP="0060543D"/>
    <w:p w14:paraId="4BD21A93" w14:textId="77777777" w:rsidR="00CD7492" w:rsidRPr="008C39F7" w:rsidRDefault="00CD7492" w:rsidP="00A37002">
      <w:pPr>
        <w:pStyle w:val="RAN4H1"/>
      </w:pPr>
      <w:bookmarkStart w:id="41" w:name="_Toc116995848"/>
      <w:r w:rsidRPr="008C39F7">
        <w:t>Conclusion</w:t>
      </w:r>
      <w:bookmarkEnd w:id="41"/>
    </w:p>
    <w:p w14:paraId="5652544A" w14:textId="1CC8A4AF" w:rsidR="008B0961" w:rsidRDefault="00F35C29" w:rsidP="005C23A4">
      <w:r>
        <w:t xml:space="preserve">In this paper we discussed the operation in NTN for frequencies above 10 GHz. </w:t>
      </w:r>
      <w:r w:rsidR="00D97D04">
        <w:t>Based on our discussion, the following set of observations and proposals was made:</w:t>
      </w:r>
    </w:p>
    <w:p w14:paraId="6C93FD7B" w14:textId="77777777" w:rsidR="00D5270B" w:rsidRPr="008C39F7" w:rsidRDefault="00D5270B" w:rsidP="00936159">
      <w:pPr>
        <w:rPr>
          <w:highlight w:val="yellow"/>
        </w:rPr>
      </w:pPr>
    </w:p>
    <w:bookmarkStart w:id="42" w:name="_Toc116995849"/>
    <w:p w14:paraId="71102DFF" w14:textId="67AC6513" w:rsidR="00CF0BE2" w:rsidRDefault="00CF0BE2">
      <w:pPr>
        <w:pStyle w:val="TOC1"/>
        <w:rPr>
          <w:rFonts w:asciiTheme="minorHAnsi" w:eastAsiaTheme="minorEastAsia" w:hAnsiTheme="minorHAnsi"/>
          <w:b w:val="0"/>
          <w:iCs w:val="0"/>
          <w:kern w:val="2"/>
          <w:sz w:val="22"/>
          <w:u w:val="none"/>
          <w:lang w:val="en-GB" w:eastAsia="en-GB"/>
          <w14:ligatures w14:val="standardContextual"/>
        </w:rPr>
      </w:pPr>
      <w:r>
        <w:rPr>
          <w:i/>
          <w:iCs w:val="0"/>
        </w:rPr>
        <w:fldChar w:fldCharType="begin"/>
      </w:r>
      <w:r>
        <w:rPr>
          <w:i/>
          <w:iCs w:val="0"/>
        </w:rPr>
        <w:instrText xml:space="preserve"> TOC \n \h \z \t "RAN4 proposal;1;RAN4 observation;1" </w:instrText>
      </w:r>
      <w:r>
        <w:rPr>
          <w:i/>
          <w:iCs w:val="0"/>
        </w:rPr>
        <w:fldChar w:fldCharType="separate"/>
      </w:r>
      <w:hyperlink w:anchor="_Toc142668039" w:history="1">
        <w:r w:rsidRPr="00830246">
          <w:rPr>
            <w:rStyle w:val="Hyperlink"/>
            <w:lang w:val="en-GB"/>
          </w:rPr>
          <w:t>Proposal 1: For the operation in the NTN Ka-bands, if the chosen SCS is 60 or 120 kHz, the transmit timing error limit must be tightened up to 4 Ts for 120 kHz and 8 Ts for 60 kHz.</w:t>
        </w:r>
      </w:hyperlink>
    </w:p>
    <w:p w14:paraId="14C17518" w14:textId="500695B9"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0" w:history="1">
        <w:r w:rsidRPr="00830246">
          <w:rPr>
            <w:rStyle w:val="Hyperlink"/>
          </w:rPr>
          <w:t>Observation 1: It has not been agreed that fixed VSATs and VSATs on mobile platforms are different types of UEs.</w:t>
        </w:r>
      </w:hyperlink>
    </w:p>
    <w:p w14:paraId="5CB5CB18" w14:textId="5D762340"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1" w:history="1">
        <w:r w:rsidRPr="00830246">
          <w:rPr>
            <w:rStyle w:val="Hyperlink"/>
          </w:rPr>
          <w:t>Observation 2: The strategy of adopting different requirements based on UE types do not solve the problem that there will be UEs causing harmful interference at the gNB reception.</w:t>
        </w:r>
      </w:hyperlink>
    </w:p>
    <w:p w14:paraId="453D4C75" w14:textId="0002B019"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2" w:history="1">
        <w:r w:rsidRPr="00830246">
          <w:rPr>
            <w:rStyle w:val="Hyperlink"/>
          </w:rPr>
          <w:t>Proposal 2: Do not adopt different UL transmit timing requirements based on UE types.</w:t>
        </w:r>
      </w:hyperlink>
    </w:p>
    <w:p w14:paraId="5BAAFE31" w14:textId="2DD7A7DA"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3" w:history="1">
        <w:r w:rsidRPr="00830246">
          <w:rPr>
            <w:rStyle w:val="Hyperlink"/>
          </w:rPr>
          <w:t>Proposal 3: Do not adopt different UL transmit timing requirements based on satellite types</w:t>
        </w:r>
      </w:hyperlink>
    </w:p>
    <w:p w14:paraId="49E687E6" w14:textId="05263536"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4" w:history="1">
        <w:r w:rsidRPr="00830246">
          <w:rPr>
            <w:rStyle w:val="Hyperlink"/>
          </w:rPr>
          <w:t>Proposal 4: If further relaxation is adopted for PRACH formats, limit the transmit timing inaccuracy, T</w:t>
        </w:r>
        <w:r w:rsidRPr="00830246">
          <w:rPr>
            <w:rStyle w:val="Hyperlink"/>
            <w:vertAlign w:val="subscript"/>
          </w:rPr>
          <w:t>e_NTN</w:t>
        </w:r>
        <w:r w:rsidRPr="00830246">
          <w:rPr>
            <w:rStyle w:val="Hyperlink"/>
          </w:rPr>
          <w:t xml:space="preserve"> , to 12 Ts in total.</w:t>
        </w:r>
      </w:hyperlink>
    </w:p>
    <w:p w14:paraId="2BF86430" w14:textId="50CCFE51"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5" w:history="1">
        <w:r w:rsidRPr="00830246">
          <w:rPr>
            <w:rStyle w:val="Hyperlink"/>
          </w:rPr>
          <w:t>Proposal 5: For phased-array VSATs, use a scaling factor for cell reselection requirements (Tdetect, Tevaluate, T measure) for measurements across different beams, favoring scaling factor values smaller than the ones adopted for FR2 in terrestrial deployments</w:t>
        </w:r>
      </w:hyperlink>
    </w:p>
    <w:p w14:paraId="732852E9" w14:textId="7266428E"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6" w:history="1">
        <w:r w:rsidRPr="00830246">
          <w:rPr>
            <w:rStyle w:val="Hyperlink"/>
          </w:rPr>
          <w:t>Proposal 6: Use scaling factor (N1) 4 for DRX Cycle Length 0.32s and 0.64s and N1=2 for DRX Cycle lengths 1.28 and 2.56.</w:t>
        </w:r>
      </w:hyperlink>
    </w:p>
    <w:p w14:paraId="6D01ADCD" w14:textId="19F66DAF"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7" w:history="1">
        <w:r w:rsidRPr="00830246">
          <w:rPr>
            <w:rStyle w:val="Hyperlink"/>
          </w:rPr>
          <w:t>Proposal 7: For UEs with mechanical steering, a new capability has to be created to indicate this UE do not support measurements towards neighbor satellites.</w:t>
        </w:r>
      </w:hyperlink>
    </w:p>
    <w:p w14:paraId="747586BC" w14:textId="66497061" w:rsidR="00CF0BE2" w:rsidRDefault="00CF0BE2">
      <w:pPr>
        <w:pStyle w:val="TOC1"/>
        <w:rPr>
          <w:rFonts w:asciiTheme="minorHAnsi" w:eastAsiaTheme="minorEastAsia" w:hAnsiTheme="minorHAnsi"/>
          <w:b w:val="0"/>
          <w:iCs w:val="0"/>
          <w:kern w:val="2"/>
          <w:sz w:val="22"/>
          <w:u w:val="none"/>
          <w:lang w:val="en-GB" w:eastAsia="en-GB"/>
          <w14:ligatures w14:val="standardContextual"/>
        </w:rPr>
      </w:pPr>
      <w:hyperlink w:anchor="_Toc142668048" w:history="1">
        <w:r w:rsidRPr="00830246">
          <w:rPr>
            <w:rStyle w:val="Hyperlink"/>
          </w:rPr>
          <w:t>Observation 3: In Rel-17, the inclusion of relaxed timing requirements due to GNSS and satellite position inaccuracies led to the exclusion of the 60 kHz of the FR1 operation since it would consume most of the delay budget.</w:t>
        </w:r>
      </w:hyperlink>
    </w:p>
    <w:p w14:paraId="7BECF8AD" w14:textId="5BBEBE7A" w:rsidR="00847264" w:rsidRPr="008C39F7" w:rsidRDefault="00CF0BE2" w:rsidP="008C39F7">
      <w:r>
        <w:rPr>
          <w:i/>
          <w:iCs/>
          <w:u w:val="single"/>
        </w:rPr>
        <w:fldChar w:fldCharType="end"/>
      </w:r>
    </w:p>
    <w:p w14:paraId="4D0D074C" w14:textId="77777777" w:rsidR="003B659E" w:rsidRPr="008C39F7" w:rsidRDefault="003B659E" w:rsidP="0060543D">
      <w:pPr>
        <w:pStyle w:val="RAN4H1"/>
        <w:numPr>
          <w:ilvl w:val="0"/>
          <w:numId w:val="0"/>
        </w:numPr>
        <w:ind w:left="360" w:hanging="360"/>
      </w:pPr>
      <w:r w:rsidRPr="008C39F7">
        <w:t>References</w:t>
      </w:r>
      <w:bookmarkEnd w:id="42"/>
    </w:p>
    <w:p w14:paraId="1A066D8E"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43" w:name="_Ref114500673"/>
      <w:bookmarkStart w:id="44" w:name="_Ref54013899"/>
      <w:bookmarkEnd w:id="43"/>
      <w:r w:rsidRPr="00FD51CE">
        <w:t>RP-223534</w:t>
      </w:r>
      <w:r w:rsidRPr="00FF6B64">
        <w:t xml:space="preserve">, </w:t>
      </w:r>
      <w:bookmarkEnd w:id="44"/>
      <w:r w:rsidRPr="001D7FDE">
        <w:t>NR NTN (Non-Terrestrial Networks) enhancements</w:t>
      </w:r>
      <w:r>
        <w:t>, Thales</w:t>
      </w:r>
    </w:p>
    <w:p w14:paraId="7265A91C" w14:textId="36510943"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45" w:name="_Ref141279246"/>
      <w:r w:rsidRPr="00C07B05">
        <w:t>R4-2310168</w:t>
      </w:r>
      <w:r>
        <w:t xml:space="preserve">, </w:t>
      </w:r>
      <w:r w:rsidRPr="00C07B05">
        <w:rPr>
          <w:i/>
          <w:iCs/>
        </w:rPr>
        <w:t>WF on NR NTN enhancements RRM requirements</w:t>
      </w:r>
      <w:r>
        <w:t>, Qualcomm Incorporated, 3GPP WG RAN4 #107, Incheon</w:t>
      </w:r>
      <w:bookmarkEnd w:id="45"/>
      <w:r>
        <w:t xml:space="preserve"> </w:t>
      </w:r>
    </w:p>
    <w:p w14:paraId="03A58FDF"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46" w:name="_Ref134708583"/>
      <w:r w:rsidRPr="00D71116">
        <w:t>R4-2302998</w:t>
      </w:r>
      <w:r w:rsidRPr="00FF6B64">
        <w:t xml:space="preserve">, </w:t>
      </w:r>
      <w:r w:rsidRPr="00D71116">
        <w:rPr>
          <w:i/>
          <w:iCs/>
        </w:rPr>
        <w:t>WF for system parameters of above 10 GHz NTN band</w:t>
      </w:r>
      <w:r>
        <w:t>, Thales (Moderator)</w:t>
      </w:r>
      <w:bookmarkEnd w:id="46"/>
    </w:p>
    <w:p w14:paraId="6CD32755" w14:textId="730C1B9A" w:rsidR="00C07B05" w:rsidRDefault="001C0296" w:rsidP="001C0296">
      <w:pPr>
        <w:numPr>
          <w:ilvl w:val="0"/>
          <w:numId w:val="21"/>
        </w:numPr>
        <w:overflowPunct w:val="0"/>
        <w:autoSpaceDE w:val="0"/>
        <w:autoSpaceDN w:val="0"/>
        <w:adjustRightInd w:val="0"/>
        <w:spacing w:after="0" w:line="240" w:lineRule="auto"/>
        <w:jc w:val="both"/>
        <w:textAlignment w:val="baseline"/>
      </w:pPr>
      <w:bookmarkStart w:id="47" w:name="_Ref141279468"/>
      <w:r w:rsidRPr="008863ED">
        <w:t>R4-2306169</w:t>
      </w:r>
      <w:r>
        <w:t xml:space="preserve">, </w:t>
      </w:r>
      <w:r w:rsidR="00C07B05" w:rsidRPr="00C07B05">
        <w:rPr>
          <w:i/>
          <w:iCs/>
        </w:rPr>
        <w:t>WF on NR NTN enhancements RRM requirements</w:t>
      </w:r>
      <w:r w:rsidR="00C07B05">
        <w:t>, Qualcomm Incorporated, 3GPP WG RAN4#106-bis, electronic meeting</w:t>
      </w:r>
      <w:bookmarkEnd w:id="47"/>
    </w:p>
    <w:p w14:paraId="2A52F90B" w14:textId="77777777" w:rsidR="00025C10" w:rsidRPr="00025C10" w:rsidRDefault="00025C10" w:rsidP="001C0296">
      <w:pPr>
        <w:numPr>
          <w:ilvl w:val="0"/>
          <w:numId w:val="21"/>
        </w:numPr>
        <w:overflowPunct w:val="0"/>
        <w:autoSpaceDE w:val="0"/>
        <w:autoSpaceDN w:val="0"/>
        <w:adjustRightInd w:val="0"/>
        <w:spacing w:after="0" w:line="240" w:lineRule="auto"/>
        <w:jc w:val="both"/>
        <w:textAlignment w:val="baseline"/>
      </w:pPr>
      <w:bookmarkStart w:id="48" w:name="_Ref141279810"/>
      <w:r w:rsidRPr="00025C10">
        <w:t>R4-2308361</w:t>
      </w:r>
      <w:r w:rsidRPr="00025C10">
        <w:rPr>
          <w:i/>
          <w:iCs/>
        </w:rPr>
        <w:t>,</w:t>
      </w:r>
      <w:r w:rsidRPr="00025C10">
        <w:t xml:space="preserve"> “</w:t>
      </w:r>
      <w:r w:rsidRPr="00025C10">
        <w:rPr>
          <w:i/>
          <w:iCs/>
        </w:rPr>
        <w:t xml:space="preserve">Discussion on NTN operation on frequencies above 10 GHz”, </w:t>
      </w:r>
      <w:r w:rsidRPr="00025C10">
        <w:t>Nokia, Nokia Shanghai Bell,</w:t>
      </w:r>
      <w:r w:rsidRPr="00025C10">
        <w:rPr>
          <w:i/>
          <w:iCs/>
        </w:rPr>
        <w:t xml:space="preserve"> </w:t>
      </w:r>
      <w:r w:rsidRPr="00025C10">
        <w:t>RAN4 #107, Incheon</w:t>
      </w:r>
      <w:bookmarkEnd w:id="48"/>
      <w:r w:rsidRPr="00025C10">
        <w:t xml:space="preserve"> </w:t>
      </w:r>
    </w:p>
    <w:p w14:paraId="018D02BB" w14:textId="4D9C8F8B" w:rsidR="001C0296" w:rsidRDefault="00025C10" w:rsidP="001C0296">
      <w:pPr>
        <w:numPr>
          <w:ilvl w:val="0"/>
          <w:numId w:val="21"/>
        </w:numPr>
        <w:overflowPunct w:val="0"/>
        <w:autoSpaceDE w:val="0"/>
        <w:autoSpaceDN w:val="0"/>
        <w:adjustRightInd w:val="0"/>
        <w:spacing w:after="0" w:line="240" w:lineRule="auto"/>
        <w:jc w:val="both"/>
        <w:textAlignment w:val="baseline"/>
      </w:pPr>
      <w:r w:rsidRPr="00025C10">
        <w:t xml:space="preserve"> </w:t>
      </w:r>
      <w:bookmarkStart w:id="49" w:name="_Ref141279811"/>
      <w:r w:rsidRPr="00025C10">
        <w:t>R4-2304501</w:t>
      </w:r>
      <w:r>
        <w:t xml:space="preserve">, </w:t>
      </w:r>
      <w:r w:rsidR="001C0296" w:rsidRPr="00025C10">
        <w:rPr>
          <w:i/>
          <w:iCs/>
        </w:rPr>
        <w:t>Discussion on applicability of SCS for NTN above 10 GHz</w:t>
      </w:r>
      <w:r w:rsidR="001C0296" w:rsidRPr="00025C10">
        <w:t>, Nokia, Nokia Shanghai Bell, RAN4 #106-bis, electronic meeting</w:t>
      </w:r>
      <w:bookmarkEnd w:id="49"/>
    </w:p>
    <w:p w14:paraId="28ACA9D6" w14:textId="2BEE781D" w:rsidR="003C37D6" w:rsidRDefault="007725CB" w:rsidP="003C37D6">
      <w:pPr>
        <w:numPr>
          <w:ilvl w:val="0"/>
          <w:numId w:val="21"/>
        </w:numPr>
        <w:overflowPunct w:val="0"/>
        <w:autoSpaceDE w:val="0"/>
        <w:autoSpaceDN w:val="0"/>
        <w:adjustRightInd w:val="0"/>
        <w:spacing w:after="0" w:line="240" w:lineRule="auto"/>
        <w:jc w:val="both"/>
        <w:textAlignment w:val="baseline"/>
      </w:pPr>
      <w:r w:rsidRPr="007725CB">
        <w:t>R4-2310483</w:t>
      </w:r>
      <w:r>
        <w:t xml:space="preserve">, </w:t>
      </w:r>
      <w:r w:rsidR="0030455F">
        <w:t>“</w:t>
      </w:r>
      <w:r w:rsidR="003C37D6" w:rsidRPr="0030455F">
        <w:rPr>
          <w:i/>
          <w:iCs/>
        </w:rPr>
        <w:t>WF on UE RF requirements for NR NTN enhancement</w:t>
      </w:r>
      <w:r w:rsidR="0030455F">
        <w:rPr>
          <w:i/>
          <w:iCs/>
        </w:rPr>
        <w:t>”</w:t>
      </w:r>
      <w:r w:rsidR="003C37D6">
        <w:t xml:space="preserve">, Thales, 3GPP WG RAN4 #107, Incheon </w:t>
      </w:r>
    </w:p>
    <w:p w14:paraId="58B002A8" w14:textId="5F485857" w:rsidR="00320144" w:rsidRPr="00025C10" w:rsidRDefault="00320144" w:rsidP="001C0296">
      <w:pPr>
        <w:numPr>
          <w:ilvl w:val="0"/>
          <w:numId w:val="21"/>
        </w:numPr>
        <w:overflowPunct w:val="0"/>
        <w:autoSpaceDE w:val="0"/>
        <w:autoSpaceDN w:val="0"/>
        <w:adjustRightInd w:val="0"/>
        <w:spacing w:after="0" w:line="240" w:lineRule="auto"/>
        <w:jc w:val="both"/>
        <w:textAlignment w:val="baseline"/>
      </w:pPr>
      <w:bookmarkStart w:id="50" w:name="_Ref141701505"/>
      <w:r>
        <w:t xml:space="preserve">RP-230878, </w:t>
      </w:r>
      <w:r w:rsidRPr="006C0328">
        <w:rPr>
          <w:i/>
          <w:iCs/>
        </w:rPr>
        <w:t xml:space="preserve">“Motivation to revise the Rel-18 WID </w:t>
      </w:r>
      <w:proofErr w:type="spellStart"/>
      <w:r w:rsidRPr="006C0328">
        <w:rPr>
          <w:i/>
          <w:iCs/>
        </w:rPr>
        <w:t>NR_NTN_enh</w:t>
      </w:r>
      <w:proofErr w:type="spellEnd"/>
      <w:r w:rsidRPr="006C0328">
        <w:rPr>
          <w:i/>
          <w:iCs/>
        </w:rPr>
        <w:t>”,</w:t>
      </w:r>
      <w:r>
        <w:t xml:space="preserve"> Thales, R</w:t>
      </w:r>
      <w:r w:rsidR="006C0328">
        <w:t>AN #99.</w:t>
      </w:r>
      <w:bookmarkEnd w:id="50"/>
      <w:r w:rsidR="006C0328">
        <w:t xml:space="preserve"> </w:t>
      </w:r>
    </w:p>
    <w:p w14:paraId="19AE7390" w14:textId="77777777" w:rsidR="001C0296" w:rsidRPr="00A167FE" w:rsidRDefault="001C0296" w:rsidP="001C0296">
      <w:pPr>
        <w:pStyle w:val="ListParagraph"/>
        <w:numPr>
          <w:ilvl w:val="0"/>
          <w:numId w:val="21"/>
        </w:numPr>
        <w:overflowPunct w:val="0"/>
        <w:autoSpaceDE w:val="0"/>
        <w:autoSpaceDN w:val="0"/>
        <w:adjustRightInd w:val="0"/>
        <w:spacing w:after="0" w:line="240" w:lineRule="auto"/>
        <w:ind w:right="-22"/>
        <w:jc w:val="both"/>
        <w:textAlignment w:val="baseline"/>
      </w:pPr>
      <w:bookmarkStart w:id="51" w:name="_Ref118130196"/>
      <w:r>
        <w:rPr>
          <w:rFonts w:cs="Arial"/>
          <w:sz w:val="18"/>
          <w:szCs w:val="18"/>
        </w:rPr>
        <w:t xml:space="preserve">TS 38.133, </w:t>
      </w:r>
      <w:r>
        <w:rPr>
          <w:rFonts w:cs="Arial"/>
          <w:i/>
          <w:iCs/>
          <w:sz w:val="18"/>
          <w:szCs w:val="18"/>
        </w:rPr>
        <w:t>NR; Requirements for support of radio resource management</w:t>
      </w:r>
      <w:r>
        <w:rPr>
          <w:rFonts w:cs="Arial"/>
          <w:sz w:val="18"/>
          <w:szCs w:val="18"/>
        </w:rPr>
        <w:t>, V17.7.0, 3GPP</w:t>
      </w:r>
      <w:bookmarkEnd w:id="51"/>
    </w:p>
    <w:p w14:paraId="5494148F"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52" w:name="_Ref130303734"/>
      <w:r>
        <w:t xml:space="preserve">TS 38.211, </w:t>
      </w:r>
      <w:r w:rsidRPr="00AD4F5C">
        <w:rPr>
          <w:rFonts w:ascii="Arial" w:hAnsi="Arial" w:cs="Arial"/>
          <w:i/>
          <w:iCs/>
          <w:color w:val="000000"/>
          <w:sz w:val="18"/>
          <w:szCs w:val="18"/>
        </w:rPr>
        <w:t>NR; Physical channels and modulation</w:t>
      </w:r>
      <w:r>
        <w:rPr>
          <w:rFonts w:ascii="Arial" w:hAnsi="Arial" w:cs="Arial"/>
          <w:color w:val="000000"/>
          <w:sz w:val="18"/>
          <w:szCs w:val="18"/>
        </w:rPr>
        <w:t>, V17.4.0, 3GPP</w:t>
      </w:r>
      <w:bookmarkEnd w:id="52"/>
    </w:p>
    <w:p w14:paraId="4FE58E99"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53" w:name="_Ref130303848"/>
      <w:r>
        <w:t xml:space="preserve">TR 38.821, </w:t>
      </w:r>
      <w:r w:rsidRPr="00757ABB">
        <w:rPr>
          <w:rFonts w:ascii="Arial" w:hAnsi="Arial" w:cs="Arial"/>
          <w:i/>
          <w:iCs/>
          <w:color w:val="000000"/>
          <w:sz w:val="18"/>
          <w:szCs w:val="18"/>
        </w:rPr>
        <w:t>Solutions for NR to support Non-Terrestrial Networks (NTN)</w:t>
      </w:r>
      <w:r>
        <w:rPr>
          <w:rFonts w:ascii="Arial" w:hAnsi="Arial" w:cs="Arial"/>
          <w:color w:val="000000"/>
          <w:sz w:val="18"/>
          <w:szCs w:val="18"/>
        </w:rPr>
        <w:t xml:space="preserve">, V16.1.0, </w:t>
      </w:r>
      <w:proofErr w:type="gramStart"/>
      <w:r>
        <w:rPr>
          <w:rFonts w:ascii="Arial" w:hAnsi="Arial" w:cs="Arial"/>
          <w:color w:val="000000"/>
          <w:sz w:val="18"/>
          <w:szCs w:val="18"/>
        </w:rPr>
        <w:t>3GPP</w:t>
      </w:r>
      <w:bookmarkEnd w:id="53"/>
      <w:proofErr w:type="gramEnd"/>
    </w:p>
    <w:p w14:paraId="349C613E" w14:textId="77777777" w:rsidR="001C0296" w:rsidRDefault="001C0296" w:rsidP="001C0296">
      <w:pPr>
        <w:pStyle w:val="ListParagraph"/>
        <w:numPr>
          <w:ilvl w:val="0"/>
          <w:numId w:val="21"/>
        </w:numPr>
        <w:spacing w:after="0" w:line="256" w:lineRule="auto"/>
        <w:ind w:right="-22"/>
      </w:pPr>
      <w:bookmarkStart w:id="54" w:name="_Ref130303923"/>
      <w:r>
        <w:t xml:space="preserve">TS 38.181, </w:t>
      </w:r>
      <w:r w:rsidRPr="00C94B14">
        <w:rPr>
          <w:rFonts w:ascii="Arial" w:hAnsi="Arial" w:cs="Arial"/>
          <w:i/>
          <w:iCs/>
          <w:color w:val="000000"/>
          <w:sz w:val="18"/>
          <w:szCs w:val="18"/>
        </w:rPr>
        <w:t>NR; Satellite Access Node conformance testing</w:t>
      </w:r>
      <w:r>
        <w:rPr>
          <w:rFonts w:ascii="Arial" w:hAnsi="Arial" w:cs="Arial"/>
          <w:i/>
          <w:iCs/>
          <w:color w:val="000000"/>
          <w:sz w:val="18"/>
          <w:szCs w:val="18"/>
        </w:rPr>
        <w:t>, V17.3.0</w:t>
      </w:r>
      <w:r>
        <w:rPr>
          <w:rFonts w:ascii="Arial" w:hAnsi="Arial" w:cs="Arial"/>
          <w:color w:val="000000"/>
          <w:sz w:val="18"/>
          <w:szCs w:val="18"/>
        </w:rPr>
        <w:t>, 3GPP</w:t>
      </w:r>
      <w:bookmarkEnd w:id="54"/>
    </w:p>
    <w:p w14:paraId="6E4B634F" w14:textId="77777777" w:rsidR="001C0296" w:rsidRDefault="001C0296" w:rsidP="001C0296">
      <w:pPr>
        <w:pStyle w:val="ListParagraph"/>
        <w:numPr>
          <w:ilvl w:val="0"/>
          <w:numId w:val="21"/>
        </w:numPr>
        <w:spacing w:after="0" w:line="256" w:lineRule="auto"/>
        <w:ind w:right="-22"/>
      </w:pPr>
      <w:bookmarkStart w:id="55" w:name="_Ref130304090"/>
      <w:r>
        <w:t xml:space="preserve">TS 38.141-1, </w:t>
      </w:r>
      <w:r w:rsidRPr="00492F7C">
        <w:rPr>
          <w:rFonts w:ascii="Arial" w:hAnsi="Arial" w:cs="Arial"/>
          <w:i/>
          <w:iCs/>
          <w:color w:val="000000"/>
          <w:sz w:val="18"/>
          <w:szCs w:val="18"/>
        </w:rPr>
        <w:t>NR; Base Station (BS) conformance testing Part 1: Conducted conformance testing</w:t>
      </w:r>
      <w:r>
        <w:rPr>
          <w:rFonts w:ascii="Arial" w:hAnsi="Arial" w:cs="Arial"/>
          <w:i/>
          <w:iCs/>
          <w:color w:val="000000"/>
          <w:sz w:val="18"/>
          <w:szCs w:val="18"/>
        </w:rPr>
        <w:t>, V17.3.0</w:t>
      </w:r>
      <w:r>
        <w:rPr>
          <w:rFonts w:ascii="Arial" w:hAnsi="Arial" w:cs="Arial"/>
          <w:color w:val="000000"/>
          <w:sz w:val="18"/>
          <w:szCs w:val="18"/>
        </w:rPr>
        <w:t>, 3GPP</w:t>
      </w:r>
      <w:bookmarkEnd w:id="55"/>
    </w:p>
    <w:p w14:paraId="5D2DBB18" w14:textId="77777777" w:rsidR="001C0296" w:rsidRPr="006F72FE" w:rsidRDefault="001C0296" w:rsidP="001C0296">
      <w:pPr>
        <w:pStyle w:val="ListParagraph"/>
        <w:numPr>
          <w:ilvl w:val="0"/>
          <w:numId w:val="21"/>
        </w:numPr>
        <w:spacing w:after="0" w:line="256" w:lineRule="auto"/>
        <w:ind w:right="-22"/>
      </w:pPr>
      <w:bookmarkStart w:id="56" w:name="_Ref130304091"/>
      <w:r>
        <w:t xml:space="preserve">TS 38.141-2, </w:t>
      </w:r>
      <w:r w:rsidRPr="00492F7C">
        <w:rPr>
          <w:rFonts w:ascii="Arial" w:hAnsi="Arial" w:cs="Arial"/>
          <w:i/>
          <w:iCs/>
          <w:color w:val="000000"/>
          <w:sz w:val="18"/>
          <w:szCs w:val="18"/>
        </w:rPr>
        <w:t xml:space="preserve">NR; Base Station (BS) conformance testing Part </w:t>
      </w:r>
      <w:r>
        <w:rPr>
          <w:rFonts w:ascii="Arial" w:hAnsi="Arial" w:cs="Arial"/>
          <w:i/>
          <w:iCs/>
          <w:color w:val="000000"/>
          <w:sz w:val="18"/>
          <w:szCs w:val="18"/>
        </w:rPr>
        <w:t>2</w:t>
      </w:r>
      <w:r w:rsidRPr="00492F7C">
        <w:rPr>
          <w:rFonts w:ascii="Arial" w:hAnsi="Arial" w:cs="Arial"/>
          <w:i/>
          <w:iCs/>
          <w:color w:val="000000"/>
          <w:sz w:val="18"/>
          <w:szCs w:val="18"/>
        </w:rPr>
        <w:t xml:space="preserve">: </w:t>
      </w:r>
      <w:r>
        <w:rPr>
          <w:rFonts w:ascii="Arial" w:hAnsi="Arial" w:cs="Arial"/>
          <w:i/>
          <w:iCs/>
          <w:color w:val="000000"/>
          <w:sz w:val="18"/>
          <w:szCs w:val="18"/>
        </w:rPr>
        <w:t>Radiated</w:t>
      </w:r>
      <w:r w:rsidRPr="00492F7C">
        <w:rPr>
          <w:rFonts w:ascii="Arial" w:hAnsi="Arial" w:cs="Arial"/>
          <w:i/>
          <w:iCs/>
          <w:color w:val="000000"/>
          <w:sz w:val="18"/>
          <w:szCs w:val="18"/>
        </w:rPr>
        <w:t xml:space="preserve"> conformance testing</w:t>
      </w:r>
      <w:r>
        <w:rPr>
          <w:rFonts w:ascii="Arial" w:hAnsi="Arial" w:cs="Arial"/>
          <w:i/>
          <w:iCs/>
          <w:color w:val="000000"/>
          <w:sz w:val="18"/>
          <w:szCs w:val="18"/>
        </w:rPr>
        <w:t>, V17.3.0</w:t>
      </w:r>
      <w:r>
        <w:rPr>
          <w:rFonts w:ascii="Arial" w:hAnsi="Arial" w:cs="Arial"/>
          <w:color w:val="000000"/>
          <w:sz w:val="18"/>
          <w:szCs w:val="18"/>
        </w:rPr>
        <w:t>, 3GPP</w:t>
      </w:r>
      <w:bookmarkEnd w:id="56"/>
    </w:p>
    <w:p w14:paraId="63BE65AB" w14:textId="72D96BB8" w:rsidR="000040DC" w:rsidRDefault="000040DC" w:rsidP="001934BB">
      <w:pPr>
        <w:ind w:right="-22"/>
      </w:pPr>
    </w:p>
    <w:p w14:paraId="5C3E8A85" w14:textId="77777777" w:rsidR="001934BB" w:rsidRDefault="001934BB" w:rsidP="001934BB">
      <w:pPr>
        <w:ind w:right="-22"/>
      </w:pPr>
    </w:p>
    <w:p w14:paraId="64B01ACB" w14:textId="77777777" w:rsidR="001934BB" w:rsidRDefault="001934BB" w:rsidP="001934BB">
      <w:pPr>
        <w:ind w:right="-22"/>
      </w:pPr>
    </w:p>
    <w:p w14:paraId="795AADD2" w14:textId="7512EDA8" w:rsidR="001934BB" w:rsidRDefault="001934BB" w:rsidP="001934BB">
      <w:pPr>
        <w:pStyle w:val="RAN4H1"/>
      </w:pPr>
      <w:r>
        <w:t>Annex – Discussion on the timing accuracy requirements for UL transmission</w:t>
      </w:r>
    </w:p>
    <w:p w14:paraId="3A963125" w14:textId="77777777" w:rsidR="001934BB" w:rsidRDefault="001934BB" w:rsidP="001934BB">
      <w:pPr>
        <w:pStyle w:val="RAN4Observation"/>
        <w:numPr>
          <w:ilvl w:val="0"/>
          <w:numId w:val="0"/>
        </w:numPr>
      </w:pPr>
      <w:r>
        <w:t>At the SAN side, the uncertainty of the UE transmission timing depends on several factors such as:</w:t>
      </w:r>
    </w:p>
    <w:p w14:paraId="2EE83055" w14:textId="77777777" w:rsidR="001934BB" w:rsidRDefault="001934BB" w:rsidP="001934BB">
      <w:pPr>
        <w:pStyle w:val="ListParagraph"/>
        <w:numPr>
          <w:ilvl w:val="0"/>
          <w:numId w:val="29"/>
        </w:numPr>
        <w:rPr>
          <w:lang w:val="en-GB"/>
        </w:rPr>
      </w:pPr>
      <w:r>
        <w:rPr>
          <w:lang w:val="en-GB"/>
        </w:rPr>
        <w:t xml:space="preserve">Transmit timing </w:t>
      </w:r>
      <w:proofErr w:type="gramStart"/>
      <w:r>
        <w:rPr>
          <w:lang w:val="en-GB"/>
        </w:rPr>
        <w:t>error</w:t>
      </w:r>
      <w:proofErr w:type="gramEnd"/>
    </w:p>
    <w:p w14:paraId="1C930931" w14:textId="77777777" w:rsidR="001934BB" w:rsidRDefault="001934BB" w:rsidP="001934BB">
      <w:pPr>
        <w:pStyle w:val="ListParagraph"/>
        <w:numPr>
          <w:ilvl w:val="0"/>
          <w:numId w:val="29"/>
        </w:numPr>
        <w:rPr>
          <w:lang w:val="en-GB"/>
        </w:rPr>
      </w:pPr>
      <w:r>
        <w:rPr>
          <w:lang w:val="en-GB"/>
        </w:rPr>
        <w:t xml:space="preserve">The maximum </w:t>
      </w:r>
      <w:proofErr w:type="gramStart"/>
      <w:r>
        <w:rPr>
          <w:lang w:val="en-GB"/>
        </w:rPr>
        <w:t>transmit</w:t>
      </w:r>
      <w:proofErr w:type="gramEnd"/>
      <w:r>
        <w:rPr>
          <w:lang w:val="en-GB"/>
        </w:rPr>
        <w:t xml:space="preserve"> timing </w:t>
      </w:r>
      <w:r w:rsidRPr="00FC53A4">
        <w:rPr>
          <w:u w:val="single"/>
          <w:lang w:val="en-GB"/>
        </w:rPr>
        <w:t>adjustment</w:t>
      </w:r>
      <w:r>
        <w:rPr>
          <w:lang w:val="en-GB"/>
        </w:rPr>
        <w:t xml:space="preserve"> error</w:t>
      </w:r>
    </w:p>
    <w:p w14:paraId="4FD46E3F" w14:textId="77777777" w:rsidR="001934BB" w:rsidRDefault="001934BB" w:rsidP="001934BB">
      <w:pPr>
        <w:pStyle w:val="ListParagraph"/>
        <w:numPr>
          <w:ilvl w:val="0"/>
          <w:numId w:val="29"/>
        </w:numPr>
        <w:rPr>
          <w:lang w:val="en-GB"/>
        </w:rPr>
      </w:pPr>
      <w:r>
        <w:rPr>
          <w:lang w:val="en-GB"/>
        </w:rPr>
        <w:t xml:space="preserve">The quantization error within the timing advance command. </w:t>
      </w:r>
    </w:p>
    <w:p w14:paraId="239651BD" w14:textId="77777777" w:rsidR="001934BB" w:rsidRDefault="001934BB" w:rsidP="001934BB">
      <w:pPr>
        <w:pStyle w:val="ListParagraph"/>
        <w:numPr>
          <w:ilvl w:val="0"/>
          <w:numId w:val="29"/>
        </w:numPr>
        <w:rPr>
          <w:lang w:val="en-GB"/>
        </w:rPr>
      </w:pPr>
      <w:r>
        <w:rPr>
          <w:lang w:val="en-GB"/>
        </w:rPr>
        <w:t>Time dispersion of the channel</w:t>
      </w:r>
    </w:p>
    <w:p w14:paraId="58CA73E2" w14:textId="77777777" w:rsidR="001934BB" w:rsidRPr="00483ECB" w:rsidRDefault="001934BB" w:rsidP="001934BB">
      <w:pPr>
        <w:pStyle w:val="ListParagraph"/>
        <w:numPr>
          <w:ilvl w:val="0"/>
          <w:numId w:val="29"/>
        </w:numPr>
        <w:rPr>
          <w:lang w:val="en-GB"/>
        </w:rPr>
      </w:pPr>
      <w:r>
        <w:rPr>
          <w:lang w:val="en-GB"/>
        </w:rPr>
        <w:t>Numerical errors on the calculation of the ephemeris and common delay parameters</w:t>
      </w:r>
    </w:p>
    <w:p w14:paraId="69CC9617" w14:textId="77777777" w:rsidR="001934BB" w:rsidRDefault="001934BB" w:rsidP="001934BB">
      <w:pPr>
        <w:rPr>
          <w:lang w:val="en-GB"/>
        </w:rPr>
      </w:pPr>
    </w:p>
    <w:p w14:paraId="68A6ED42" w14:textId="77777777" w:rsidR="001934BB" w:rsidRPr="00FF374C" w:rsidRDefault="001934BB" w:rsidP="001934BB">
      <w:pPr>
        <w:rPr>
          <w:lang w:val="en-GB"/>
        </w:rPr>
      </w:pPr>
      <w:r>
        <w:rPr>
          <w:lang w:val="en-GB"/>
        </w:rPr>
        <w:lastRenderedPageBreak/>
        <w:t xml:space="preserve">The uncertainty of the UE transmission must be absorbed by the cyclic prefix. The CP duration,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Pr>
          <w:rFonts w:eastAsiaTheme="minorEastAsia"/>
        </w:rPr>
        <w:t xml:space="preserve">, </w:t>
      </w:r>
      <w:r>
        <w:rPr>
          <w:lang w:val="en-GB"/>
        </w:rPr>
        <w:t xml:space="preserve">for the normal CP operation, as defined in </w:t>
      </w:r>
      <w:r>
        <w:rPr>
          <w:highlight w:val="yellow"/>
          <w:lang w:val="en-GB"/>
        </w:rPr>
        <w:fldChar w:fldCharType="begin"/>
      </w:r>
      <w:r>
        <w:rPr>
          <w:lang w:val="en-GB"/>
        </w:rPr>
        <w:instrText xml:space="preserve"> REF _Ref130303734 \r \h </w:instrText>
      </w:r>
      <w:r>
        <w:rPr>
          <w:highlight w:val="yellow"/>
          <w:lang w:val="en-GB"/>
        </w:rPr>
      </w:r>
      <w:r>
        <w:rPr>
          <w:highlight w:val="yellow"/>
          <w:lang w:val="en-GB"/>
        </w:rPr>
        <w:fldChar w:fldCharType="separate"/>
      </w:r>
      <w:r>
        <w:rPr>
          <w:lang w:val="en-GB"/>
        </w:rPr>
        <w:t>[4]</w:t>
      </w:r>
      <w:r>
        <w:rPr>
          <w:highlight w:val="yellow"/>
          <w:lang w:val="en-GB"/>
        </w:rPr>
        <w:fldChar w:fldCharType="end"/>
      </w:r>
      <w:r>
        <w:rPr>
          <w:lang w:val="en-GB"/>
        </w:rPr>
        <w:t xml:space="preserve"> depends on the SCS: </w:t>
      </w:r>
    </w:p>
    <w:p w14:paraId="66E8F54F" w14:textId="77777777" w:rsidR="001934BB" w:rsidRPr="005252A5" w:rsidRDefault="002F6077" w:rsidP="001934BB">
      <w:pPr>
        <w:pStyle w:val="RAN4Observation"/>
        <w:numPr>
          <w:ilvl w:val="0"/>
          <w:numId w:val="0"/>
        </w:num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d>
            <m:dPr>
              <m:ctrlPr>
                <w:rPr>
                  <w:rFonts w:ascii="Cambria Math" w:hAnsi="Cambria Math"/>
                  <w:i/>
                </w:rPr>
              </m:ctrlPr>
            </m:dPr>
            <m:e>
              <m:r>
                <w:rPr>
                  <w:rFonts w:ascii="Cambria Math" w:hAnsi="Cambria Math"/>
                </w:rPr>
                <m:t>144</m:t>
              </m:r>
              <m:r>
                <w:rPr>
                  <w:rFonts w:ascii="Cambria Math" w:hAnsi="Cambria Math"/>
                </w:rPr>
                <m:t>κ</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t>
                  </m:r>
                  <m:r>
                    <w:rPr>
                      <w:rFonts w:ascii="Cambria Math" w:hAnsi="Cambria Math"/>
                    </w:rPr>
                    <m:t>μ</m:t>
                  </m:r>
                </m:sup>
              </m:sSup>
            </m:e>
          </m:d>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1217CCF7" w14:textId="77777777" w:rsidR="001934BB" w:rsidRDefault="001934BB" w:rsidP="001934BB">
      <w:pPr>
        <w:rPr>
          <w:lang w:val="en-GB"/>
        </w:rPr>
      </w:pPr>
    </w:p>
    <w:p w14:paraId="361EDD79" w14:textId="77777777" w:rsidR="001934BB" w:rsidRDefault="001934BB" w:rsidP="001934BB">
      <w:pPr>
        <w:rPr>
          <w:rFonts w:eastAsiaTheme="minorEastAsia"/>
          <w:lang w:val="en-GB"/>
        </w:rPr>
      </w:pPr>
      <w:r>
        <w:rPr>
          <w:lang w:val="en-GB"/>
        </w:rPr>
        <w:t xml:space="preserve">In Rel-17, for NTN deployments, the transmit timing error limit was relaxed to introduce up to 80 meters of inaccuracy. As the timing advance corresponds to the double of the propagation delay, the relaxation considered the time for the signal to travel 160 meters. So, considering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oMath>
      <w:r>
        <w:rPr>
          <w:rFonts w:eastAsiaTheme="minorEastAsia"/>
          <w:lang w:val="en-GB"/>
        </w:rPr>
        <w:t xml:space="preserve"> as the relaxation time</w:t>
      </w:r>
    </w:p>
    <w:p w14:paraId="59233835" w14:textId="77777777" w:rsidR="001934BB" w:rsidRDefault="002F6077" w:rsidP="001934BB">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160</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 xml:space="preserve">≈(16.4 </m:t>
          </m:r>
          <m:r>
            <w:rPr>
              <w:rFonts w:ascii="Cambria Math" w:hAnsi="Cambria Math"/>
              <w:lang w:val="en-GB"/>
            </w:rPr>
            <m:t>κ</m:t>
          </m:r>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oMath>
      </m:oMathPara>
    </w:p>
    <w:p w14:paraId="37302D82" w14:textId="77777777" w:rsidR="001934BB" w:rsidRDefault="001934BB" w:rsidP="001934BB">
      <w:pPr>
        <w:spacing w:before="240"/>
        <w:rPr>
          <w:rFonts w:eastAsiaTheme="minorEastAsia"/>
          <w:lang w:val="en-GB"/>
        </w:rPr>
      </w:pPr>
      <w:r>
        <w:rPr>
          <w:lang w:val="en-GB"/>
        </w:rPr>
        <w:t xml:space="preserve">For simplifying the analysis, we will consider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=16κ</m:t>
        </m:r>
      </m:oMath>
      <w:r>
        <w:rPr>
          <w:rFonts w:eastAsiaTheme="minorEastAsia"/>
          <w:lang w:val="en-GB"/>
        </w:rPr>
        <w:t xml:space="preserve">. Assuming the transmit timing error limit, </w:t>
      </w:r>
      <w:proofErr w:type="spellStart"/>
      <w:r>
        <w:rPr>
          <w:rFonts w:eastAsiaTheme="minorEastAsia"/>
          <w:lang w:val="en-GB"/>
        </w:rPr>
        <w:t>T</w:t>
      </w:r>
      <w:r w:rsidRPr="00AD0128">
        <w:rPr>
          <w:rFonts w:eastAsiaTheme="minorEastAsia"/>
          <w:vertAlign w:val="subscript"/>
          <w:lang w:val="en-GB"/>
        </w:rPr>
        <w:t>e_NTN</w:t>
      </w:r>
      <w:proofErr w:type="spellEnd"/>
      <w:r w:rsidRPr="00AD0128">
        <w:rPr>
          <w:rFonts w:eastAsiaTheme="minorEastAsia"/>
          <w:vertAlign w:val="subscript"/>
          <w:lang w:val="en-GB"/>
        </w:rPr>
        <w:t xml:space="preserve"> </w:t>
      </w:r>
      <w:r>
        <w:rPr>
          <w:rFonts w:eastAsiaTheme="minorEastAsia"/>
          <w:lang w:val="en-GB"/>
        </w:rPr>
        <w:t>= T</w:t>
      </w:r>
      <w:r w:rsidRPr="00AD0128">
        <w:rPr>
          <w:rFonts w:eastAsiaTheme="minorEastAsia"/>
          <w:vertAlign w:val="subscript"/>
          <w:lang w:val="en-GB"/>
        </w:rPr>
        <w:t>e</w:t>
      </w:r>
      <w:r>
        <w:rPr>
          <w:rFonts w:eastAsiaTheme="minorEastAsia"/>
          <w:lang w:val="en-GB"/>
        </w:rPr>
        <w:t xml:space="preserve"> + </w:t>
      </w:r>
      <w:proofErr w:type="spellStart"/>
      <w:r>
        <w:rPr>
          <w:rFonts w:eastAsiaTheme="minorEastAsia"/>
          <w:lang w:val="en-GB"/>
        </w:rPr>
        <w:t>T</w:t>
      </w:r>
      <w:r w:rsidRPr="00AD0128">
        <w:rPr>
          <w:rFonts w:eastAsiaTheme="minorEastAsia"/>
          <w:vertAlign w:val="subscript"/>
          <w:lang w:val="en-GB"/>
        </w:rPr>
        <w:t>rela</w:t>
      </w:r>
      <w:r>
        <w:rPr>
          <w:rFonts w:eastAsiaTheme="minorEastAsia"/>
          <w:vertAlign w:val="subscript"/>
          <w:lang w:val="en-GB"/>
        </w:rPr>
        <w:t>x</w:t>
      </w:r>
      <w:proofErr w:type="spellEnd"/>
      <w:r>
        <w:rPr>
          <w:rFonts w:eastAsiaTheme="minorEastAsia"/>
          <w:vertAlign w:val="subscript"/>
          <w:lang w:val="en-GB"/>
        </w:rPr>
        <w:t xml:space="preserve">, </w:t>
      </w:r>
      <w:r>
        <w:rPr>
          <w:rFonts w:eastAsiaTheme="minorEastAsia"/>
          <w:lang w:val="en-GB"/>
        </w:rPr>
        <w:t>is the absolute timing error, the receiving system must be prepared to receive one UE with transmit timing error equal to +</w:t>
      </w:r>
      <w:proofErr w:type="spellStart"/>
      <w:r>
        <w:rPr>
          <w:rFonts w:eastAsiaTheme="minorEastAsia"/>
          <w:lang w:val="en-GB"/>
        </w:rPr>
        <w:t>T</w:t>
      </w:r>
      <w:r w:rsidRPr="00826AE0">
        <w:rPr>
          <w:rFonts w:eastAsiaTheme="minorEastAsia"/>
          <w:vertAlign w:val="subscript"/>
          <w:lang w:val="en-GB"/>
        </w:rPr>
        <w:t>e_NTN</w:t>
      </w:r>
      <w:proofErr w:type="spellEnd"/>
      <w:r>
        <w:rPr>
          <w:rFonts w:eastAsiaTheme="minorEastAsia"/>
          <w:lang w:val="en-GB"/>
        </w:rPr>
        <w:t xml:space="preserve"> and another UE with transmit timing error equal to –</w:t>
      </w:r>
      <w:proofErr w:type="spellStart"/>
      <w:r>
        <w:rPr>
          <w:rFonts w:eastAsiaTheme="minorEastAsia"/>
          <w:lang w:val="en-GB"/>
        </w:rPr>
        <w:t>T</w:t>
      </w:r>
      <w:r w:rsidRPr="00826AE0">
        <w:rPr>
          <w:rFonts w:eastAsiaTheme="minorEastAsia"/>
          <w:vertAlign w:val="subscript"/>
          <w:lang w:val="en-GB"/>
        </w:rPr>
        <w:t>e_NTN</w:t>
      </w:r>
      <w:proofErr w:type="spellEnd"/>
      <w:r w:rsidRPr="00826AE0">
        <w:rPr>
          <w:rFonts w:eastAsiaTheme="minorEastAsia"/>
          <w:lang w:val="en-GB"/>
        </w:rPr>
        <w:t>.</w:t>
      </w:r>
      <w:r>
        <w:rPr>
          <w:rFonts w:eastAsiaTheme="minorEastAsia"/>
          <w:vertAlign w:val="subscript"/>
          <w:lang w:val="en-GB"/>
        </w:rPr>
        <w:t xml:space="preserve"> </w:t>
      </w:r>
      <w:r>
        <w:rPr>
          <w:rFonts w:eastAsiaTheme="minorEastAsia"/>
          <w:lang w:val="en-GB"/>
        </w:rPr>
        <w:t xml:space="preserve">In other words, the delay budget reserved to absorb the impact of UE transmit timing inaccuracy is twice as large as </w:t>
      </w:r>
      <w:proofErr w:type="spellStart"/>
      <w:r>
        <w:rPr>
          <w:rFonts w:eastAsiaTheme="minorEastAsia"/>
          <w:lang w:val="en-GB"/>
        </w:rPr>
        <w:t>T</w:t>
      </w:r>
      <w:r w:rsidRPr="00AD0128">
        <w:rPr>
          <w:rFonts w:eastAsiaTheme="minorEastAsia"/>
          <w:vertAlign w:val="subscript"/>
          <w:lang w:val="en-GB"/>
        </w:rPr>
        <w:t>e_NTN</w:t>
      </w:r>
      <w:proofErr w:type="spellEnd"/>
      <w:r w:rsidRPr="00826AE0">
        <w:rPr>
          <w:rFonts w:eastAsiaTheme="minorEastAsia"/>
          <w:lang w:val="en-GB"/>
        </w:rPr>
        <w:t>.</w:t>
      </w:r>
      <w:r>
        <w:rPr>
          <w:rFonts w:eastAsiaTheme="minorEastAsia"/>
          <w:lang w:val="en-GB"/>
        </w:rPr>
        <w:t xml:space="preserve"> This alone would make it impossible for the implementation of the GNSS relaxation for these SCS, as showed in </w:t>
      </w:r>
      <w:r>
        <w:rPr>
          <w:rFonts w:eastAsiaTheme="minorEastAsia"/>
          <w:lang w:val="en-GB"/>
        </w:rPr>
        <w:fldChar w:fldCharType="begin"/>
      </w:r>
      <w:r>
        <w:rPr>
          <w:rFonts w:eastAsiaTheme="minorEastAsia"/>
          <w:lang w:val="en-GB"/>
        </w:rPr>
        <w:instrText xml:space="preserve"> REF _Ref129959122 \h </w:instrText>
      </w:r>
      <w:r>
        <w:rPr>
          <w:rFonts w:eastAsiaTheme="minorEastAsia"/>
          <w:lang w:val="en-GB"/>
        </w:rPr>
      </w:r>
      <w:r>
        <w:rPr>
          <w:rFonts w:eastAsiaTheme="minorEastAsia"/>
          <w:lang w:val="en-GB"/>
        </w:rPr>
        <w:fldChar w:fldCharType="separate"/>
      </w:r>
      <w:r>
        <w:t xml:space="preserve">Table </w:t>
      </w:r>
      <w:r>
        <w:rPr>
          <w:noProof/>
        </w:rPr>
        <w:t>1</w:t>
      </w:r>
      <w:r>
        <w:rPr>
          <w:rFonts w:eastAsiaTheme="minorEastAsia"/>
          <w:lang w:val="en-GB"/>
        </w:rPr>
        <w:fldChar w:fldCharType="end"/>
      </w:r>
      <w:r>
        <w:rPr>
          <w:rFonts w:eastAsiaTheme="minorEastAsia"/>
          <w:lang w:val="en-GB"/>
        </w:rPr>
        <w:t>.</w:t>
      </w:r>
    </w:p>
    <w:p w14:paraId="4E4EAF6A" w14:textId="77777777" w:rsidR="001934BB" w:rsidRDefault="001934BB" w:rsidP="001934BB">
      <w:pPr>
        <w:pStyle w:val="Caption"/>
        <w:keepNext/>
      </w:pPr>
      <w:bookmarkStart w:id="57" w:name="_Ref129959122"/>
      <w:r>
        <w:t xml:space="preserve">Table </w:t>
      </w:r>
      <w:r w:rsidR="002F6077">
        <w:fldChar w:fldCharType="begin"/>
      </w:r>
      <w:r w:rsidR="002F6077">
        <w:instrText xml:space="preserve"> SEQ Table \* ARABIC </w:instrText>
      </w:r>
      <w:r w:rsidR="002F6077">
        <w:fldChar w:fldCharType="separate"/>
      </w:r>
      <w:r>
        <w:rPr>
          <w:noProof/>
        </w:rPr>
        <w:t>1</w:t>
      </w:r>
      <w:r w:rsidR="002F6077">
        <w:rPr>
          <w:noProof/>
        </w:rPr>
        <w:fldChar w:fldCharType="end"/>
      </w:r>
      <w:bookmarkEnd w:id="57"/>
      <w:r>
        <w:t xml:space="preserve">. Impact on the delay budget of the relaxation of transmit timing error </w:t>
      </w:r>
      <w:proofErr w:type="gramStart"/>
      <w:r>
        <w:t>requirement</w:t>
      </w:r>
      <w:proofErr w:type="gramEnd"/>
    </w:p>
    <w:tbl>
      <w:tblPr>
        <w:tblStyle w:val="Style1"/>
        <w:tblW w:w="0" w:type="auto"/>
        <w:tblLook w:val="04A0" w:firstRow="1" w:lastRow="0" w:firstColumn="1" w:lastColumn="0" w:noHBand="0" w:noVBand="1"/>
      </w:tblPr>
      <w:tblGrid>
        <w:gridCol w:w="1475"/>
        <w:gridCol w:w="1781"/>
        <w:gridCol w:w="992"/>
        <w:gridCol w:w="142"/>
        <w:gridCol w:w="1701"/>
        <w:gridCol w:w="1134"/>
        <w:gridCol w:w="2392"/>
      </w:tblGrid>
      <w:tr w:rsidR="001934BB" w:rsidRPr="00483ECB" w14:paraId="16B5DC6B" w14:textId="77777777" w:rsidTr="00912BD7">
        <w:trPr>
          <w:cnfStyle w:val="100000000000" w:firstRow="1" w:lastRow="0" w:firstColumn="0" w:lastColumn="0" w:oddVBand="0" w:evenVBand="0" w:oddHBand="0" w:evenHBand="0" w:firstRowFirstColumn="0" w:firstRowLastColumn="0" w:lastRowFirstColumn="0" w:lastRowLastColumn="0"/>
        </w:trPr>
        <w:tc>
          <w:tcPr>
            <w:tcW w:w="1475" w:type="dxa"/>
          </w:tcPr>
          <w:p w14:paraId="3BAC5185" w14:textId="77777777" w:rsidR="001934BB" w:rsidRDefault="001934BB" w:rsidP="00912BD7">
            <w:pPr>
              <w:rPr>
                <w:lang w:val="en-GB"/>
              </w:rPr>
            </w:pPr>
            <w:r>
              <w:t>SCS of SSB signals (kHz)</w:t>
            </w:r>
          </w:p>
        </w:tc>
        <w:tc>
          <w:tcPr>
            <w:tcW w:w="1781" w:type="dxa"/>
          </w:tcPr>
          <w:p w14:paraId="5CC03741" w14:textId="77777777" w:rsidR="001934BB" w:rsidRDefault="001934BB" w:rsidP="00912BD7">
            <w:pPr>
              <w:rPr>
                <w:lang w:val="en-GB"/>
              </w:rPr>
            </w:pPr>
            <w:r>
              <w:t>SCS of uplink signals (kHz)</w:t>
            </w:r>
          </w:p>
        </w:tc>
        <w:tc>
          <w:tcPr>
            <w:tcW w:w="1134" w:type="dxa"/>
            <w:gridSpan w:val="2"/>
          </w:tcPr>
          <w:p w14:paraId="55148D95" w14:textId="77777777" w:rsidR="001934BB" w:rsidRPr="007303B4" w:rsidRDefault="002F6077" w:rsidP="00912BD7">
            <w:pPr>
              <w:rPr>
                <w:lang w:val="en-GB"/>
              </w:rPr>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oMath>
            <w:r w:rsidR="001934BB">
              <w:rPr>
                <w:lang w:val="en-GB"/>
              </w:rPr>
              <w:t xml:space="preserve"> [T</w:t>
            </w:r>
            <w:r w:rsidR="001934BB" w:rsidRPr="0014528A">
              <w:rPr>
                <w:vertAlign w:val="subscript"/>
                <w:lang w:val="en-GB"/>
              </w:rPr>
              <w:t>s</w:t>
            </w:r>
            <w:r w:rsidR="001934BB">
              <w:rPr>
                <w:lang w:val="en-GB"/>
              </w:rPr>
              <w:t>]</w:t>
            </w:r>
          </w:p>
        </w:tc>
        <w:tc>
          <w:tcPr>
            <w:tcW w:w="1701" w:type="dxa"/>
          </w:tcPr>
          <w:p w14:paraId="10886639" w14:textId="77777777" w:rsidR="001934BB" w:rsidRPr="007303B4" w:rsidRDefault="001934BB" w:rsidP="00912BD7">
            <w:pPr>
              <w:rPr>
                <w:rFonts w:ascii="Arial" w:eastAsia="SimSun" w:hAnsi="Arial" w:cs="Times New Roman"/>
                <w:lang w:val="en-GB"/>
              </w:rPr>
            </w:pPr>
            <w:r>
              <w:rPr>
                <w:rFonts w:ascii="Arial" w:eastAsia="SimSun" w:hAnsi="Arial" w:cs="Times New Roman"/>
                <w:lang w:val="en-GB"/>
              </w:rPr>
              <w:t>T</w:t>
            </w:r>
            <w:r w:rsidRPr="007303B4">
              <w:rPr>
                <w:rFonts w:ascii="Arial" w:eastAsia="SimSun" w:hAnsi="Arial" w:cs="Times New Roman"/>
                <w:vertAlign w:val="subscript"/>
                <w:lang w:val="en-GB"/>
              </w:rPr>
              <w:t>e</w:t>
            </w:r>
            <w:r>
              <w:rPr>
                <w:rFonts w:ascii="Arial" w:eastAsia="SimSun" w:hAnsi="Arial" w:cs="Times New Roman"/>
                <w:lang w:val="en-GB"/>
              </w:rPr>
              <w:t xml:space="preserve"> (terrestrial) [T</w:t>
            </w:r>
            <w:r>
              <w:rPr>
                <w:rFonts w:ascii="Arial" w:eastAsia="SimSun" w:hAnsi="Arial" w:cs="Times New Roman"/>
                <w:vertAlign w:val="subscript"/>
                <w:lang w:val="en-GB"/>
              </w:rPr>
              <w:t>s</w:t>
            </w:r>
            <w:r>
              <w:rPr>
                <w:rFonts w:ascii="Arial" w:eastAsia="SimSun" w:hAnsi="Arial" w:cs="Times New Roman"/>
                <w:lang w:val="en-GB"/>
              </w:rPr>
              <w:t>]</w:t>
            </w:r>
          </w:p>
        </w:tc>
        <w:tc>
          <w:tcPr>
            <w:tcW w:w="1134" w:type="dxa"/>
          </w:tcPr>
          <w:p w14:paraId="5BC64B0F" w14:textId="77777777" w:rsidR="001934BB" w:rsidRDefault="001934BB" w:rsidP="00912BD7">
            <w:pPr>
              <w:rPr>
                <w:lang w:val="en-GB"/>
              </w:rPr>
            </w:pPr>
            <w:proofErr w:type="spellStart"/>
            <w:r>
              <w:rPr>
                <w:rFonts w:ascii="Arial" w:eastAsia="SimSun" w:hAnsi="Arial" w:cs="Times New Roman"/>
                <w:lang w:val="en-GB"/>
              </w:rPr>
              <w:t>T</w:t>
            </w:r>
            <w:r>
              <w:rPr>
                <w:rFonts w:ascii="Arial" w:eastAsia="SimSun" w:hAnsi="Arial" w:cs="Times New Roman"/>
                <w:vertAlign w:val="subscript"/>
                <w:lang w:val="en-GB"/>
              </w:rPr>
              <w:t>relax</w:t>
            </w:r>
            <w:proofErr w:type="spellEnd"/>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c>
          <w:tcPr>
            <w:tcW w:w="2392" w:type="dxa"/>
          </w:tcPr>
          <w:p w14:paraId="613A5AAF" w14:textId="77777777" w:rsidR="001934BB" w:rsidRPr="00483ECB" w:rsidRDefault="001934BB" w:rsidP="00912BD7">
            <w:pPr>
              <w:rPr>
                <w:rFonts w:ascii="Arial" w:eastAsia="SimSun" w:hAnsi="Arial" w:cs="Times New Roman"/>
                <w:lang w:val="en-GB"/>
              </w:rPr>
            </w:pPr>
            <w:proofErr w:type="spellStart"/>
            <w:r>
              <w:rPr>
                <w:rFonts w:ascii="Arial" w:eastAsia="SimSun" w:hAnsi="Arial" w:cs="Times New Roman"/>
                <w:lang w:val="en-GB"/>
              </w:rPr>
              <w:t>T</w:t>
            </w:r>
            <w:r>
              <w:rPr>
                <w:rFonts w:ascii="Arial" w:eastAsia="SimSun" w:hAnsi="Arial" w:cs="Times New Roman"/>
                <w:vertAlign w:val="subscript"/>
                <w:lang w:val="en-GB"/>
              </w:rPr>
              <w:t>cp</w:t>
            </w:r>
            <w:proofErr w:type="spellEnd"/>
            <w:r>
              <w:rPr>
                <w:rFonts w:ascii="Arial" w:eastAsia="SimSun" w:hAnsi="Arial" w:cs="Times New Roman"/>
                <w:lang w:val="en-GB"/>
              </w:rPr>
              <w:t xml:space="preserve"> –2( T</w:t>
            </w:r>
            <w:r>
              <w:rPr>
                <w:rFonts w:ascii="Arial" w:eastAsia="SimSun" w:hAnsi="Arial" w:cs="Times New Roman"/>
                <w:vertAlign w:val="subscript"/>
                <w:lang w:val="en-GB"/>
              </w:rPr>
              <w:t>e</w:t>
            </w:r>
            <w:r>
              <w:rPr>
                <w:rFonts w:ascii="Arial" w:eastAsia="SimSun" w:hAnsi="Arial" w:cs="Times New Roman"/>
                <w:lang w:val="en-GB"/>
              </w:rPr>
              <w:t xml:space="preserve"> – </w:t>
            </w:r>
            <w:proofErr w:type="spellStart"/>
            <w:r>
              <w:rPr>
                <w:rFonts w:ascii="Arial" w:eastAsia="SimSun" w:hAnsi="Arial" w:cs="Times New Roman"/>
                <w:lang w:val="en-GB"/>
              </w:rPr>
              <w:t>T</w:t>
            </w:r>
            <w:r>
              <w:rPr>
                <w:rFonts w:ascii="Arial" w:eastAsia="SimSun" w:hAnsi="Arial" w:cs="Times New Roman"/>
                <w:vertAlign w:val="subscript"/>
                <w:lang w:val="en-GB"/>
              </w:rPr>
              <w:t>relax</w:t>
            </w:r>
            <w:proofErr w:type="spellEnd"/>
            <w:r>
              <w:rPr>
                <w:rFonts w:ascii="Arial" w:eastAsia="SimSun" w:hAnsi="Arial" w:cs="Times New Roman"/>
                <w:vertAlign w:val="subscript"/>
                <w:lang w:val="en-GB"/>
              </w:rPr>
              <w:t xml:space="preserve"> </w:t>
            </w:r>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r>
      <w:tr w:rsidR="001934BB" w:rsidRPr="004A4019" w14:paraId="73242E96" w14:textId="77777777" w:rsidTr="00912BD7">
        <w:tc>
          <w:tcPr>
            <w:tcW w:w="1475" w:type="dxa"/>
          </w:tcPr>
          <w:p w14:paraId="59D5BD7A" w14:textId="77777777" w:rsidR="001934BB" w:rsidRDefault="001934BB" w:rsidP="00912BD7">
            <w:pPr>
              <w:jc w:val="center"/>
              <w:rPr>
                <w:lang w:val="en-GB"/>
              </w:rPr>
            </w:pPr>
            <w:r>
              <w:rPr>
                <w:lang w:val="en-GB"/>
              </w:rPr>
              <w:t>15</w:t>
            </w:r>
          </w:p>
        </w:tc>
        <w:tc>
          <w:tcPr>
            <w:tcW w:w="1781" w:type="dxa"/>
          </w:tcPr>
          <w:p w14:paraId="77D2CB88" w14:textId="77777777" w:rsidR="001934BB" w:rsidRDefault="001934BB" w:rsidP="00912BD7">
            <w:pPr>
              <w:jc w:val="center"/>
              <w:rPr>
                <w:lang w:val="en-GB"/>
              </w:rPr>
            </w:pPr>
            <w:r>
              <w:rPr>
                <w:lang w:val="en-GB"/>
              </w:rPr>
              <w:t>60</w:t>
            </w:r>
          </w:p>
        </w:tc>
        <w:tc>
          <w:tcPr>
            <w:tcW w:w="992" w:type="dxa"/>
          </w:tcPr>
          <w:p w14:paraId="6CD714EB" w14:textId="77777777" w:rsidR="001934BB" w:rsidRDefault="001934BB" w:rsidP="00912BD7">
            <w:pPr>
              <w:rPr>
                <w:lang w:val="en-GB"/>
              </w:rPr>
            </w:pPr>
            <w:r w:rsidRPr="009F11C1">
              <w:rPr>
                <w:lang w:val="en-GB"/>
              </w:rPr>
              <w:t>36</w:t>
            </w:r>
          </w:p>
        </w:tc>
        <w:tc>
          <w:tcPr>
            <w:tcW w:w="1843" w:type="dxa"/>
            <w:gridSpan w:val="2"/>
          </w:tcPr>
          <w:p w14:paraId="124A6699" w14:textId="77777777" w:rsidR="001934BB" w:rsidRDefault="001934BB" w:rsidP="00912BD7">
            <w:pPr>
              <w:rPr>
                <w:lang w:val="en-GB"/>
              </w:rPr>
            </w:pPr>
            <w:r>
              <w:rPr>
                <w:lang w:val="en-GB"/>
              </w:rPr>
              <w:t>10</w:t>
            </w:r>
          </w:p>
        </w:tc>
        <w:tc>
          <w:tcPr>
            <w:tcW w:w="1134" w:type="dxa"/>
          </w:tcPr>
          <w:p w14:paraId="4B4EAC5C" w14:textId="77777777" w:rsidR="001934BB" w:rsidRDefault="001934BB" w:rsidP="00912BD7">
            <w:pPr>
              <w:rPr>
                <w:lang w:val="en-GB"/>
              </w:rPr>
            </w:pPr>
            <w:r w:rsidRPr="003E670F">
              <w:rPr>
                <w:lang w:val="en-GB"/>
              </w:rPr>
              <w:t>16</w:t>
            </w:r>
          </w:p>
        </w:tc>
        <w:tc>
          <w:tcPr>
            <w:tcW w:w="2392" w:type="dxa"/>
          </w:tcPr>
          <w:p w14:paraId="243728C7" w14:textId="77777777" w:rsidR="001934BB" w:rsidRPr="004A4019" w:rsidRDefault="001934BB" w:rsidP="00912BD7">
            <w:pPr>
              <w:rPr>
                <w:rFonts w:ascii="Arial" w:eastAsia="Calibri" w:hAnsi="Arial" w:cs="Arial"/>
                <w:color w:val="FF0000"/>
              </w:rPr>
            </w:pPr>
            <w:r w:rsidRPr="004A4019">
              <w:rPr>
                <w:rFonts w:ascii="Arial" w:eastAsia="Calibri" w:hAnsi="Arial" w:cs="Arial"/>
                <w:color w:val="FF0000"/>
              </w:rPr>
              <w:t>-16</w:t>
            </w:r>
          </w:p>
        </w:tc>
      </w:tr>
      <w:tr w:rsidR="001934BB" w:rsidRPr="004A4019" w14:paraId="36BD5FC7" w14:textId="77777777" w:rsidTr="00912BD7">
        <w:tc>
          <w:tcPr>
            <w:tcW w:w="1475" w:type="dxa"/>
          </w:tcPr>
          <w:p w14:paraId="4E1C1798" w14:textId="77777777" w:rsidR="001934BB" w:rsidRDefault="001934BB" w:rsidP="00912BD7">
            <w:pPr>
              <w:jc w:val="center"/>
              <w:rPr>
                <w:lang w:val="en-GB"/>
              </w:rPr>
            </w:pPr>
            <w:r>
              <w:rPr>
                <w:lang w:val="en-GB"/>
              </w:rPr>
              <w:t>30</w:t>
            </w:r>
          </w:p>
        </w:tc>
        <w:tc>
          <w:tcPr>
            <w:tcW w:w="1781" w:type="dxa"/>
          </w:tcPr>
          <w:p w14:paraId="26C1F9A9" w14:textId="77777777" w:rsidR="001934BB" w:rsidRDefault="001934BB" w:rsidP="00912BD7">
            <w:pPr>
              <w:jc w:val="center"/>
              <w:rPr>
                <w:lang w:val="en-GB"/>
              </w:rPr>
            </w:pPr>
            <w:r>
              <w:rPr>
                <w:lang w:val="en-GB"/>
              </w:rPr>
              <w:t>60</w:t>
            </w:r>
          </w:p>
        </w:tc>
        <w:tc>
          <w:tcPr>
            <w:tcW w:w="992" w:type="dxa"/>
          </w:tcPr>
          <w:p w14:paraId="7A93A142" w14:textId="77777777" w:rsidR="001934BB" w:rsidRDefault="001934BB" w:rsidP="00912BD7">
            <w:pPr>
              <w:rPr>
                <w:lang w:val="en-GB"/>
              </w:rPr>
            </w:pPr>
            <w:r w:rsidRPr="009F11C1">
              <w:rPr>
                <w:lang w:val="en-GB"/>
              </w:rPr>
              <w:t>36</w:t>
            </w:r>
          </w:p>
        </w:tc>
        <w:tc>
          <w:tcPr>
            <w:tcW w:w="1843" w:type="dxa"/>
            <w:gridSpan w:val="2"/>
          </w:tcPr>
          <w:p w14:paraId="0C9E4B27" w14:textId="77777777" w:rsidR="001934BB" w:rsidRDefault="001934BB" w:rsidP="00912BD7">
            <w:pPr>
              <w:rPr>
                <w:lang w:val="en-GB"/>
              </w:rPr>
            </w:pPr>
            <w:r>
              <w:rPr>
                <w:lang w:val="en-GB"/>
              </w:rPr>
              <w:t>7</w:t>
            </w:r>
          </w:p>
        </w:tc>
        <w:tc>
          <w:tcPr>
            <w:tcW w:w="1134" w:type="dxa"/>
          </w:tcPr>
          <w:p w14:paraId="2FB5D97B" w14:textId="77777777" w:rsidR="001934BB" w:rsidRDefault="001934BB" w:rsidP="00912BD7">
            <w:pPr>
              <w:rPr>
                <w:lang w:val="en-GB"/>
              </w:rPr>
            </w:pPr>
            <w:r w:rsidRPr="003E670F">
              <w:rPr>
                <w:lang w:val="en-GB"/>
              </w:rPr>
              <w:t>16</w:t>
            </w:r>
          </w:p>
        </w:tc>
        <w:tc>
          <w:tcPr>
            <w:tcW w:w="2392" w:type="dxa"/>
          </w:tcPr>
          <w:p w14:paraId="6E651401" w14:textId="77777777" w:rsidR="001934BB" w:rsidRPr="004A4019" w:rsidRDefault="001934BB" w:rsidP="00912BD7">
            <w:pPr>
              <w:rPr>
                <w:rFonts w:ascii="Arial" w:eastAsia="Calibri" w:hAnsi="Arial" w:cs="Arial"/>
                <w:color w:val="FF0000"/>
              </w:rPr>
            </w:pPr>
            <w:r w:rsidRPr="004A4019">
              <w:rPr>
                <w:rFonts w:ascii="Arial" w:eastAsia="Calibri" w:hAnsi="Arial" w:cs="Arial"/>
                <w:color w:val="FF0000"/>
              </w:rPr>
              <w:t>- 7</w:t>
            </w:r>
          </w:p>
        </w:tc>
      </w:tr>
      <w:tr w:rsidR="001934BB" w:rsidRPr="004A4019" w14:paraId="126C8CBD" w14:textId="77777777" w:rsidTr="00912BD7">
        <w:tc>
          <w:tcPr>
            <w:tcW w:w="1475" w:type="dxa"/>
          </w:tcPr>
          <w:p w14:paraId="1A10210C" w14:textId="77777777" w:rsidR="001934BB" w:rsidRDefault="001934BB" w:rsidP="00912BD7">
            <w:pPr>
              <w:jc w:val="center"/>
              <w:rPr>
                <w:lang w:val="en-GB"/>
              </w:rPr>
            </w:pPr>
            <w:r>
              <w:rPr>
                <w:lang w:val="en-GB"/>
              </w:rPr>
              <w:t>120</w:t>
            </w:r>
          </w:p>
        </w:tc>
        <w:tc>
          <w:tcPr>
            <w:tcW w:w="1781" w:type="dxa"/>
          </w:tcPr>
          <w:p w14:paraId="77D09555" w14:textId="77777777" w:rsidR="001934BB" w:rsidRDefault="001934BB" w:rsidP="00912BD7">
            <w:pPr>
              <w:jc w:val="center"/>
              <w:rPr>
                <w:lang w:val="en-GB"/>
              </w:rPr>
            </w:pPr>
            <w:r>
              <w:rPr>
                <w:lang w:val="en-GB"/>
              </w:rPr>
              <w:t>60</w:t>
            </w:r>
          </w:p>
        </w:tc>
        <w:tc>
          <w:tcPr>
            <w:tcW w:w="992" w:type="dxa"/>
          </w:tcPr>
          <w:p w14:paraId="17FDE521" w14:textId="77777777" w:rsidR="001934BB" w:rsidRDefault="001934BB" w:rsidP="00912BD7">
            <w:pPr>
              <w:rPr>
                <w:lang w:val="en-GB"/>
              </w:rPr>
            </w:pPr>
            <w:r w:rsidRPr="009F11C1">
              <w:rPr>
                <w:lang w:val="en-GB"/>
              </w:rPr>
              <w:t>36</w:t>
            </w:r>
          </w:p>
        </w:tc>
        <w:tc>
          <w:tcPr>
            <w:tcW w:w="1843" w:type="dxa"/>
            <w:gridSpan w:val="2"/>
          </w:tcPr>
          <w:p w14:paraId="024BD139" w14:textId="77777777" w:rsidR="001934BB" w:rsidRDefault="001934BB" w:rsidP="00912BD7">
            <w:pPr>
              <w:rPr>
                <w:lang w:val="en-GB"/>
              </w:rPr>
            </w:pPr>
            <w:r>
              <w:rPr>
                <w:lang w:val="en-GB"/>
              </w:rPr>
              <w:t>3.5</w:t>
            </w:r>
          </w:p>
        </w:tc>
        <w:tc>
          <w:tcPr>
            <w:tcW w:w="1134" w:type="dxa"/>
          </w:tcPr>
          <w:p w14:paraId="31A62DF5" w14:textId="77777777" w:rsidR="001934BB" w:rsidRDefault="001934BB" w:rsidP="00912BD7">
            <w:pPr>
              <w:rPr>
                <w:lang w:val="en-GB"/>
              </w:rPr>
            </w:pPr>
            <w:r w:rsidRPr="003E670F">
              <w:rPr>
                <w:lang w:val="en-GB"/>
              </w:rPr>
              <w:t>16</w:t>
            </w:r>
          </w:p>
        </w:tc>
        <w:tc>
          <w:tcPr>
            <w:tcW w:w="2392" w:type="dxa"/>
          </w:tcPr>
          <w:p w14:paraId="4F3DD6F6" w14:textId="77777777" w:rsidR="001934BB" w:rsidRPr="004A4019" w:rsidRDefault="001934BB" w:rsidP="00912BD7">
            <w:pPr>
              <w:rPr>
                <w:rFonts w:ascii="Arial" w:eastAsia="MS Mincho" w:hAnsi="Arial" w:cs="Arial"/>
                <w:color w:val="FF0000"/>
              </w:rPr>
            </w:pPr>
            <w:r w:rsidRPr="004A4019">
              <w:rPr>
                <w:rFonts w:ascii="Arial" w:eastAsia="MS Mincho" w:hAnsi="Arial" w:cs="Arial"/>
                <w:color w:val="FF0000"/>
              </w:rPr>
              <w:t>-3</w:t>
            </w:r>
          </w:p>
        </w:tc>
      </w:tr>
      <w:tr w:rsidR="001934BB" w:rsidRPr="004A4019" w14:paraId="7DBB3FAE" w14:textId="77777777" w:rsidTr="00912BD7">
        <w:tc>
          <w:tcPr>
            <w:tcW w:w="1475" w:type="dxa"/>
          </w:tcPr>
          <w:p w14:paraId="695FDB51" w14:textId="77777777" w:rsidR="001934BB" w:rsidRDefault="001934BB" w:rsidP="00912BD7">
            <w:pPr>
              <w:jc w:val="center"/>
              <w:rPr>
                <w:lang w:val="en-GB"/>
              </w:rPr>
            </w:pPr>
            <w:r>
              <w:rPr>
                <w:lang w:val="en-GB"/>
              </w:rPr>
              <w:t>240</w:t>
            </w:r>
          </w:p>
        </w:tc>
        <w:tc>
          <w:tcPr>
            <w:tcW w:w="1781" w:type="dxa"/>
          </w:tcPr>
          <w:p w14:paraId="1D6D9628" w14:textId="77777777" w:rsidR="001934BB" w:rsidRDefault="001934BB" w:rsidP="00912BD7">
            <w:pPr>
              <w:jc w:val="center"/>
              <w:rPr>
                <w:lang w:val="en-GB"/>
              </w:rPr>
            </w:pPr>
            <w:r>
              <w:rPr>
                <w:lang w:val="en-GB"/>
              </w:rPr>
              <w:t>60</w:t>
            </w:r>
          </w:p>
        </w:tc>
        <w:tc>
          <w:tcPr>
            <w:tcW w:w="992" w:type="dxa"/>
          </w:tcPr>
          <w:p w14:paraId="10264D4F" w14:textId="77777777" w:rsidR="001934BB" w:rsidRDefault="001934BB" w:rsidP="00912BD7">
            <w:pPr>
              <w:rPr>
                <w:lang w:val="en-GB"/>
              </w:rPr>
            </w:pPr>
            <w:r w:rsidRPr="009F11C1">
              <w:rPr>
                <w:lang w:val="en-GB"/>
              </w:rPr>
              <w:t>36</w:t>
            </w:r>
          </w:p>
        </w:tc>
        <w:tc>
          <w:tcPr>
            <w:tcW w:w="1843" w:type="dxa"/>
            <w:gridSpan w:val="2"/>
          </w:tcPr>
          <w:p w14:paraId="28707BD5" w14:textId="77777777" w:rsidR="001934BB" w:rsidRDefault="001934BB" w:rsidP="00912BD7">
            <w:pPr>
              <w:rPr>
                <w:lang w:val="en-GB"/>
              </w:rPr>
            </w:pPr>
            <w:r>
              <w:rPr>
                <w:lang w:val="en-GB"/>
              </w:rPr>
              <w:t>3</w:t>
            </w:r>
          </w:p>
        </w:tc>
        <w:tc>
          <w:tcPr>
            <w:tcW w:w="1134" w:type="dxa"/>
          </w:tcPr>
          <w:p w14:paraId="7E4B73B1" w14:textId="77777777" w:rsidR="001934BB" w:rsidRDefault="001934BB" w:rsidP="00912BD7">
            <w:pPr>
              <w:rPr>
                <w:lang w:val="en-GB"/>
              </w:rPr>
            </w:pPr>
            <w:r w:rsidRPr="003E670F">
              <w:rPr>
                <w:lang w:val="en-GB"/>
              </w:rPr>
              <w:t>16</w:t>
            </w:r>
          </w:p>
        </w:tc>
        <w:tc>
          <w:tcPr>
            <w:tcW w:w="2392" w:type="dxa"/>
          </w:tcPr>
          <w:p w14:paraId="2FA23AEC" w14:textId="77777777" w:rsidR="001934BB" w:rsidRPr="004A4019" w:rsidRDefault="001934BB" w:rsidP="00912BD7">
            <w:pPr>
              <w:rPr>
                <w:rFonts w:ascii="Arial" w:eastAsia="Calibri" w:hAnsi="Arial" w:cs="Arial"/>
                <w:color w:val="FF0000"/>
              </w:rPr>
            </w:pPr>
            <w:r w:rsidRPr="004A4019">
              <w:rPr>
                <w:rFonts w:ascii="Arial" w:eastAsia="Calibri" w:hAnsi="Arial" w:cs="Arial"/>
                <w:color w:val="FF0000"/>
              </w:rPr>
              <w:t>-2</w:t>
            </w:r>
          </w:p>
        </w:tc>
      </w:tr>
      <w:tr w:rsidR="001934BB" w:rsidRPr="004A4019" w14:paraId="157F5952" w14:textId="77777777" w:rsidTr="00912BD7">
        <w:tc>
          <w:tcPr>
            <w:tcW w:w="1475" w:type="dxa"/>
          </w:tcPr>
          <w:p w14:paraId="1386EF26" w14:textId="77777777" w:rsidR="001934BB" w:rsidRDefault="001934BB" w:rsidP="00912BD7">
            <w:pPr>
              <w:jc w:val="center"/>
              <w:rPr>
                <w:lang w:val="en-GB"/>
              </w:rPr>
            </w:pPr>
            <w:r>
              <w:rPr>
                <w:lang w:val="en-GB"/>
              </w:rPr>
              <w:t>120</w:t>
            </w:r>
          </w:p>
        </w:tc>
        <w:tc>
          <w:tcPr>
            <w:tcW w:w="1781" w:type="dxa"/>
          </w:tcPr>
          <w:p w14:paraId="3A913EE0" w14:textId="77777777" w:rsidR="001934BB" w:rsidRDefault="001934BB" w:rsidP="00912BD7">
            <w:pPr>
              <w:jc w:val="center"/>
              <w:rPr>
                <w:lang w:val="en-GB"/>
              </w:rPr>
            </w:pPr>
            <w:r>
              <w:rPr>
                <w:lang w:val="en-GB"/>
              </w:rPr>
              <w:t>120</w:t>
            </w:r>
          </w:p>
        </w:tc>
        <w:tc>
          <w:tcPr>
            <w:tcW w:w="992" w:type="dxa"/>
          </w:tcPr>
          <w:p w14:paraId="7125E872" w14:textId="77777777" w:rsidR="001934BB" w:rsidRDefault="001934BB" w:rsidP="00912BD7">
            <w:pPr>
              <w:rPr>
                <w:lang w:val="en-GB"/>
              </w:rPr>
            </w:pPr>
            <w:r>
              <w:rPr>
                <w:lang w:val="en-GB"/>
              </w:rPr>
              <w:t>18</w:t>
            </w:r>
          </w:p>
        </w:tc>
        <w:tc>
          <w:tcPr>
            <w:tcW w:w="1843" w:type="dxa"/>
            <w:gridSpan w:val="2"/>
          </w:tcPr>
          <w:p w14:paraId="56534BC8" w14:textId="77777777" w:rsidR="001934BB" w:rsidRDefault="001934BB" w:rsidP="00912BD7">
            <w:pPr>
              <w:rPr>
                <w:lang w:val="en-GB"/>
              </w:rPr>
            </w:pPr>
            <w:r>
              <w:rPr>
                <w:lang w:val="en-GB"/>
              </w:rPr>
              <w:t>3.5</w:t>
            </w:r>
          </w:p>
        </w:tc>
        <w:tc>
          <w:tcPr>
            <w:tcW w:w="1134" w:type="dxa"/>
          </w:tcPr>
          <w:p w14:paraId="548F26ED" w14:textId="77777777" w:rsidR="001934BB" w:rsidRDefault="001934BB" w:rsidP="00912BD7">
            <w:pPr>
              <w:rPr>
                <w:lang w:val="en-GB"/>
              </w:rPr>
            </w:pPr>
            <w:r w:rsidRPr="003E670F">
              <w:rPr>
                <w:lang w:val="en-GB"/>
              </w:rPr>
              <w:t>16</w:t>
            </w:r>
          </w:p>
        </w:tc>
        <w:tc>
          <w:tcPr>
            <w:tcW w:w="2392" w:type="dxa"/>
          </w:tcPr>
          <w:p w14:paraId="12D521D3" w14:textId="77777777" w:rsidR="001934BB" w:rsidRPr="004A4019" w:rsidRDefault="001934BB" w:rsidP="00912BD7">
            <w:pPr>
              <w:rPr>
                <w:rFonts w:ascii="Arial" w:eastAsia="SimSun" w:hAnsi="Arial" w:cs="Times New Roman"/>
                <w:color w:val="FF0000"/>
              </w:rPr>
            </w:pPr>
            <w:r w:rsidRPr="004A4019">
              <w:rPr>
                <w:rFonts w:ascii="Arial" w:eastAsia="SimSun" w:hAnsi="Arial" w:cs="Times New Roman"/>
                <w:color w:val="FF0000"/>
              </w:rPr>
              <w:t>-21</w:t>
            </w:r>
          </w:p>
        </w:tc>
      </w:tr>
    </w:tbl>
    <w:p w14:paraId="51926512" w14:textId="77777777" w:rsidR="001934BB" w:rsidRDefault="001934BB" w:rsidP="001934BB">
      <w:pPr>
        <w:spacing w:before="240"/>
        <w:rPr>
          <w:rFonts w:eastAsiaTheme="minorEastAsia"/>
          <w:lang w:val="en-GB"/>
        </w:rPr>
      </w:pPr>
      <w:r>
        <w:rPr>
          <w:rFonts w:eastAsiaTheme="minorEastAsia"/>
          <w:lang w:val="en-GB"/>
        </w:rPr>
        <w:t xml:space="preserve">This was reason to exclude 60 kHz from the Rel-17 operation on FR1 as it would consume most of the delay budget and preclude any practical application. </w:t>
      </w:r>
    </w:p>
    <w:p w14:paraId="783C4BE9" w14:textId="77777777" w:rsidR="001934BB" w:rsidRDefault="001934BB" w:rsidP="001934BB">
      <w:pPr>
        <w:pStyle w:val="RAN4observation0"/>
      </w:pPr>
      <w:bookmarkStart w:id="58" w:name="_Toc131891072"/>
      <w:bookmarkStart w:id="59" w:name="_Toc135062931"/>
      <w:bookmarkStart w:id="60" w:name="_Toc142668048"/>
      <w:r>
        <w:t>In Rel-17, the inclusion of relaxed timing requirements due to GNSS and satellite position inaccuracies led to the exclusion of the 60 kHz of the FR1 operation since it would consume most of the delay budget.</w:t>
      </w:r>
      <w:bookmarkEnd w:id="58"/>
      <w:bookmarkEnd w:id="59"/>
      <w:bookmarkEnd w:id="60"/>
      <w:r>
        <w:t xml:space="preserve"> </w:t>
      </w:r>
    </w:p>
    <w:p w14:paraId="3C392AD2" w14:textId="428DC0D8" w:rsidR="001934BB" w:rsidRDefault="001934BB" w:rsidP="001934BB">
      <w:r>
        <w:rPr>
          <w:rFonts w:eastAsiaTheme="minorEastAsia"/>
        </w:rPr>
        <w:t xml:space="preserve">In addition to the transmit timing inaccuracy, the delay budget is also affected by the dispersion of the channel. </w:t>
      </w:r>
      <w:r>
        <w:t xml:space="preserve">3GPP has previously agreed on reference channel models for </w:t>
      </w:r>
      <w:r w:rsidRPr="00F351F2">
        <w:t>NTN, originated during the study item phase</w:t>
      </w:r>
      <w:r>
        <w:t xml:space="preserve"> </w:t>
      </w:r>
      <w:r>
        <w:fldChar w:fldCharType="begin"/>
      </w:r>
      <w:r>
        <w:instrText xml:space="preserve"> REF _Ref130303848 \r \h </w:instrText>
      </w:r>
      <w:r>
        <w:fldChar w:fldCharType="separate"/>
      </w:r>
      <w:r w:rsidR="00ED1D3C">
        <w:t>[11]</w:t>
      </w:r>
      <w:r>
        <w:fldChar w:fldCharType="end"/>
      </w:r>
      <w:r>
        <w:t xml:space="preserve"> for NTN deployments and that are now used as the reference channels for demodulation </w:t>
      </w:r>
      <w:r>
        <w:fldChar w:fldCharType="begin"/>
      </w:r>
      <w:r>
        <w:instrText xml:space="preserve"> REF _Ref130303923 \r \h </w:instrText>
      </w:r>
      <w:r>
        <w:fldChar w:fldCharType="separate"/>
      </w:r>
      <w:r w:rsidR="00551E90">
        <w:t>[12]</w:t>
      </w:r>
      <w:r>
        <w:fldChar w:fldCharType="end"/>
      </w:r>
      <w:r>
        <w:t>. The channel model NTN-TDLA100 has a rms delay spread of 100 ns; with the detailed model describing a relevant delay path with a 285 ns delay (which corresponds to 8.8 T</w:t>
      </w:r>
      <w:r w:rsidRPr="0014528A">
        <w:rPr>
          <w:vertAlign w:val="subscript"/>
        </w:rPr>
        <w:t>s</w:t>
      </w:r>
      <w:r>
        <w:t xml:space="preserve">).    It is worth noting that the delay spread of the NTN reference model is higher than any of the delay spreads considered for 60 and 120 kHz before in TN </w:t>
      </w:r>
      <w:r>
        <w:fldChar w:fldCharType="begin"/>
      </w:r>
      <w:r>
        <w:instrText xml:space="preserve"> REF _Ref130304090 \r \h </w:instrText>
      </w:r>
      <w:r>
        <w:fldChar w:fldCharType="separate"/>
      </w:r>
      <w:r w:rsidR="00551E90">
        <w:t>[13]</w:t>
      </w:r>
      <w:r>
        <w:fldChar w:fldCharType="end"/>
      </w:r>
      <w:r w:rsidR="00F35C29">
        <w:fldChar w:fldCharType="begin"/>
      </w:r>
      <w:r w:rsidR="00F35C29">
        <w:instrText xml:space="preserve"> REF _Ref130304091 \r \h </w:instrText>
      </w:r>
      <w:r w:rsidR="00F35C29">
        <w:fldChar w:fldCharType="separate"/>
      </w:r>
      <w:r w:rsidR="00F35C29">
        <w:t>[14]</w:t>
      </w:r>
      <w:r w:rsidR="00F35C29">
        <w:fldChar w:fldCharType="end"/>
      </w:r>
      <w:r>
        <w:t xml:space="preserve">, which makes the delay budget even more stringent in NTN. </w:t>
      </w:r>
    </w:p>
    <w:p w14:paraId="782C99D2" w14:textId="77777777" w:rsidR="001934BB" w:rsidRDefault="001934BB" w:rsidP="001934BB">
      <w:pPr>
        <w:pStyle w:val="CommentText"/>
      </w:pPr>
      <w:r>
        <w:t>Besides, another component that need consideration is the “systematic error in the common TA” that will be observed in practical deployments that ensues from reduced accuracy of the polynomial fit. Since we only have a 2</w:t>
      </w:r>
      <w:r w:rsidRPr="004A6DF0">
        <w:rPr>
          <w:vertAlign w:val="superscript"/>
        </w:rPr>
        <w:t>nd</w:t>
      </w:r>
      <w:r>
        <w:t xml:space="preserve"> order polynomial to describe the Common TA there will be a “systematic error” due to modeling of the feeder link (common TA), which will evolve over time. This aspect was discussed in RAN1 contribution that have shown that this error can become quite substantial in R1-2110900, where it is seen that even for 10 seconds of horizon of prediction, we may see a systematic error of ~1us.  </w:t>
      </w:r>
    </w:p>
    <w:p w14:paraId="6215FDD4" w14:textId="77777777" w:rsidR="001934BB" w:rsidRDefault="001934BB" w:rsidP="001934BB">
      <w:r>
        <w:t>To accommodate for the delay budget and the inaccuracy of the common TA information, it is important that the delay budget is not fully consumed by UE inaccuracies.</w:t>
      </w:r>
    </w:p>
    <w:p w14:paraId="7B91D690" w14:textId="77777777" w:rsidR="001934BB" w:rsidRPr="001934BB" w:rsidRDefault="001934BB" w:rsidP="001934BB"/>
    <w:p w14:paraId="60B1C315" w14:textId="77777777" w:rsidR="001934BB" w:rsidRPr="00847264" w:rsidRDefault="001934BB" w:rsidP="001934BB">
      <w:pPr>
        <w:ind w:right="-22"/>
      </w:pPr>
    </w:p>
    <w:sectPr w:rsidR="001934BB"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7AF7" w14:textId="77777777" w:rsidR="0039406B" w:rsidRDefault="0039406B" w:rsidP="00001C9B">
      <w:pPr>
        <w:spacing w:after="0" w:line="240" w:lineRule="auto"/>
      </w:pPr>
      <w:r>
        <w:separator/>
      </w:r>
    </w:p>
  </w:endnote>
  <w:endnote w:type="continuationSeparator" w:id="0">
    <w:p w14:paraId="5C338039" w14:textId="77777777" w:rsidR="0039406B" w:rsidRDefault="0039406B" w:rsidP="00001C9B">
      <w:pPr>
        <w:spacing w:after="0" w:line="240" w:lineRule="auto"/>
      </w:pPr>
      <w:r>
        <w:continuationSeparator/>
      </w:r>
    </w:p>
  </w:endnote>
  <w:endnote w:type="continuationNotice" w:id="1">
    <w:p w14:paraId="08BCFFE3" w14:textId="77777777" w:rsidR="0039406B" w:rsidRDefault="0039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F68D8" w14:textId="77777777" w:rsidR="0039406B" w:rsidRDefault="0039406B" w:rsidP="00001C9B">
      <w:pPr>
        <w:spacing w:after="0" w:line="240" w:lineRule="auto"/>
      </w:pPr>
      <w:r>
        <w:separator/>
      </w:r>
    </w:p>
  </w:footnote>
  <w:footnote w:type="continuationSeparator" w:id="0">
    <w:p w14:paraId="7C049A12" w14:textId="77777777" w:rsidR="0039406B" w:rsidRDefault="0039406B" w:rsidP="00001C9B">
      <w:pPr>
        <w:spacing w:after="0" w:line="240" w:lineRule="auto"/>
      </w:pPr>
      <w:r>
        <w:continuationSeparator/>
      </w:r>
    </w:p>
  </w:footnote>
  <w:footnote w:type="continuationNotice" w:id="1">
    <w:p w14:paraId="700239E8" w14:textId="77777777" w:rsidR="0039406B" w:rsidRDefault="003940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51081E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61154510">
    <w:abstractNumId w:val="3"/>
  </w:num>
  <w:num w:numId="28" w16cid:durableId="2124037807">
    <w:abstractNumId w:val="19"/>
  </w:num>
  <w:num w:numId="29" w16cid:durableId="2052608810">
    <w:abstractNumId w:val="17"/>
  </w:num>
  <w:num w:numId="30" w16cid:durableId="304354281">
    <w:abstractNumId w:val="15"/>
  </w:num>
  <w:num w:numId="31" w16cid:durableId="136840271">
    <w:abstractNumId w:val="7"/>
  </w:num>
  <w:num w:numId="32" w16cid:durableId="15832958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51EF"/>
    <w:rsid w:val="000239F5"/>
    <w:rsid w:val="00025C10"/>
    <w:rsid w:val="00036ACD"/>
    <w:rsid w:val="00041B56"/>
    <w:rsid w:val="00080D2C"/>
    <w:rsid w:val="0008612A"/>
    <w:rsid w:val="00090E18"/>
    <w:rsid w:val="00094903"/>
    <w:rsid w:val="000A10BC"/>
    <w:rsid w:val="000B0056"/>
    <w:rsid w:val="000C3C7B"/>
    <w:rsid w:val="000C511F"/>
    <w:rsid w:val="000D0F93"/>
    <w:rsid w:val="00106416"/>
    <w:rsid w:val="00110481"/>
    <w:rsid w:val="001127C9"/>
    <w:rsid w:val="00114498"/>
    <w:rsid w:val="00115B88"/>
    <w:rsid w:val="0012611D"/>
    <w:rsid w:val="00132F6A"/>
    <w:rsid w:val="00133913"/>
    <w:rsid w:val="00140221"/>
    <w:rsid w:val="00141817"/>
    <w:rsid w:val="001642FC"/>
    <w:rsid w:val="0016496B"/>
    <w:rsid w:val="001743E2"/>
    <w:rsid w:val="001745F8"/>
    <w:rsid w:val="001838CF"/>
    <w:rsid w:val="0018428F"/>
    <w:rsid w:val="001868EE"/>
    <w:rsid w:val="001934BB"/>
    <w:rsid w:val="001A3BA4"/>
    <w:rsid w:val="001A6D1F"/>
    <w:rsid w:val="001C0296"/>
    <w:rsid w:val="001D2282"/>
    <w:rsid w:val="001E30F6"/>
    <w:rsid w:val="00217EE5"/>
    <w:rsid w:val="00227031"/>
    <w:rsid w:val="00235F5C"/>
    <w:rsid w:val="00244745"/>
    <w:rsid w:val="00257FA3"/>
    <w:rsid w:val="00277B56"/>
    <w:rsid w:val="002864C5"/>
    <w:rsid w:val="002A19F5"/>
    <w:rsid w:val="002B4922"/>
    <w:rsid w:val="002C0EEC"/>
    <w:rsid w:val="002C22C3"/>
    <w:rsid w:val="002C2D19"/>
    <w:rsid w:val="002D10FA"/>
    <w:rsid w:val="002D2024"/>
    <w:rsid w:val="002D4C55"/>
    <w:rsid w:val="002E6DED"/>
    <w:rsid w:val="002F6077"/>
    <w:rsid w:val="00300956"/>
    <w:rsid w:val="0030455F"/>
    <w:rsid w:val="00305820"/>
    <w:rsid w:val="00317187"/>
    <w:rsid w:val="00320144"/>
    <w:rsid w:val="003230DC"/>
    <w:rsid w:val="0032499A"/>
    <w:rsid w:val="003341F7"/>
    <w:rsid w:val="00347FEC"/>
    <w:rsid w:val="003509DF"/>
    <w:rsid w:val="00356F45"/>
    <w:rsid w:val="00363F7D"/>
    <w:rsid w:val="00366B74"/>
    <w:rsid w:val="00386A83"/>
    <w:rsid w:val="0039406B"/>
    <w:rsid w:val="00395F6A"/>
    <w:rsid w:val="003A111C"/>
    <w:rsid w:val="003A710A"/>
    <w:rsid w:val="003B659E"/>
    <w:rsid w:val="003C275E"/>
    <w:rsid w:val="003C37D6"/>
    <w:rsid w:val="003C4FDE"/>
    <w:rsid w:val="003D2041"/>
    <w:rsid w:val="003E58DF"/>
    <w:rsid w:val="003F2161"/>
    <w:rsid w:val="00404C4C"/>
    <w:rsid w:val="0041423F"/>
    <w:rsid w:val="00414F81"/>
    <w:rsid w:val="0043680A"/>
    <w:rsid w:val="00436A0F"/>
    <w:rsid w:val="00437150"/>
    <w:rsid w:val="0043750A"/>
    <w:rsid w:val="00441EA9"/>
    <w:rsid w:val="00447577"/>
    <w:rsid w:val="004732E9"/>
    <w:rsid w:val="0048211A"/>
    <w:rsid w:val="004854BB"/>
    <w:rsid w:val="00494493"/>
    <w:rsid w:val="00496606"/>
    <w:rsid w:val="004C3486"/>
    <w:rsid w:val="004D24FB"/>
    <w:rsid w:val="004E5E66"/>
    <w:rsid w:val="004E7ADB"/>
    <w:rsid w:val="00503B4D"/>
    <w:rsid w:val="00504EE9"/>
    <w:rsid w:val="0051476D"/>
    <w:rsid w:val="00521576"/>
    <w:rsid w:val="00522897"/>
    <w:rsid w:val="005250E6"/>
    <w:rsid w:val="00525A8B"/>
    <w:rsid w:val="00531FC6"/>
    <w:rsid w:val="00542357"/>
    <w:rsid w:val="00542D23"/>
    <w:rsid w:val="0054442C"/>
    <w:rsid w:val="00550285"/>
    <w:rsid w:val="00551E90"/>
    <w:rsid w:val="00562492"/>
    <w:rsid w:val="0056617A"/>
    <w:rsid w:val="00572A20"/>
    <w:rsid w:val="005836F8"/>
    <w:rsid w:val="005918FA"/>
    <w:rsid w:val="00592A86"/>
    <w:rsid w:val="00593318"/>
    <w:rsid w:val="005B3D49"/>
    <w:rsid w:val="005B4801"/>
    <w:rsid w:val="005C23A4"/>
    <w:rsid w:val="005D1CDF"/>
    <w:rsid w:val="005D2BB7"/>
    <w:rsid w:val="005E61A8"/>
    <w:rsid w:val="005F6419"/>
    <w:rsid w:val="0060543D"/>
    <w:rsid w:val="006104DD"/>
    <w:rsid w:val="006130B5"/>
    <w:rsid w:val="00614F27"/>
    <w:rsid w:val="00617400"/>
    <w:rsid w:val="00632D29"/>
    <w:rsid w:val="00657BA2"/>
    <w:rsid w:val="00664950"/>
    <w:rsid w:val="0067119A"/>
    <w:rsid w:val="00677A4B"/>
    <w:rsid w:val="00681596"/>
    <w:rsid w:val="00683220"/>
    <w:rsid w:val="006837A8"/>
    <w:rsid w:val="00687FA0"/>
    <w:rsid w:val="00690D0C"/>
    <w:rsid w:val="00696E96"/>
    <w:rsid w:val="006A07D7"/>
    <w:rsid w:val="006A3C11"/>
    <w:rsid w:val="006B7010"/>
    <w:rsid w:val="006C0328"/>
    <w:rsid w:val="006C3095"/>
    <w:rsid w:val="006D069D"/>
    <w:rsid w:val="006D728A"/>
    <w:rsid w:val="006E1151"/>
    <w:rsid w:val="006E6311"/>
    <w:rsid w:val="00710BE6"/>
    <w:rsid w:val="007145FF"/>
    <w:rsid w:val="00715B2A"/>
    <w:rsid w:val="007450F1"/>
    <w:rsid w:val="00751515"/>
    <w:rsid w:val="007626B7"/>
    <w:rsid w:val="007725CB"/>
    <w:rsid w:val="00775489"/>
    <w:rsid w:val="00780E81"/>
    <w:rsid w:val="0078212B"/>
    <w:rsid w:val="00782724"/>
    <w:rsid w:val="00784DF6"/>
    <w:rsid w:val="00785232"/>
    <w:rsid w:val="00792B58"/>
    <w:rsid w:val="00792B6D"/>
    <w:rsid w:val="007B186C"/>
    <w:rsid w:val="007B5AF7"/>
    <w:rsid w:val="007C1696"/>
    <w:rsid w:val="007C3ED0"/>
    <w:rsid w:val="007C5971"/>
    <w:rsid w:val="007E5785"/>
    <w:rsid w:val="007F54B9"/>
    <w:rsid w:val="0080081C"/>
    <w:rsid w:val="00806A76"/>
    <w:rsid w:val="008074AB"/>
    <w:rsid w:val="00811C9D"/>
    <w:rsid w:val="00816C80"/>
    <w:rsid w:val="008310FA"/>
    <w:rsid w:val="00841BCD"/>
    <w:rsid w:val="00847264"/>
    <w:rsid w:val="00851A8E"/>
    <w:rsid w:val="0085365B"/>
    <w:rsid w:val="008826C1"/>
    <w:rsid w:val="00883DFD"/>
    <w:rsid w:val="008979C8"/>
    <w:rsid w:val="008A1BF7"/>
    <w:rsid w:val="008A5B0E"/>
    <w:rsid w:val="008B0961"/>
    <w:rsid w:val="008B0BEC"/>
    <w:rsid w:val="008C39F7"/>
    <w:rsid w:val="008C536B"/>
    <w:rsid w:val="008D7ABE"/>
    <w:rsid w:val="008E071E"/>
    <w:rsid w:val="008E7E55"/>
    <w:rsid w:val="0090091A"/>
    <w:rsid w:val="009042BD"/>
    <w:rsid w:val="00904FE4"/>
    <w:rsid w:val="00911E45"/>
    <w:rsid w:val="00926253"/>
    <w:rsid w:val="00936159"/>
    <w:rsid w:val="00977E1D"/>
    <w:rsid w:val="00983A6B"/>
    <w:rsid w:val="009A2477"/>
    <w:rsid w:val="009B0573"/>
    <w:rsid w:val="009B7B4B"/>
    <w:rsid w:val="009B7C21"/>
    <w:rsid w:val="009C2E67"/>
    <w:rsid w:val="009C2EEA"/>
    <w:rsid w:val="009C6E9D"/>
    <w:rsid w:val="009C7A94"/>
    <w:rsid w:val="00A04992"/>
    <w:rsid w:val="00A07553"/>
    <w:rsid w:val="00A147AA"/>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2070"/>
    <w:rsid w:val="00B2039E"/>
    <w:rsid w:val="00B31208"/>
    <w:rsid w:val="00B3156B"/>
    <w:rsid w:val="00B408B6"/>
    <w:rsid w:val="00B54013"/>
    <w:rsid w:val="00B542DA"/>
    <w:rsid w:val="00B57F9B"/>
    <w:rsid w:val="00B73862"/>
    <w:rsid w:val="00B73F43"/>
    <w:rsid w:val="00B75BBF"/>
    <w:rsid w:val="00BA6B66"/>
    <w:rsid w:val="00BA6E48"/>
    <w:rsid w:val="00BB2FD3"/>
    <w:rsid w:val="00BB3939"/>
    <w:rsid w:val="00BC2BEB"/>
    <w:rsid w:val="00BD4D12"/>
    <w:rsid w:val="00BE0AF6"/>
    <w:rsid w:val="00BE1F03"/>
    <w:rsid w:val="00BE58A7"/>
    <w:rsid w:val="00BF2218"/>
    <w:rsid w:val="00C0426B"/>
    <w:rsid w:val="00C045DF"/>
    <w:rsid w:val="00C07B05"/>
    <w:rsid w:val="00C20473"/>
    <w:rsid w:val="00C26D43"/>
    <w:rsid w:val="00C4466E"/>
    <w:rsid w:val="00C46548"/>
    <w:rsid w:val="00C574D5"/>
    <w:rsid w:val="00C72DAB"/>
    <w:rsid w:val="00C73F32"/>
    <w:rsid w:val="00C751B9"/>
    <w:rsid w:val="00C77803"/>
    <w:rsid w:val="00C85643"/>
    <w:rsid w:val="00C87462"/>
    <w:rsid w:val="00CA180C"/>
    <w:rsid w:val="00CB22B2"/>
    <w:rsid w:val="00CC3EE2"/>
    <w:rsid w:val="00CD7492"/>
    <w:rsid w:val="00CD7EDB"/>
    <w:rsid w:val="00CE3A6B"/>
    <w:rsid w:val="00CE5D1F"/>
    <w:rsid w:val="00CF0BE2"/>
    <w:rsid w:val="00D00211"/>
    <w:rsid w:val="00D03BD3"/>
    <w:rsid w:val="00D06309"/>
    <w:rsid w:val="00D24E42"/>
    <w:rsid w:val="00D351EA"/>
    <w:rsid w:val="00D40288"/>
    <w:rsid w:val="00D43403"/>
    <w:rsid w:val="00D5270B"/>
    <w:rsid w:val="00D62E71"/>
    <w:rsid w:val="00D64192"/>
    <w:rsid w:val="00D6430D"/>
    <w:rsid w:val="00D66188"/>
    <w:rsid w:val="00D7027C"/>
    <w:rsid w:val="00D731F6"/>
    <w:rsid w:val="00D740CA"/>
    <w:rsid w:val="00D85728"/>
    <w:rsid w:val="00D8631A"/>
    <w:rsid w:val="00D863D0"/>
    <w:rsid w:val="00D95481"/>
    <w:rsid w:val="00D97975"/>
    <w:rsid w:val="00D97D04"/>
    <w:rsid w:val="00DC7A13"/>
    <w:rsid w:val="00DF2997"/>
    <w:rsid w:val="00E10BC4"/>
    <w:rsid w:val="00E1415D"/>
    <w:rsid w:val="00E20FA2"/>
    <w:rsid w:val="00E23321"/>
    <w:rsid w:val="00E323E9"/>
    <w:rsid w:val="00E3323E"/>
    <w:rsid w:val="00E34018"/>
    <w:rsid w:val="00E3417B"/>
    <w:rsid w:val="00E43799"/>
    <w:rsid w:val="00E437D2"/>
    <w:rsid w:val="00E44901"/>
    <w:rsid w:val="00E55751"/>
    <w:rsid w:val="00E66BC2"/>
    <w:rsid w:val="00E679AC"/>
    <w:rsid w:val="00E87EA0"/>
    <w:rsid w:val="00EA2311"/>
    <w:rsid w:val="00EC1F58"/>
    <w:rsid w:val="00EC3E77"/>
    <w:rsid w:val="00EC7BC3"/>
    <w:rsid w:val="00ED1787"/>
    <w:rsid w:val="00ED1D3C"/>
    <w:rsid w:val="00ED7600"/>
    <w:rsid w:val="00EF6073"/>
    <w:rsid w:val="00EF698B"/>
    <w:rsid w:val="00EF76B6"/>
    <w:rsid w:val="00F1362C"/>
    <w:rsid w:val="00F35C29"/>
    <w:rsid w:val="00F414F1"/>
    <w:rsid w:val="00F47795"/>
    <w:rsid w:val="00F508B8"/>
    <w:rsid w:val="00F5307C"/>
    <w:rsid w:val="00F72CB1"/>
    <w:rsid w:val="00F8141A"/>
    <w:rsid w:val="00F8215E"/>
    <w:rsid w:val="00F824F5"/>
    <w:rsid w:val="00F84C4F"/>
    <w:rsid w:val="00F90FAB"/>
    <w:rsid w:val="00F9374D"/>
    <w:rsid w:val="00FA513E"/>
    <w:rsid w:val="00FC29B9"/>
    <w:rsid w:val="00FC6FD3"/>
    <w:rsid w:val="00FE2AA4"/>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7D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8631A"/>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07553"/>
    <w:rPr>
      <w:b/>
    </w:rPr>
  </w:style>
  <w:style w:type="paragraph" w:customStyle="1" w:styleId="TAC">
    <w:name w:val="TAC"/>
    <w:basedOn w:val="Normal"/>
    <w:link w:val="TACChar"/>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BF9-93EE-43FF-BCDF-498E020C82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2023-08-11T15:43:00Z</dcterms:created>
  <dcterms:modified xsi:type="dcterms:W3CDTF">2023-08-11T15:43:00Z</dcterms:modified>
</cp:coreProperties>
</file>