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EFB80" w14:textId="5386018D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DA2B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DA2B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DA2B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DA2B8B">
        <w:rPr>
          <w:rFonts w:ascii="Arial" w:eastAsia="SimSun" w:hAnsi="Arial" w:cs="Times New Roman"/>
          <w:b/>
          <w:sz w:val="24"/>
          <w:szCs w:val="20"/>
        </w:rPr>
        <w:t>10</w:t>
      </w:r>
      <w:r w:rsidR="003509DF" w:rsidRPr="00DA2B8B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DA2B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DA2B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DA2B8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DA2B8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DA2B8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DA2B8B" w:rsidRPr="00DA2B8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13369</w:t>
      </w:r>
    </w:p>
    <w:p w14:paraId="10433C4A" w14:textId="77777777" w:rsidR="00841BCD" w:rsidRPr="008C39F7" w:rsidRDefault="003509D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 21-25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7E6C8DBD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58687F8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51AF5C2" w14:textId="56DF1276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7A673D">
        <w:rPr>
          <w:rFonts w:ascii="Arial" w:eastAsia="Calibri" w:hAnsi="Arial" w:cs="Arial"/>
          <w:b/>
          <w:bCs/>
          <w:sz w:val="24"/>
        </w:rPr>
        <w:t xml:space="preserve">Discussion on </w:t>
      </w:r>
      <w:r w:rsidR="007A673D" w:rsidRPr="00473D9F">
        <w:rPr>
          <w:rFonts w:ascii="Arial" w:eastAsia="Calibri" w:hAnsi="Arial" w:cs="Arial"/>
          <w:b/>
          <w:bCs/>
          <w:sz w:val="24"/>
        </w:rPr>
        <w:t>LS to RAN4 on autonomous denial for IDC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</w:p>
    <w:p w14:paraId="6652E3F3" w14:textId="68422A7F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AB19C0" w:rsidRPr="00AB19C0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AB19C0">
        <w:rPr>
          <w:rFonts w:ascii="Arial" w:eastAsia="MS Mincho" w:hAnsi="Arial" w:cs="Arial"/>
          <w:b/>
          <w:bCs/>
          <w:sz w:val="24"/>
          <w:szCs w:val="20"/>
        </w:rPr>
        <w:t>.</w:t>
      </w:r>
      <w:r w:rsidR="00AB19C0" w:rsidRPr="00AB19C0">
        <w:rPr>
          <w:rFonts w:ascii="Arial" w:eastAsia="MS Mincho" w:hAnsi="Arial" w:cs="Arial"/>
          <w:b/>
          <w:bCs/>
          <w:sz w:val="24"/>
          <w:szCs w:val="20"/>
        </w:rPr>
        <w:t>36</w:t>
      </w:r>
      <w:r w:rsidR="007C1696" w:rsidRPr="00AB19C0">
        <w:rPr>
          <w:rFonts w:ascii="Arial" w:eastAsia="MS Mincho" w:hAnsi="Arial" w:cs="Arial"/>
          <w:b/>
          <w:bCs/>
          <w:sz w:val="24"/>
          <w:szCs w:val="20"/>
        </w:rPr>
        <w:t>.</w:t>
      </w:r>
      <w:r w:rsidR="00AB19C0" w:rsidRPr="00AB19C0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14FFBE44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232FA24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8B2FCD6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16312D94" w14:textId="77777777" w:rsidR="000757C7" w:rsidRDefault="000757C7" w:rsidP="005C23A4"/>
    <w:p w14:paraId="71C3B0C7" w14:textId="4E520856" w:rsidR="000757C7" w:rsidRDefault="000757C7" w:rsidP="005C23A4">
      <w:pPr>
        <w:rPr>
          <w:rFonts w:eastAsia="Yu Mincho"/>
          <w:bCs/>
          <w:szCs w:val="20"/>
          <w:lang w:eastAsia="en-GB"/>
        </w:rPr>
      </w:pPr>
      <w:r w:rsidRPr="00473D9F">
        <w:rPr>
          <w:rFonts w:eastAsiaTheme="minorEastAsia"/>
          <w:szCs w:val="20"/>
        </w:rPr>
        <w:t xml:space="preserve">RAN2 has agreed to introduce per CG autonomous denial configuration for the NR IDC issue. Based on this RAN2 has sent an LS to RAN4 </w:t>
      </w:r>
      <w:r>
        <w:rPr>
          <w:rFonts w:eastAsiaTheme="minorEastAsia"/>
          <w:szCs w:val="20"/>
        </w:rPr>
        <w:t>[</w:t>
      </w:r>
      <w:r w:rsidR="00A00B7E">
        <w:rPr>
          <w:rFonts w:eastAsiaTheme="minorEastAsia"/>
          <w:szCs w:val="20"/>
        </w:rPr>
        <w:t>3</w:t>
      </w:r>
      <w:r>
        <w:rPr>
          <w:rFonts w:eastAsiaTheme="minorEastAsia"/>
          <w:szCs w:val="20"/>
        </w:rPr>
        <w:t xml:space="preserve">] </w:t>
      </w:r>
      <w:r w:rsidRPr="00473D9F">
        <w:rPr>
          <w:rFonts w:eastAsiaTheme="minorEastAsia"/>
          <w:szCs w:val="20"/>
        </w:rPr>
        <w:t xml:space="preserve">asking RAN4 to </w:t>
      </w:r>
      <w:r w:rsidRPr="00473D9F">
        <w:rPr>
          <w:rFonts w:eastAsia="Yu Mincho"/>
          <w:bCs/>
          <w:szCs w:val="20"/>
          <w:lang w:eastAsia="en-GB"/>
        </w:rPr>
        <w:t>define the corresponding RRM requirements if needed</w:t>
      </w:r>
      <w:r>
        <w:rPr>
          <w:rFonts w:eastAsia="Yu Mincho"/>
          <w:bCs/>
          <w:szCs w:val="20"/>
          <w:lang w:eastAsia="en-GB"/>
        </w:rPr>
        <w:t>.</w:t>
      </w:r>
    </w:p>
    <w:p w14:paraId="60E44779" w14:textId="15B09B66" w:rsidR="000757C7" w:rsidRDefault="000757C7" w:rsidP="005C23A4">
      <w:pPr>
        <w:rPr>
          <w:rFonts w:eastAsia="Yu Mincho"/>
          <w:bCs/>
          <w:szCs w:val="20"/>
          <w:lang w:eastAsia="en-GB"/>
        </w:rPr>
      </w:pPr>
      <w:r>
        <w:rPr>
          <w:rFonts w:eastAsia="Yu Mincho"/>
          <w:bCs/>
          <w:szCs w:val="20"/>
          <w:lang w:eastAsia="en-GB"/>
        </w:rPr>
        <w:t>In RAN4#107 following was agreed</w:t>
      </w:r>
      <w:r w:rsidR="00A00B7E">
        <w:rPr>
          <w:rFonts w:eastAsia="Yu Mincho"/>
          <w:bCs/>
          <w:szCs w:val="20"/>
          <w:lang w:eastAsia="en-GB"/>
        </w:rPr>
        <w:t xml:space="preserve"> [1]</w:t>
      </w:r>
      <w:r>
        <w:rPr>
          <w:rFonts w:eastAsia="Yu Mincho"/>
          <w:bCs/>
          <w:szCs w:val="20"/>
          <w:lang w:eastAsia="en-GB"/>
        </w:rPr>
        <w:t>:</w:t>
      </w:r>
    </w:p>
    <w:p w14:paraId="627A6DB0" w14:textId="77777777" w:rsidR="004A694B" w:rsidRDefault="004A694B" w:rsidP="004A694B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0DCEE9B5" w14:textId="77777777" w:rsidR="004A694B" w:rsidRDefault="004A694B" w:rsidP="004A694B">
      <w:pPr>
        <w:ind w:firstLine="42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RAN4 adopts a similar approach to defining IDC-related RRM requirements for NR as for LTE.</w:t>
      </w:r>
    </w:p>
    <w:p w14:paraId="75610AB9" w14:textId="52D86130" w:rsidR="00A520D9" w:rsidRPr="008C39F7" w:rsidRDefault="00E23CB0" w:rsidP="005C23A4">
      <w:r>
        <w:t>A</w:t>
      </w:r>
      <w:r w:rsidR="006F6855">
        <w:t>dditionally, RAN2 has sent an L</w:t>
      </w:r>
      <w:r w:rsidR="00A00B7E">
        <w:t>S</w:t>
      </w:r>
      <w:r w:rsidR="006F6855">
        <w:t xml:space="preserve"> to RAN4 [</w:t>
      </w:r>
      <w:r w:rsidR="00A00B7E">
        <w:t>2</w:t>
      </w:r>
      <w:r w:rsidR="006F6855">
        <w:t>]</w:t>
      </w:r>
      <w:r w:rsidR="00166989">
        <w:t xml:space="preserve"> on autonomous denial. In this paper we address the IDC aspects.</w:t>
      </w:r>
    </w:p>
    <w:p w14:paraId="26E54CA6" w14:textId="77777777" w:rsidR="0060543D" w:rsidRPr="008C39F7" w:rsidRDefault="0060543D" w:rsidP="005C23A4"/>
    <w:p w14:paraId="45BA5672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52DCF6DE" w14:textId="614B61FE" w:rsidR="003F7FA6" w:rsidRDefault="003F7FA6" w:rsidP="00891E45">
      <w:pPr>
        <w:pStyle w:val="RAN4H2"/>
      </w:pPr>
      <w:r>
        <w:t>Capturing UE requirements</w:t>
      </w:r>
    </w:p>
    <w:p w14:paraId="6D5864F4" w14:textId="5CD42D5B" w:rsidR="00DC47B5" w:rsidRDefault="00DC47B5" w:rsidP="00DC47B5">
      <w:r>
        <w:t xml:space="preserve">In LTE RAN4 has defined </w:t>
      </w:r>
      <w:r w:rsidR="00BC4000">
        <w:t xml:space="preserve">a set of </w:t>
      </w:r>
      <w:r>
        <w:t xml:space="preserve">IDC requirements. </w:t>
      </w:r>
      <w:r w:rsidR="00432BA1">
        <w:t xml:space="preserve">It is understood </w:t>
      </w:r>
      <w:r>
        <w:t xml:space="preserve">that any IDC solution is UE implementation specific. </w:t>
      </w:r>
      <w:r w:rsidR="00E938E3">
        <w:t>I</w:t>
      </w:r>
      <w:r>
        <w:t>n LTE discussion it was agreed to capture the requirement in an implementation agnostic manner.</w:t>
      </w:r>
    </w:p>
    <w:p w14:paraId="7325DD0C" w14:textId="77777777" w:rsidR="00DC47B5" w:rsidRDefault="00DC47B5" w:rsidP="00DC47B5">
      <w:r>
        <w:t>One example from 36.133 is:</w:t>
      </w:r>
    </w:p>
    <w:p w14:paraId="0E9E11AB" w14:textId="77777777" w:rsidR="00DC47B5" w:rsidRDefault="00DC47B5" w:rsidP="00DC47B5">
      <w:pPr>
        <w:pStyle w:val="Default"/>
        <w:ind w:left="720"/>
        <w:rPr>
          <w:sz w:val="23"/>
          <w:szCs w:val="23"/>
        </w:rPr>
      </w:pPr>
      <w:r>
        <w:rPr>
          <w:sz w:val="23"/>
          <w:szCs w:val="23"/>
        </w:rPr>
        <w:t xml:space="preserve">7.6.2.5 Minimum requirement under IDC Interference </w:t>
      </w:r>
    </w:p>
    <w:p w14:paraId="61188DC8" w14:textId="77777777" w:rsidR="00DC47B5" w:rsidRDefault="00DC47B5" w:rsidP="00DC47B5">
      <w:pPr>
        <w:ind w:left="720"/>
      </w:pPr>
      <w:r>
        <w:rPr>
          <w:rFonts w:cs="Times New Roman"/>
          <w:szCs w:val="20"/>
        </w:rPr>
        <w:t>When the UE is provided with IDC solution, the UE shall also perform radio link monitoring and meet the corresponding requirements in clause 7.6.2.</w:t>
      </w:r>
    </w:p>
    <w:p w14:paraId="0604287F" w14:textId="13878C29" w:rsidR="00DC47B5" w:rsidRDefault="00E938E3" w:rsidP="00DC47B5">
      <w:r>
        <w:t>S</w:t>
      </w:r>
      <w:r w:rsidR="00DC47B5">
        <w:t xml:space="preserve">imilar approach was </w:t>
      </w:r>
      <w:r w:rsidR="00CF0B78">
        <w:t xml:space="preserve">added </w:t>
      </w:r>
      <w:r w:rsidR="00DC47B5">
        <w:t>specific</w:t>
      </w:r>
      <w:r w:rsidR="00CF0B78">
        <w:t xml:space="preserve">ally </w:t>
      </w:r>
      <w:r w:rsidR="00747E68">
        <w:t>for some sections, for example</w:t>
      </w:r>
      <w:r w:rsidR="00DC47B5">
        <w:t xml:space="preserve"> for section 8 UE Measurement procedures in RRC Connected state.</w:t>
      </w:r>
    </w:p>
    <w:p w14:paraId="689246C2" w14:textId="312182A7" w:rsidR="00DC47B5" w:rsidRDefault="00747E68" w:rsidP="00DC47B5">
      <w:r>
        <w:t xml:space="preserve">In LTE we have </w:t>
      </w:r>
      <w:r w:rsidR="00150EA3">
        <w:t>o</w:t>
      </w:r>
      <w:r w:rsidR="00DC47B5">
        <w:t xml:space="preserve">ther places an additional </w:t>
      </w:r>
      <w:r>
        <w:t xml:space="preserve">delay </w:t>
      </w:r>
      <w:r w:rsidR="00DC47B5">
        <w:t xml:space="preserve">allowed </w:t>
      </w:r>
      <w:r w:rsidR="00150EA3">
        <w:t>when</w:t>
      </w:r>
      <w:r w:rsidR="00DC47B5">
        <w:t xml:space="preserve"> IDC is configured:</w:t>
      </w:r>
    </w:p>
    <w:p w14:paraId="4EB16A46" w14:textId="77777777" w:rsidR="00DC47B5" w:rsidRDefault="00DC47B5" w:rsidP="00DC47B5">
      <w:pPr>
        <w:ind w:left="720"/>
      </w:pPr>
      <w:r>
        <w:rPr>
          <w:szCs w:val="20"/>
        </w:rPr>
        <w:t xml:space="preserve">When L3 filtering is used or IDC autonomous denial is configured or the UE is performing reception and/or transmission for </w:t>
      </w:r>
      <w:proofErr w:type="spellStart"/>
      <w:r>
        <w:rPr>
          <w:szCs w:val="20"/>
        </w:rPr>
        <w:t>ProSe</w:t>
      </w:r>
      <w:proofErr w:type="spellEnd"/>
      <w:r>
        <w:rPr>
          <w:szCs w:val="20"/>
        </w:rPr>
        <w:t xml:space="preserve"> Direct Discovery and/or </w:t>
      </w:r>
      <w:proofErr w:type="spellStart"/>
      <w:r>
        <w:rPr>
          <w:szCs w:val="20"/>
        </w:rPr>
        <w:t>ProSe</w:t>
      </w:r>
      <w:proofErr w:type="spellEnd"/>
      <w:r>
        <w:rPr>
          <w:szCs w:val="20"/>
        </w:rPr>
        <w:t xml:space="preserve"> Direct Communication, or the UE is configured to perform SRS </w:t>
      </w:r>
      <w:proofErr w:type="gramStart"/>
      <w:r>
        <w:rPr>
          <w:szCs w:val="20"/>
        </w:rPr>
        <w:t>carrier based</w:t>
      </w:r>
      <w:proofErr w:type="gramEnd"/>
      <w:r>
        <w:rPr>
          <w:szCs w:val="20"/>
        </w:rPr>
        <w:t xml:space="preserve"> switching, an additional delay can be expected</w:t>
      </w:r>
    </w:p>
    <w:p w14:paraId="29CA313D" w14:textId="44D7C388" w:rsidR="00A00B7E" w:rsidRDefault="00150EA3" w:rsidP="00DC47B5">
      <w:r>
        <w:t>As agreed</w:t>
      </w:r>
      <w:r w:rsidR="00DC47B5">
        <w:t xml:space="preserve"> RAN4 </w:t>
      </w:r>
      <w:r>
        <w:t xml:space="preserve">has agreed to </w:t>
      </w:r>
      <w:r w:rsidR="00DC47B5">
        <w:t>take a similar approach in NR when defining requirements for a UE which has been provided with an IDC solution</w:t>
      </w:r>
      <w:r>
        <w:t>.</w:t>
      </w:r>
    </w:p>
    <w:p w14:paraId="3883A0FE" w14:textId="19F8E25E" w:rsidR="00150EA3" w:rsidRDefault="002A4755" w:rsidP="00DC47B5">
      <w:r>
        <w:t>In our understanding, when IDC is configured</w:t>
      </w:r>
      <w:r w:rsidR="00087DB3">
        <w:t>,</w:t>
      </w:r>
      <w:r>
        <w:t xml:space="preserve"> it should in general be </w:t>
      </w:r>
      <w:r w:rsidR="00D06960">
        <w:t xml:space="preserve">as agnostic to the existing UE requirements as possible (accounting it is a UE implementation issue in the end). </w:t>
      </w:r>
      <w:r w:rsidR="00087DB3">
        <w:t xml:space="preserve">However, to ensure best overall system performance </w:t>
      </w:r>
      <w:proofErr w:type="gramStart"/>
      <w:r w:rsidR="005310BC">
        <w:t>and also</w:t>
      </w:r>
      <w:proofErr w:type="gramEnd"/>
      <w:r w:rsidR="005310BC">
        <w:t xml:space="preserve"> having clear requirements we suggest </w:t>
      </w:r>
      <w:r w:rsidR="000F486C">
        <w:t>including</w:t>
      </w:r>
      <w:r w:rsidR="005310BC">
        <w:t xml:space="preserve"> a generic requirement in NR</w:t>
      </w:r>
      <w:r w:rsidR="000F486C">
        <w:t>.</w:t>
      </w:r>
    </w:p>
    <w:p w14:paraId="01AD96EC" w14:textId="7B837FFF" w:rsidR="006C518E" w:rsidRDefault="000F486C" w:rsidP="00DC47B5">
      <w:r>
        <w:t>Instead of adding</w:t>
      </w:r>
      <w:r w:rsidR="006C518E">
        <w:t>:</w:t>
      </w:r>
      <w:r>
        <w:t xml:space="preserve"> </w:t>
      </w:r>
    </w:p>
    <w:p w14:paraId="664EFB78" w14:textId="519C58AB" w:rsidR="006C518E" w:rsidRDefault="006C518E" w:rsidP="006C518E">
      <w:pPr>
        <w:ind w:left="720"/>
      </w:pPr>
      <w:r>
        <w:lastRenderedPageBreak/>
        <w:t>‘</w:t>
      </w:r>
      <w:r>
        <w:rPr>
          <w:rFonts w:cs="Times New Roman"/>
          <w:szCs w:val="20"/>
        </w:rPr>
        <w:t xml:space="preserve">When the UE is provided with IDC solution, the UE shall also perform </w:t>
      </w:r>
      <w:r w:rsidR="00F846A7">
        <w:rPr>
          <w:rFonts w:cs="Times New Roman"/>
          <w:szCs w:val="20"/>
        </w:rPr>
        <w:t>‘feature’</w:t>
      </w:r>
      <w:r>
        <w:rPr>
          <w:rFonts w:cs="Times New Roman"/>
          <w:szCs w:val="20"/>
        </w:rPr>
        <w:t xml:space="preserve"> and meet the corresponding requirements in clause</w:t>
      </w:r>
      <w:r w:rsidR="00F846A7">
        <w:rPr>
          <w:rFonts w:cs="Times New Roman"/>
          <w:szCs w:val="20"/>
        </w:rPr>
        <w:t xml:space="preserve"> </w:t>
      </w:r>
      <w:proofErr w:type="spellStart"/>
      <w:r w:rsidR="00F846A7">
        <w:rPr>
          <w:rFonts w:cs="Times New Roman"/>
          <w:szCs w:val="20"/>
        </w:rPr>
        <w:t>x.x.</w:t>
      </w:r>
      <w:proofErr w:type="gramStart"/>
      <w:r w:rsidR="00F846A7">
        <w:rPr>
          <w:rFonts w:cs="Times New Roman"/>
          <w:szCs w:val="20"/>
        </w:rPr>
        <w:t>x</w:t>
      </w:r>
      <w:proofErr w:type="spellEnd"/>
      <w:proofErr w:type="gramEnd"/>
      <w:r>
        <w:t>’</w:t>
      </w:r>
    </w:p>
    <w:p w14:paraId="54B68395" w14:textId="1274B7BA" w:rsidR="000F486C" w:rsidRDefault="006C518E" w:rsidP="00DC47B5">
      <w:r>
        <w:t>In each section, w</w:t>
      </w:r>
      <w:r w:rsidR="000F486C">
        <w:t xml:space="preserve">e </w:t>
      </w:r>
      <w:r>
        <w:t xml:space="preserve">suggest adding a generic requirement in 38.133 </w:t>
      </w:r>
      <w:r w:rsidR="00F75220">
        <w:t xml:space="preserve">addressing </w:t>
      </w:r>
      <w:r w:rsidR="00D16FAC">
        <w:t xml:space="preserve">that the existing requirements are to be met when UE is provided with </w:t>
      </w:r>
      <w:r w:rsidR="00A50CA3">
        <w:t xml:space="preserve">IDC solution. </w:t>
      </w:r>
      <w:r w:rsidR="000D0D04">
        <w:t>Such generic requirement could be included in section 3</w:t>
      </w:r>
      <w:r w:rsidR="004C2412">
        <w:t>.</w:t>
      </w:r>
    </w:p>
    <w:p w14:paraId="329E7A0A" w14:textId="78DAA44F" w:rsidR="004C2412" w:rsidRDefault="004C2412" w:rsidP="004C2412">
      <w:pPr>
        <w:pStyle w:val="RAN4proposal"/>
      </w:pPr>
      <w:r>
        <w:t>Introduce a generic requirement in 38.133 addressing that the existing requirements are to be met when UE is provided with IDC solution.</w:t>
      </w:r>
    </w:p>
    <w:p w14:paraId="4E0FE137" w14:textId="049A5FEF" w:rsidR="006B5E4A" w:rsidRDefault="006B5E4A" w:rsidP="00300956">
      <w:r>
        <w:t>One example how this could be captured, for example in section 3.</w:t>
      </w:r>
      <w:r w:rsidR="00115843">
        <w:t>16</w:t>
      </w:r>
      <w:r>
        <w:t xml:space="preserve">, </w:t>
      </w:r>
      <w:r w:rsidR="00BD2C93">
        <w:t>could be:</w:t>
      </w:r>
    </w:p>
    <w:p w14:paraId="6FC1DE15" w14:textId="436C6CB7" w:rsidR="00BD2C93" w:rsidRDefault="00603C98" w:rsidP="00F92165">
      <w:pPr>
        <w:ind w:left="720"/>
      </w:pPr>
      <w:r>
        <w:t xml:space="preserve">Unless stated otherwise, </w:t>
      </w:r>
      <w:r w:rsidR="003F3774">
        <w:t>for a UE provided with IDC solution</w:t>
      </w:r>
      <w:r w:rsidR="002F546C">
        <w:t xml:space="preserve"> for NR</w:t>
      </w:r>
      <w:r w:rsidR="003F3774">
        <w:t xml:space="preserve">, </w:t>
      </w:r>
      <w:r w:rsidR="00E82317">
        <w:rPr>
          <w:rFonts w:cs="Times New Roman"/>
          <w:szCs w:val="20"/>
        </w:rPr>
        <w:t>UE shall meet the corresponding requirements in all clauses</w:t>
      </w:r>
      <w:r w:rsidR="00E046B5">
        <w:rPr>
          <w:rFonts w:cs="Times New Roman"/>
          <w:szCs w:val="20"/>
        </w:rPr>
        <w:t>.</w:t>
      </w:r>
      <w:r w:rsidR="003F3774">
        <w:t xml:space="preserve"> </w:t>
      </w:r>
    </w:p>
    <w:p w14:paraId="77107FBB" w14:textId="77777777" w:rsidR="006B5E4A" w:rsidRDefault="006B5E4A" w:rsidP="00300956"/>
    <w:p w14:paraId="5A7D92BD" w14:textId="523FDD10" w:rsidR="00A00B7E" w:rsidRDefault="00237B76" w:rsidP="00300956">
      <w:r>
        <w:t xml:space="preserve">For the scenarios when UE is allowed additional relaxation due to being provided with </w:t>
      </w:r>
      <w:r w:rsidR="001E1BCD">
        <w:t>IDC solution, this would then be captured explicitly in each section.</w:t>
      </w:r>
    </w:p>
    <w:p w14:paraId="52856AF3" w14:textId="00A9D3B6" w:rsidR="001E1BCD" w:rsidRDefault="00076E2E" w:rsidP="00076E2E">
      <w:pPr>
        <w:pStyle w:val="RAN4proposal"/>
      </w:pPr>
      <w:r>
        <w:t>Captured explicitly in each section if</w:t>
      </w:r>
      <w:r w:rsidR="001E1BCD">
        <w:t xml:space="preserve"> UE is allowed additional relaxation due to being provided with IDC solution</w:t>
      </w:r>
      <w:r>
        <w:t>.</w:t>
      </w:r>
      <w:r w:rsidR="001E1BCD">
        <w:t xml:space="preserve"> </w:t>
      </w:r>
    </w:p>
    <w:p w14:paraId="4B7E0E0C" w14:textId="59C2512F" w:rsidR="001E1BCD" w:rsidRDefault="005E2C64" w:rsidP="00300956">
      <w:r>
        <w:t xml:space="preserve">Hence, for each section where RAN4 agrees that a UE </w:t>
      </w:r>
      <w:r w:rsidR="00095EEF">
        <w:t>provided with IDC solution, is allowed additional relaxation, RAN4 will explicitly define such relaxation.</w:t>
      </w:r>
    </w:p>
    <w:p w14:paraId="1F8CBF73" w14:textId="77777777" w:rsidR="005E2C64" w:rsidRDefault="005E2C64" w:rsidP="00300956"/>
    <w:p w14:paraId="743676D4" w14:textId="63678FE2" w:rsidR="009D5B0F" w:rsidRDefault="009D5B0F" w:rsidP="003729A6">
      <w:pPr>
        <w:pStyle w:val="RAN4H2"/>
      </w:pPr>
      <w:r>
        <w:t xml:space="preserve">LS </w:t>
      </w:r>
      <w:r w:rsidR="003729A6">
        <w:t>discussion</w:t>
      </w:r>
    </w:p>
    <w:p w14:paraId="44D8E45D" w14:textId="3B1349E2" w:rsidR="00945556" w:rsidRDefault="003729A6" w:rsidP="00300956">
      <w:r>
        <w:t>RAN2 sent another LS to RAN4 in [2]</w:t>
      </w:r>
      <w:r w:rsidR="002F546C">
        <w:t>.</w:t>
      </w:r>
      <w:r w:rsidR="00945556">
        <w:t xml:space="preserve"> The LS includes multiple aspects which we address next.</w:t>
      </w:r>
    </w:p>
    <w:p w14:paraId="02062816" w14:textId="67EB2386" w:rsidR="00945556" w:rsidRPr="00193688" w:rsidRDefault="00193688" w:rsidP="00193688">
      <w:pPr>
        <w:pStyle w:val="ListParagraph"/>
        <w:numPr>
          <w:ilvl w:val="0"/>
          <w:numId w:val="27"/>
        </w:numPr>
      </w:pPr>
      <w:r>
        <w:t>The LTE autonomous denial configuration is only for the LTE frequency in EN-DC</w:t>
      </w:r>
      <w:r w:rsidRPr="00193688">
        <w:rPr>
          <w:rFonts w:asciiTheme="minorEastAsia" w:eastAsiaTheme="minorEastAsia" w:hAnsiTheme="minorEastAsia" w:hint="eastAsia"/>
          <w:lang w:eastAsia="zh-CN"/>
        </w:rPr>
        <w:t>.</w:t>
      </w:r>
    </w:p>
    <w:p w14:paraId="33D1379B" w14:textId="67EAD0A4" w:rsidR="00193688" w:rsidRPr="00482DC1" w:rsidRDefault="00482DC1" w:rsidP="00193688">
      <w:pPr>
        <w:pStyle w:val="ListParagraph"/>
        <w:numPr>
          <w:ilvl w:val="1"/>
          <w:numId w:val="27"/>
        </w:numPr>
        <w:rPr>
          <w:rFonts w:cs="Times New Roman"/>
        </w:rPr>
      </w:pPr>
      <w:r w:rsidRPr="00482DC1">
        <w:rPr>
          <w:rFonts w:eastAsiaTheme="minorEastAsia" w:cs="Times New Roman"/>
          <w:lang w:eastAsia="zh-CN"/>
        </w:rPr>
        <w:t xml:space="preserve">Hence, if the UE is </w:t>
      </w:r>
      <w:r>
        <w:rPr>
          <w:rFonts w:eastAsiaTheme="minorEastAsia" w:cs="Times New Roman"/>
          <w:lang w:eastAsia="zh-CN"/>
        </w:rPr>
        <w:t xml:space="preserve">provided with IDC solution </w:t>
      </w:r>
      <w:r w:rsidR="00270D2F">
        <w:rPr>
          <w:rFonts w:eastAsiaTheme="minorEastAsia" w:cs="Times New Roman"/>
          <w:lang w:eastAsia="zh-CN"/>
        </w:rPr>
        <w:t>in LTE such solution is only applicable to LTE carriers. Hence, there shall be no impact on the NR frequencies.</w:t>
      </w:r>
      <w:r w:rsidR="005D397F">
        <w:rPr>
          <w:rFonts w:eastAsiaTheme="minorEastAsia" w:cs="Times New Roman"/>
          <w:lang w:eastAsia="zh-CN"/>
        </w:rPr>
        <w:t xml:space="preserve"> This may need a clarification in 36.133.</w:t>
      </w:r>
    </w:p>
    <w:p w14:paraId="7CBFDF6C" w14:textId="0365CACF" w:rsidR="00193688" w:rsidRDefault="002B2728" w:rsidP="00862253">
      <w:pPr>
        <w:pStyle w:val="RAN4proposal"/>
      </w:pPr>
      <w:r>
        <w:t>Clarify in 36.133 that LTE autonomous denial configuration is only for the LTE frequency in EN-DC</w:t>
      </w:r>
      <w:r w:rsidR="00862253">
        <w:t>.</w:t>
      </w:r>
    </w:p>
    <w:p w14:paraId="7D29BF2B" w14:textId="7BEFBB06" w:rsidR="003729A6" w:rsidRDefault="00864E84" w:rsidP="00862253">
      <w:pPr>
        <w:pStyle w:val="ListParagraph"/>
        <w:numPr>
          <w:ilvl w:val="0"/>
          <w:numId w:val="27"/>
        </w:numPr>
      </w:pPr>
      <w:r w:rsidRPr="00A9341C">
        <w:t>The UE sums up the denied UL slots together across all CC(s) in the CG</w:t>
      </w:r>
      <w:r w:rsidR="00947F02">
        <w:t>.</w:t>
      </w:r>
    </w:p>
    <w:p w14:paraId="55D11FB2" w14:textId="36E6C25A" w:rsidR="00864E84" w:rsidRDefault="00947F02" w:rsidP="00862253">
      <w:pPr>
        <w:pStyle w:val="ListParagraph"/>
        <w:numPr>
          <w:ilvl w:val="0"/>
          <w:numId w:val="27"/>
        </w:numPr>
      </w:pPr>
      <w:r w:rsidRPr="005439D7">
        <w:t xml:space="preserve">The UE sums up the UL slots together across all CC(s) in the CG as validity </w:t>
      </w:r>
      <w:proofErr w:type="gramStart"/>
      <w:r w:rsidRPr="005439D7">
        <w:t>time period</w:t>
      </w:r>
      <w:proofErr w:type="gramEnd"/>
      <w:r>
        <w:t>.</w:t>
      </w:r>
    </w:p>
    <w:p w14:paraId="10DF4077" w14:textId="25408EFF" w:rsidR="00947F02" w:rsidRDefault="00AE75E1" w:rsidP="00862253">
      <w:pPr>
        <w:pStyle w:val="ListParagraph"/>
        <w:numPr>
          <w:ilvl w:val="0"/>
          <w:numId w:val="27"/>
        </w:numPr>
      </w:pPr>
      <w:r w:rsidRPr="00A9341C">
        <w:t>The dropped</w:t>
      </w:r>
      <w:r>
        <w:t>/denied</w:t>
      </w:r>
      <w:r w:rsidRPr="00A9341C">
        <w:t xml:space="preserve"> UL slots across CCs at the same time are counted as a single slot</w:t>
      </w:r>
      <w:r>
        <w:t xml:space="preserve"> (based on longest slot)</w:t>
      </w:r>
      <w:r w:rsidRPr="00A9341C">
        <w:t>.</w:t>
      </w:r>
      <w:r>
        <w:t xml:space="preserve"> The details are up to UE implementation.</w:t>
      </w:r>
    </w:p>
    <w:p w14:paraId="50FD0A74" w14:textId="5548DF3D" w:rsidR="002B2728" w:rsidRDefault="00CD7F65" w:rsidP="00300956">
      <w:r>
        <w:t xml:space="preserve">It is not clear </w:t>
      </w:r>
      <w:r w:rsidR="0041576D">
        <w:t>if this has direct RAN4 impact but sets the rules how the UE shall</w:t>
      </w:r>
      <w:r w:rsidR="00BE0096">
        <w:t xml:space="preserve"> sum and count the denied UL slots. In the end RAN2 also informs </w:t>
      </w:r>
      <w:r w:rsidR="0099066A">
        <w:t>the details are up to the UE implementation.</w:t>
      </w:r>
    </w:p>
    <w:p w14:paraId="35542034" w14:textId="3FAD8DEF" w:rsidR="00783282" w:rsidRDefault="0099066A" w:rsidP="00300956">
      <w:r>
        <w:t>However, RAN4 has captured following in 36.133:</w:t>
      </w:r>
    </w:p>
    <w:p w14:paraId="5B601A9B" w14:textId="4962E558" w:rsidR="00783282" w:rsidRDefault="00783282" w:rsidP="0099066A">
      <w:pPr>
        <w:ind w:left="431"/>
      </w:pPr>
      <w:r>
        <w:rPr>
          <w:b/>
          <w:bCs/>
          <w:szCs w:val="20"/>
        </w:rPr>
        <w:t xml:space="preserve">IDC autonomous denial subframes: </w:t>
      </w:r>
      <w:r>
        <w:rPr>
          <w:szCs w:val="20"/>
        </w:rPr>
        <w:t xml:space="preserve">The maximum number of </w:t>
      </w:r>
      <w:proofErr w:type="gramStart"/>
      <w:r>
        <w:rPr>
          <w:szCs w:val="20"/>
        </w:rPr>
        <w:t>uplink</w:t>
      </w:r>
      <w:proofErr w:type="gramEnd"/>
      <w:r>
        <w:rPr>
          <w:szCs w:val="20"/>
        </w:rPr>
        <w:t xml:space="preserve"> subframes in which the UE is allowed not to transmit E-UTRAN signals when configured with IDC autonomous denial (TS 36.331 [2]).</w:t>
      </w:r>
    </w:p>
    <w:p w14:paraId="6C671378" w14:textId="767FFB58" w:rsidR="00783282" w:rsidRDefault="0099066A" w:rsidP="00300956">
      <w:r>
        <w:t xml:space="preserve">If similar is defined in 38.331 it may be captured in 38.133 together with other definitions regarding IDC to be included in </w:t>
      </w:r>
      <w:r w:rsidR="00404C63">
        <w:t>section 3.1.</w:t>
      </w:r>
    </w:p>
    <w:p w14:paraId="1AA4FACE" w14:textId="77777777" w:rsidR="0099066A" w:rsidRDefault="0099066A" w:rsidP="00300956"/>
    <w:p w14:paraId="048D8AE4" w14:textId="5BC935E9" w:rsidR="00891E45" w:rsidRDefault="00891E45" w:rsidP="00891E45">
      <w:pPr>
        <w:pStyle w:val="RAN4H2"/>
      </w:pPr>
      <w:r>
        <w:t xml:space="preserve">TP for capturing the generic UE </w:t>
      </w:r>
      <w:proofErr w:type="gramStart"/>
      <w:r>
        <w:t>requirement</w:t>
      </w:r>
      <w:proofErr w:type="gramEnd"/>
    </w:p>
    <w:p w14:paraId="444B4791" w14:textId="50070E57" w:rsidR="0060543D" w:rsidRDefault="004C4D3B" w:rsidP="0060543D">
      <w:r>
        <w:t>TP for 38.133:</w:t>
      </w:r>
    </w:p>
    <w:p w14:paraId="3EB69457" w14:textId="2720ED3D" w:rsidR="004C4D3B" w:rsidRPr="004C4D3B" w:rsidRDefault="004C4D3B" w:rsidP="009D5B0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85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en-GB"/>
        </w:rPr>
      </w:pPr>
      <w:r w:rsidRPr="004C4D3B">
        <w:rPr>
          <w:rFonts w:ascii="Arial" w:eastAsia="Times New Roman" w:hAnsi="Arial" w:cs="Times New Roman"/>
          <w:sz w:val="28"/>
          <w:szCs w:val="20"/>
          <w:lang w:eastAsia="ko-KR"/>
        </w:rPr>
        <w:lastRenderedPageBreak/>
        <w:t>3.6.15</w:t>
      </w:r>
      <w:r w:rsidRPr="004C4D3B">
        <w:rPr>
          <w:rFonts w:ascii="Arial" w:eastAsia="Times New Roman" w:hAnsi="Arial" w:cs="Times New Roman"/>
          <w:sz w:val="28"/>
          <w:szCs w:val="20"/>
          <w:lang w:eastAsia="ko-KR"/>
        </w:rPr>
        <w:tab/>
      </w:r>
      <w:r w:rsidRPr="004C4D3B">
        <w:rPr>
          <w:rFonts w:ascii="Arial" w:eastAsia="Times New Roman" w:hAnsi="Arial" w:cs="Times New Roman"/>
          <w:sz w:val="28"/>
          <w:szCs w:val="20"/>
          <w:lang w:val="en-GB" w:eastAsia="en-GB"/>
        </w:rPr>
        <w:t xml:space="preserve">Applicability of requirements for </w:t>
      </w:r>
      <w:r>
        <w:rPr>
          <w:rFonts w:ascii="Arial" w:eastAsia="Times New Roman" w:hAnsi="Arial" w:cs="Times New Roman"/>
          <w:sz w:val="28"/>
          <w:szCs w:val="20"/>
          <w:lang w:val="en-GB" w:eastAsia="en-GB"/>
        </w:rPr>
        <w:t xml:space="preserve">a UE provided with IDC </w:t>
      </w:r>
      <w:proofErr w:type="gramStart"/>
      <w:r>
        <w:rPr>
          <w:rFonts w:ascii="Arial" w:eastAsia="Times New Roman" w:hAnsi="Arial" w:cs="Times New Roman"/>
          <w:sz w:val="28"/>
          <w:szCs w:val="20"/>
          <w:lang w:val="en-GB" w:eastAsia="en-GB"/>
        </w:rPr>
        <w:t>solution</w:t>
      </w:r>
      <w:proofErr w:type="gramEnd"/>
    </w:p>
    <w:p w14:paraId="7D65A45E" w14:textId="54892150" w:rsidR="004C4D3B" w:rsidRPr="004C4D3B" w:rsidRDefault="004C4D3B" w:rsidP="009D5B0F">
      <w:pPr>
        <w:overflowPunct w:val="0"/>
        <w:autoSpaceDE w:val="0"/>
        <w:autoSpaceDN w:val="0"/>
        <w:adjustRightInd w:val="0"/>
        <w:spacing w:after="180" w:line="240" w:lineRule="auto"/>
        <w:ind w:left="720"/>
        <w:textAlignment w:val="baseline"/>
        <w:rPr>
          <w:rFonts w:eastAsia="Times New Roman" w:cs="Times New Roman"/>
          <w:szCs w:val="20"/>
          <w:lang w:val="en-GB" w:eastAsia="en-GB"/>
        </w:rPr>
      </w:pPr>
      <w:r>
        <w:t>Unless stated otherwise, for a UE provided with IDC solution</w:t>
      </w:r>
      <w:r w:rsidR="00495E3F">
        <w:t xml:space="preserve"> for NR</w:t>
      </w:r>
      <w:r>
        <w:t xml:space="preserve">, </w:t>
      </w:r>
      <w:r>
        <w:rPr>
          <w:rFonts w:cs="Times New Roman"/>
          <w:szCs w:val="20"/>
        </w:rPr>
        <w:t>UE shall meet the corresponding requirements in all clauses</w:t>
      </w:r>
      <w:r w:rsidR="009D5B0F">
        <w:rPr>
          <w:rFonts w:cs="Times New Roman"/>
          <w:szCs w:val="20"/>
        </w:rPr>
        <w:t>.</w:t>
      </w:r>
    </w:p>
    <w:p w14:paraId="41479D42" w14:textId="77777777" w:rsidR="00891E45" w:rsidRPr="008C39F7" w:rsidRDefault="00891E45" w:rsidP="0060543D"/>
    <w:p w14:paraId="17056DE7" w14:textId="77777777" w:rsidR="00CD7492" w:rsidRPr="008C39F7" w:rsidRDefault="00CD7492" w:rsidP="00A37002">
      <w:pPr>
        <w:pStyle w:val="RAN4H1"/>
      </w:pPr>
      <w:bookmarkStart w:id="5" w:name="_Toc116995848"/>
      <w:r w:rsidRPr="008C39F7">
        <w:t>Conclusion</w:t>
      </w:r>
      <w:bookmarkEnd w:id="5"/>
    </w:p>
    <w:p w14:paraId="4EDF8B5C" w14:textId="77E4259B" w:rsidR="000D2A7C" w:rsidRDefault="005F0D2C" w:rsidP="005C23A4">
      <w:r>
        <w:t xml:space="preserve">In this paper we continue the discussion </w:t>
      </w:r>
      <w:r w:rsidR="000D2A7C">
        <w:t>related to</w:t>
      </w:r>
      <w:r>
        <w:t xml:space="preserve"> the IDC aspects</w:t>
      </w:r>
      <w:r w:rsidR="000D2A7C">
        <w:t>. Based on the discussion we propose:</w:t>
      </w:r>
    </w:p>
    <w:p w14:paraId="2739B413" w14:textId="77777777" w:rsidR="000D2A7C" w:rsidRDefault="000D2A7C" w:rsidP="000D2A7C">
      <w:pPr>
        <w:pStyle w:val="RAN4proposal"/>
        <w:numPr>
          <w:ilvl w:val="0"/>
          <w:numId w:val="28"/>
        </w:numPr>
      </w:pPr>
      <w:r>
        <w:t>Introduce a generic requirement in 38.133 addressing that the existing requirements are to be met when UE is provided with IDC solution.</w:t>
      </w:r>
    </w:p>
    <w:p w14:paraId="5EBA934B" w14:textId="77777777" w:rsidR="000D2A7C" w:rsidRDefault="000D2A7C" w:rsidP="000D2A7C">
      <w:pPr>
        <w:pStyle w:val="RAN4proposal"/>
        <w:numPr>
          <w:ilvl w:val="0"/>
          <w:numId w:val="28"/>
        </w:numPr>
      </w:pPr>
      <w:r>
        <w:t xml:space="preserve">Captured explicitly in each section if UE is allowed additional relaxation due to being provided with IDC solution. </w:t>
      </w:r>
    </w:p>
    <w:p w14:paraId="3EF918C0" w14:textId="77777777" w:rsidR="000D2A7C" w:rsidRDefault="000D2A7C" w:rsidP="000D2A7C">
      <w:pPr>
        <w:pStyle w:val="RAN4proposal"/>
        <w:numPr>
          <w:ilvl w:val="0"/>
          <w:numId w:val="28"/>
        </w:numPr>
      </w:pPr>
      <w:r>
        <w:t>Clarify in 36.133 that LTE autonomous denial configuration is only for the LTE frequency in EN-DC.</w:t>
      </w:r>
    </w:p>
    <w:p w14:paraId="1302628F" w14:textId="77777777" w:rsidR="000D2A7C" w:rsidRDefault="000D2A7C" w:rsidP="005C23A4"/>
    <w:p w14:paraId="6CDC6A85" w14:textId="2ECDC263" w:rsidR="007C5971" w:rsidRPr="008C39F7" w:rsidRDefault="000D2A7C" w:rsidP="005C23A4">
      <w:r>
        <w:t xml:space="preserve">We also provide one TP for capturing the generic assumption regarding the </w:t>
      </w:r>
      <w:proofErr w:type="spellStart"/>
      <w:r>
        <w:t>Ue</w:t>
      </w:r>
      <w:proofErr w:type="spellEnd"/>
      <w:r>
        <w:t xml:space="preserve"> requirements when the </w:t>
      </w:r>
      <w:proofErr w:type="spellStart"/>
      <w:r>
        <w:t>Ue</w:t>
      </w:r>
      <w:proofErr w:type="spellEnd"/>
      <w:r>
        <w:t xml:space="preserve"> has been provided with an IDC solution.</w:t>
      </w:r>
      <w:r w:rsidR="005F0D2C">
        <w:t xml:space="preserve"> </w:t>
      </w:r>
    </w:p>
    <w:p w14:paraId="60648528" w14:textId="19C33DB4" w:rsidR="00847264" w:rsidRPr="008C39F7" w:rsidRDefault="00847264" w:rsidP="008C39F7">
      <w:bookmarkStart w:id="6" w:name="_Toc116995849"/>
    </w:p>
    <w:p w14:paraId="0B552A59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6"/>
    </w:p>
    <w:p w14:paraId="5D465180" w14:textId="360304F8" w:rsidR="00687FA0" w:rsidRPr="008C39F7" w:rsidRDefault="009F44D1" w:rsidP="00D66188">
      <w:pPr>
        <w:pStyle w:val="ListParagraph"/>
        <w:numPr>
          <w:ilvl w:val="0"/>
          <w:numId w:val="21"/>
        </w:numPr>
        <w:ind w:right="-22"/>
      </w:pPr>
      <w:bookmarkStart w:id="7" w:name="_Ref114500673"/>
      <w:bookmarkEnd w:id="7"/>
      <w:r w:rsidRPr="008B3A4F">
        <w:t>R4-2310162</w:t>
      </w:r>
      <w:r>
        <w:t xml:space="preserve">, </w:t>
      </w:r>
      <w:r w:rsidRPr="008B3A4F">
        <w:t>WF on IDC enhancements</w:t>
      </w:r>
      <w:r>
        <w:t>, Xiaomi</w:t>
      </w:r>
      <w:r w:rsidR="000040DC" w:rsidRPr="008C39F7">
        <w:t xml:space="preserve">. </w:t>
      </w:r>
    </w:p>
    <w:p w14:paraId="6DB18C0A" w14:textId="73BA40A8" w:rsidR="000040DC" w:rsidRDefault="00CB340C" w:rsidP="000040DC">
      <w:pPr>
        <w:pStyle w:val="ListParagraph"/>
        <w:numPr>
          <w:ilvl w:val="0"/>
          <w:numId w:val="21"/>
        </w:numPr>
        <w:ind w:right="-22"/>
      </w:pPr>
      <w:r w:rsidRPr="00E0767A">
        <w:t>R2-2306594</w:t>
      </w:r>
      <w:r>
        <w:t xml:space="preserve">, </w:t>
      </w:r>
      <w:r w:rsidRPr="00D40578">
        <w:t>LS on autonomous denial</w:t>
      </w:r>
      <w:r>
        <w:t xml:space="preserve"> RAN2</w:t>
      </w:r>
      <w:r w:rsidR="000040DC" w:rsidRPr="008C39F7">
        <w:t xml:space="preserve">. </w:t>
      </w:r>
    </w:p>
    <w:p w14:paraId="565B4DB6" w14:textId="77777777" w:rsidR="00A00B7E" w:rsidRPr="003C4FDE" w:rsidRDefault="00A00B7E" w:rsidP="00A00B7E">
      <w:pPr>
        <w:pStyle w:val="ListParagraph"/>
        <w:numPr>
          <w:ilvl w:val="0"/>
          <w:numId w:val="21"/>
        </w:numPr>
        <w:ind w:right="-22"/>
      </w:pPr>
      <w:r w:rsidRPr="00473D9F">
        <w:t>R2-2302074</w:t>
      </w:r>
      <w:r w:rsidRPr="003C4FDE">
        <w:t xml:space="preserve">, </w:t>
      </w:r>
      <w:r w:rsidRPr="00473D9F">
        <w:t>LS to RAN4 on autonomous denial for IDC</w:t>
      </w:r>
      <w:r w:rsidRPr="003C4FDE">
        <w:t xml:space="preserve">, </w:t>
      </w:r>
      <w:r>
        <w:t>RAN2</w:t>
      </w:r>
      <w:r w:rsidRPr="003C4FDE">
        <w:t xml:space="preserve">. </w:t>
      </w:r>
    </w:p>
    <w:p w14:paraId="11E9EDFA" w14:textId="77777777" w:rsidR="00A00B7E" w:rsidRPr="00847264" w:rsidRDefault="00A00B7E" w:rsidP="00A00B7E">
      <w:pPr>
        <w:pStyle w:val="ListParagraph"/>
        <w:ind w:right="-22"/>
      </w:pPr>
    </w:p>
    <w:sectPr w:rsidR="00A00B7E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7E4D7" w14:textId="77777777" w:rsidR="00C106DC" w:rsidRDefault="00C106DC" w:rsidP="00001C9B">
      <w:pPr>
        <w:spacing w:after="0" w:line="240" w:lineRule="auto"/>
      </w:pPr>
      <w:r>
        <w:separator/>
      </w:r>
    </w:p>
  </w:endnote>
  <w:endnote w:type="continuationSeparator" w:id="0">
    <w:p w14:paraId="1BCDB5B9" w14:textId="77777777" w:rsidR="00C106DC" w:rsidRDefault="00C106D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AC853" w14:textId="77777777" w:rsidR="00C106DC" w:rsidRDefault="00C106DC" w:rsidP="00001C9B">
      <w:pPr>
        <w:spacing w:after="0" w:line="240" w:lineRule="auto"/>
      </w:pPr>
      <w:r>
        <w:separator/>
      </w:r>
    </w:p>
  </w:footnote>
  <w:footnote w:type="continuationSeparator" w:id="0">
    <w:p w14:paraId="4B0B5C61" w14:textId="77777777" w:rsidR="00C106DC" w:rsidRDefault="00C106D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A0BA9"/>
    <w:multiLevelType w:val="hybridMultilevel"/>
    <w:tmpl w:val="E4D8BC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9"/>
  </w:num>
  <w:num w:numId="4" w16cid:durableId="517735681">
    <w:abstractNumId w:val="4"/>
  </w:num>
  <w:num w:numId="5" w16cid:durableId="1142041724">
    <w:abstractNumId w:val="13"/>
  </w:num>
  <w:num w:numId="6" w16cid:durableId="80681869">
    <w:abstractNumId w:val="7"/>
  </w:num>
  <w:num w:numId="7" w16cid:durableId="1566528953">
    <w:abstractNumId w:val="8"/>
  </w:num>
  <w:num w:numId="8" w16cid:durableId="809788981">
    <w:abstractNumId w:val="8"/>
    <w:lvlOverride w:ilvl="0">
      <w:startOverride w:val="1"/>
    </w:lvlOverride>
  </w:num>
  <w:num w:numId="9" w16cid:durableId="1398822153">
    <w:abstractNumId w:val="8"/>
    <w:lvlOverride w:ilvl="0">
      <w:startOverride w:val="1"/>
    </w:lvlOverride>
  </w:num>
  <w:num w:numId="10" w16cid:durableId="1825466284">
    <w:abstractNumId w:val="8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8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8"/>
    <w:lvlOverride w:ilvl="0">
      <w:startOverride w:val="1"/>
    </w:lvlOverride>
  </w:num>
  <w:num w:numId="15" w16cid:durableId="438372887">
    <w:abstractNumId w:val="14"/>
  </w:num>
  <w:num w:numId="16" w16cid:durableId="516113510">
    <w:abstractNumId w:val="3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1"/>
  </w:num>
  <w:num w:numId="22" w16cid:durableId="1938362445">
    <w:abstractNumId w:val="7"/>
    <w:lvlOverride w:ilvl="0">
      <w:startOverride w:val="1"/>
    </w:lvlOverride>
  </w:num>
  <w:num w:numId="23" w16cid:durableId="913515990">
    <w:abstractNumId w:val="8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260941231">
    <w:abstractNumId w:val="10"/>
  </w:num>
  <w:num w:numId="28" w16cid:durableId="271868045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A673D"/>
    <w:rsid w:val="00001C9B"/>
    <w:rsid w:val="000040DC"/>
    <w:rsid w:val="00011784"/>
    <w:rsid w:val="000151EF"/>
    <w:rsid w:val="000239F5"/>
    <w:rsid w:val="000757C7"/>
    <w:rsid w:val="00076E2E"/>
    <w:rsid w:val="0008612A"/>
    <w:rsid w:val="00087DB3"/>
    <w:rsid w:val="00090E18"/>
    <w:rsid w:val="00095EEF"/>
    <w:rsid w:val="000A10BC"/>
    <w:rsid w:val="000B0056"/>
    <w:rsid w:val="000C3C7B"/>
    <w:rsid w:val="000D0D04"/>
    <w:rsid w:val="000D0F93"/>
    <w:rsid w:val="000D2A7C"/>
    <w:rsid w:val="000F486C"/>
    <w:rsid w:val="00106416"/>
    <w:rsid w:val="00110481"/>
    <w:rsid w:val="001127C9"/>
    <w:rsid w:val="00114498"/>
    <w:rsid w:val="00115843"/>
    <w:rsid w:val="00115B88"/>
    <w:rsid w:val="00124234"/>
    <w:rsid w:val="00132F6A"/>
    <w:rsid w:val="00133913"/>
    <w:rsid w:val="00140221"/>
    <w:rsid w:val="00150EA3"/>
    <w:rsid w:val="001642FC"/>
    <w:rsid w:val="0016496B"/>
    <w:rsid w:val="00166989"/>
    <w:rsid w:val="001743E2"/>
    <w:rsid w:val="001745F8"/>
    <w:rsid w:val="001838CF"/>
    <w:rsid w:val="001868EE"/>
    <w:rsid w:val="00193688"/>
    <w:rsid w:val="001A3BA4"/>
    <w:rsid w:val="001A6D1F"/>
    <w:rsid w:val="001E1BCD"/>
    <w:rsid w:val="001E30F6"/>
    <w:rsid w:val="00217EE5"/>
    <w:rsid w:val="00224F6A"/>
    <w:rsid w:val="00235F5C"/>
    <w:rsid w:val="00237B76"/>
    <w:rsid w:val="00257FA3"/>
    <w:rsid w:val="00270D2F"/>
    <w:rsid w:val="00277B56"/>
    <w:rsid w:val="002A19F5"/>
    <w:rsid w:val="002A4755"/>
    <w:rsid w:val="002B2728"/>
    <w:rsid w:val="002B4922"/>
    <w:rsid w:val="002C22C3"/>
    <w:rsid w:val="002C2D19"/>
    <w:rsid w:val="002D10FA"/>
    <w:rsid w:val="002D4C55"/>
    <w:rsid w:val="002E6DED"/>
    <w:rsid w:val="002F546C"/>
    <w:rsid w:val="00300956"/>
    <w:rsid w:val="00317187"/>
    <w:rsid w:val="0032499A"/>
    <w:rsid w:val="003341F7"/>
    <w:rsid w:val="00347FEC"/>
    <w:rsid w:val="003509DF"/>
    <w:rsid w:val="00356F45"/>
    <w:rsid w:val="00366B74"/>
    <w:rsid w:val="003729A6"/>
    <w:rsid w:val="003A710A"/>
    <w:rsid w:val="003B659E"/>
    <w:rsid w:val="003C275E"/>
    <w:rsid w:val="003C2BFD"/>
    <w:rsid w:val="003C4FDE"/>
    <w:rsid w:val="003E58DF"/>
    <w:rsid w:val="003F3774"/>
    <w:rsid w:val="003F7FA6"/>
    <w:rsid w:val="00404C4C"/>
    <w:rsid w:val="00404C63"/>
    <w:rsid w:val="0041423F"/>
    <w:rsid w:val="00414F81"/>
    <w:rsid w:val="0041576D"/>
    <w:rsid w:val="00432BA1"/>
    <w:rsid w:val="00436A0F"/>
    <w:rsid w:val="00437150"/>
    <w:rsid w:val="0043750A"/>
    <w:rsid w:val="00447577"/>
    <w:rsid w:val="004732E9"/>
    <w:rsid w:val="00482DC1"/>
    <w:rsid w:val="004854BB"/>
    <w:rsid w:val="00494493"/>
    <w:rsid w:val="00495E3F"/>
    <w:rsid w:val="00496606"/>
    <w:rsid w:val="004A620C"/>
    <w:rsid w:val="004A694B"/>
    <w:rsid w:val="004C106E"/>
    <w:rsid w:val="004C2412"/>
    <w:rsid w:val="004C4D3B"/>
    <w:rsid w:val="004E5E66"/>
    <w:rsid w:val="004E7ADB"/>
    <w:rsid w:val="00503B4D"/>
    <w:rsid w:val="00504EE9"/>
    <w:rsid w:val="00521576"/>
    <w:rsid w:val="005250E6"/>
    <w:rsid w:val="005310BC"/>
    <w:rsid w:val="00542D23"/>
    <w:rsid w:val="0054442C"/>
    <w:rsid w:val="00550285"/>
    <w:rsid w:val="00562492"/>
    <w:rsid w:val="00572A20"/>
    <w:rsid w:val="005836F8"/>
    <w:rsid w:val="005918FA"/>
    <w:rsid w:val="00592A86"/>
    <w:rsid w:val="005B4801"/>
    <w:rsid w:val="005C23A4"/>
    <w:rsid w:val="005D1CDF"/>
    <w:rsid w:val="005D2BB7"/>
    <w:rsid w:val="005D397F"/>
    <w:rsid w:val="005E2C64"/>
    <w:rsid w:val="005E61A8"/>
    <w:rsid w:val="005F0D2C"/>
    <w:rsid w:val="005F6419"/>
    <w:rsid w:val="00603C98"/>
    <w:rsid w:val="0060543D"/>
    <w:rsid w:val="006104DD"/>
    <w:rsid w:val="006130B5"/>
    <w:rsid w:val="00617400"/>
    <w:rsid w:val="00632D29"/>
    <w:rsid w:val="00664950"/>
    <w:rsid w:val="00683220"/>
    <w:rsid w:val="00687FA0"/>
    <w:rsid w:val="006A3C11"/>
    <w:rsid w:val="006B5E4A"/>
    <w:rsid w:val="006B7010"/>
    <w:rsid w:val="006C3095"/>
    <w:rsid w:val="006C518E"/>
    <w:rsid w:val="006E1151"/>
    <w:rsid w:val="006E6311"/>
    <w:rsid w:val="006F6855"/>
    <w:rsid w:val="007145FF"/>
    <w:rsid w:val="00715B2A"/>
    <w:rsid w:val="007450F1"/>
    <w:rsid w:val="00747E68"/>
    <w:rsid w:val="00751515"/>
    <w:rsid w:val="007626B7"/>
    <w:rsid w:val="0078212B"/>
    <w:rsid w:val="00783282"/>
    <w:rsid w:val="00784DF6"/>
    <w:rsid w:val="00785232"/>
    <w:rsid w:val="007A673D"/>
    <w:rsid w:val="007B186C"/>
    <w:rsid w:val="007C1696"/>
    <w:rsid w:val="007C3ED0"/>
    <w:rsid w:val="007C5971"/>
    <w:rsid w:val="007F54B9"/>
    <w:rsid w:val="00806A76"/>
    <w:rsid w:val="00811C9D"/>
    <w:rsid w:val="00816C80"/>
    <w:rsid w:val="00841BCD"/>
    <w:rsid w:val="00847264"/>
    <w:rsid w:val="00851A8E"/>
    <w:rsid w:val="0085365B"/>
    <w:rsid w:val="00862253"/>
    <w:rsid w:val="00864E84"/>
    <w:rsid w:val="008826C1"/>
    <w:rsid w:val="00883DFD"/>
    <w:rsid w:val="00891E45"/>
    <w:rsid w:val="008A1BF7"/>
    <w:rsid w:val="008A5B0E"/>
    <w:rsid w:val="008B0961"/>
    <w:rsid w:val="008C39F7"/>
    <w:rsid w:val="0090091A"/>
    <w:rsid w:val="009042BD"/>
    <w:rsid w:val="00904FE4"/>
    <w:rsid w:val="00936159"/>
    <w:rsid w:val="00945556"/>
    <w:rsid w:val="00947F02"/>
    <w:rsid w:val="00977E1D"/>
    <w:rsid w:val="0099066A"/>
    <w:rsid w:val="009B0573"/>
    <w:rsid w:val="009B7B4B"/>
    <w:rsid w:val="009B7C21"/>
    <w:rsid w:val="009D5B0F"/>
    <w:rsid w:val="009F44D1"/>
    <w:rsid w:val="00A00B7E"/>
    <w:rsid w:val="00A04992"/>
    <w:rsid w:val="00A126DF"/>
    <w:rsid w:val="00A147AA"/>
    <w:rsid w:val="00A21D71"/>
    <w:rsid w:val="00A22B78"/>
    <w:rsid w:val="00A25AE5"/>
    <w:rsid w:val="00A37002"/>
    <w:rsid w:val="00A4355E"/>
    <w:rsid w:val="00A50CA3"/>
    <w:rsid w:val="00A520D9"/>
    <w:rsid w:val="00A569A7"/>
    <w:rsid w:val="00A67CF4"/>
    <w:rsid w:val="00A92BCD"/>
    <w:rsid w:val="00AA1B0E"/>
    <w:rsid w:val="00AA47B6"/>
    <w:rsid w:val="00AB19C0"/>
    <w:rsid w:val="00AC163B"/>
    <w:rsid w:val="00AC5CA7"/>
    <w:rsid w:val="00AC6058"/>
    <w:rsid w:val="00AE2BA5"/>
    <w:rsid w:val="00AE56B1"/>
    <w:rsid w:val="00AE6D09"/>
    <w:rsid w:val="00AE75E1"/>
    <w:rsid w:val="00AF7A7C"/>
    <w:rsid w:val="00B02070"/>
    <w:rsid w:val="00B408B6"/>
    <w:rsid w:val="00B542DA"/>
    <w:rsid w:val="00B73862"/>
    <w:rsid w:val="00B73F43"/>
    <w:rsid w:val="00B75BBF"/>
    <w:rsid w:val="00BA6B66"/>
    <w:rsid w:val="00BA6E48"/>
    <w:rsid w:val="00BC4000"/>
    <w:rsid w:val="00BD2C93"/>
    <w:rsid w:val="00BE0096"/>
    <w:rsid w:val="00BE0AF6"/>
    <w:rsid w:val="00BE1F03"/>
    <w:rsid w:val="00BE58A7"/>
    <w:rsid w:val="00BF2218"/>
    <w:rsid w:val="00C0426B"/>
    <w:rsid w:val="00C045DF"/>
    <w:rsid w:val="00C106DC"/>
    <w:rsid w:val="00C26D43"/>
    <w:rsid w:val="00C46548"/>
    <w:rsid w:val="00C574D5"/>
    <w:rsid w:val="00C73F32"/>
    <w:rsid w:val="00C87462"/>
    <w:rsid w:val="00CA180C"/>
    <w:rsid w:val="00CB22B2"/>
    <w:rsid w:val="00CB340C"/>
    <w:rsid w:val="00CC3EE2"/>
    <w:rsid w:val="00CD7492"/>
    <w:rsid w:val="00CD7F65"/>
    <w:rsid w:val="00CE3A6B"/>
    <w:rsid w:val="00CF0B78"/>
    <w:rsid w:val="00D00211"/>
    <w:rsid w:val="00D06309"/>
    <w:rsid w:val="00D06960"/>
    <w:rsid w:val="00D16FAC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A2B8B"/>
    <w:rsid w:val="00DC47B5"/>
    <w:rsid w:val="00DC7A13"/>
    <w:rsid w:val="00DF2997"/>
    <w:rsid w:val="00E046B5"/>
    <w:rsid w:val="00E10BC4"/>
    <w:rsid w:val="00E1415D"/>
    <w:rsid w:val="00E23CB0"/>
    <w:rsid w:val="00E323E9"/>
    <w:rsid w:val="00E34018"/>
    <w:rsid w:val="00E437D2"/>
    <w:rsid w:val="00E55751"/>
    <w:rsid w:val="00E82317"/>
    <w:rsid w:val="00E938E3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75220"/>
    <w:rsid w:val="00F8215E"/>
    <w:rsid w:val="00F824F5"/>
    <w:rsid w:val="00F846A7"/>
    <w:rsid w:val="00F90FAB"/>
    <w:rsid w:val="00F92165"/>
    <w:rsid w:val="00F9374D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E3B47"/>
  <w15:chartTrackingRefBased/>
  <w15:docId w15:val="{744BC3F8-AF19-4EDC-8EB2-BEE06FD81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Default">
    <w:name w:val="Default"/>
    <w:rsid w:val="00DC47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3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lsgard\OneDrive%20-%20Nokia\My%20Documents\RAN4\RAN4%23108\Drafts\3GPP_Paper_Template_RAN4_%23108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5AIRPNAIUNRU-1328258698-24481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https://nokia.sharepoint.com/sites/c5g/5gradio/_layouts/15/DocIdRedir.aspx?ID=5AIRPNAIUNRU-1328258698-24481</Url>
      <Description>5AIRPNAIUNRU-1328258698-24481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3GPP_Paper_Template_RAN4_#108_Dimitri_brief.dotx</Template>
  <TotalTime>0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Networks</dc:creator>
  <cp:keywords>3GPP;RAN4</cp:keywords>
  <dc:description/>
  <cp:lastModifiedBy>Nokia Networks</cp:lastModifiedBy>
  <cp:revision>2</cp:revision>
  <dcterms:created xsi:type="dcterms:W3CDTF">2023-08-11T17:11:00Z</dcterms:created>
  <dcterms:modified xsi:type="dcterms:W3CDTF">2023-08-11T17:11:00Z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95730c8d-4a96-4ea9-a68a-7730cfa18e9c</vt:lpwstr>
  </property>
  <property fmtid="{D5CDD505-2E9C-101B-9397-08002B2CF9AE}" pid="11" name="MediaServiceImageTags">
    <vt:lpwstr/>
  </property>
</Properties>
</file>