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20D626E5" w:rsidR="00B66DD7" w:rsidRDefault="003A71A1" w:rsidP="00B66DD7">
      <w:pPr>
        <w:pStyle w:val="CRCoverPage"/>
        <w:tabs>
          <w:tab w:val="right" w:pos="9639"/>
        </w:tabs>
        <w:spacing w:after="0"/>
        <w:rPr>
          <w:b/>
          <w:i/>
          <w:noProof/>
          <w:sz w:val="28"/>
        </w:rPr>
      </w:pPr>
      <w:bookmarkStart w:id="0" w:name="_Toc2086435"/>
      <w:r w:rsidRPr="003A71A1">
        <w:rPr>
          <w:b/>
          <w:noProof/>
          <w:sz w:val="24"/>
        </w:rPr>
        <w:t>3GPP TSG-RAN WG4 Meeting #</w:t>
      </w:r>
      <w:r w:rsidR="0033338C">
        <w:rPr>
          <w:b/>
          <w:noProof/>
          <w:sz w:val="24"/>
        </w:rPr>
        <w:t>10</w:t>
      </w:r>
      <w:r w:rsidR="00562B48">
        <w:rPr>
          <w:b/>
          <w:noProof/>
          <w:sz w:val="24"/>
        </w:rPr>
        <w:t>8</w:t>
      </w:r>
      <w:r w:rsidR="00B66DD7">
        <w:rPr>
          <w:b/>
          <w:i/>
          <w:noProof/>
          <w:sz w:val="28"/>
        </w:rPr>
        <w:tab/>
      </w:r>
      <w:r w:rsidR="00E70053" w:rsidRPr="00E70053">
        <w:rPr>
          <w:b/>
          <w:i/>
          <w:noProof/>
          <w:sz w:val="28"/>
        </w:rPr>
        <w:t>R4-2313204</w:t>
      </w:r>
    </w:p>
    <w:p w14:paraId="3E512B0B" w14:textId="2074CFA8" w:rsidR="00D12A57" w:rsidRPr="006C1584" w:rsidRDefault="008368F2" w:rsidP="0044364B">
      <w:pPr>
        <w:rPr>
          <w:rFonts w:ascii="Arial" w:hAnsi="Arial" w:cs="Arial"/>
          <w:b/>
          <w:bCs/>
          <w:noProof/>
          <w:sz w:val="24"/>
          <w:szCs w:val="24"/>
          <w:lang w:val="en-US"/>
        </w:rPr>
      </w:pPr>
      <w:r w:rsidRPr="008368F2">
        <w:rPr>
          <w:rFonts w:ascii="Arial" w:hAnsi="Arial" w:cs="Arial"/>
          <w:b/>
          <w:sz w:val="24"/>
          <w:szCs w:val="24"/>
        </w:rPr>
        <w:t>Toulouse, France, 21-</w:t>
      </w:r>
      <w:r w:rsidR="003127DD">
        <w:rPr>
          <w:rFonts w:ascii="Arial" w:hAnsi="Arial" w:cs="Arial"/>
          <w:b/>
          <w:sz w:val="24"/>
          <w:szCs w:val="24"/>
        </w:rPr>
        <w:t>2</w:t>
      </w:r>
      <w:r w:rsidRPr="008368F2">
        <w:rPr>
          <w:rFonts w:ascii="Arial" w:hAnsi="Arial" w:cs="Arial"/>
          <w:b/>
          <w:sz w:val="24"/>
          <w:szCs w:val="24"/>
        </w:rPr>
        <w:t xml:space="preserve">5 </w:t>
      </w:r>
      <w:r w:rsidR="003127DD">
        <w:rPr>
          <w:rFonts w:ascii="Arial" w:hAnsi="Arial" w:cs="Arial"/>
          <w:b/>
          <w:sz w:val="24"/>
          <w:szCs w:val="24"/>
        </w:rPr>
        <w:t>Aug</w:t>
      </w:r>
      <w:r w:rsidR="00780EC9">
        <w:rPr>
          <w:rFonts w:ascii="Arial" w:hAnsi="Arial" w:cs="Arial"/>
          <w:b/>
          <w:sz w:val="24"/>
          <w:szCs w:val="24"/>
        </w:rPr>
        <w:t>,</w:t>
      </w:r>
      <w:r w:rsidR="00D544DE" w:rsidRPr="00D544DE">
        <w:rPr>
          <w:rFonts w:ascii="Arial" w:hAnsi="Arial" w:cs="Arial"/>
          <w:b/>
          <w:sz w:val="24"/>
          <w:szCs w:val="24"/>
        </w:rPr>
        <w:t xml:space="preserve"> 202</w:t>
      </w:r>
      <w:r w:rsidR="00411B5B">
        <w:rPr>
          <w:rFonts w:ascii="Arial" w:hAnsi="Arial" w:cs="Arial"/>
          <w:b/>
          <w:sz w:val="24"/>
          <w:szCs w:val="24"/>
        </w:rPr>
        <w:t>3</w:t>
      </w:r>
      <w:r w:rsidR="00D544DE"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41134C74"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D560A3">
        <w:rPr>
          <w:rFonts w:ascii="Arial" w:hAnsi="Arial" w:cs="Arial"/>
          <w:bCs/>
          <w:lang w:val="en-US"/>
        </w:rPr>
        <w:t xml:space="preserve">On </w:t>
      </w:r>
      <w:r w:rsidR="00B14410">
        <w:rPr>
          <w:rFonts w:ascii="Arial" w:hAnsi="Arial" w:cs="Arial"/>
          <w:bCs/>
          <w:lang w:val="en-US"/>
        </w:rPr>
        <w:t>TDD in large ATG cells</w:t>
      </w:r>
      <w:r w:rsidR="000455F6" w:rsidRPr="000455F6">
        <w:rPr>
          <w:rFonts w:ascii="Arial" w:hAnsi="Arial" w:cs="Arial"/>
          <w:bCs/>
          <w:lang w:val="en-US"/>
        </w:rPr>
        <w:t xml:space="preserve"> </w:t>
      </w:r>
    </w:p>
    <w:p w14:paraId="710B5126" w14:textId="1E0102D7"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F54E8C" w:rsidRPr="00F54E8C">
        <w:rPr>
          <w:rFonts w:ascii="Arial" w:hAnsi="Arial" w:cs="Arial"/>
          <w:lang w:val="en-US"/>
        </w:rPr>
        <w:t>8.13.4.3</w:t>
      </w:r>
    </w:p>
    <w:p w14:paraId="5A3522FA" w14:textId="0559941A"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F54E8C">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6CFD3633" w:rsidR="00B93FB3" w:rsidRDefault="00065315" w:rsidP="00B93FB3">
      <w:pPr>
        <w:rPr>
          <w:lang w:val="en-US"/>
        </w:rPr>
      </w:pPr>
      <w:r>
        <w:rPr>
          <w:lang w:val="en-US"/>
        </w:rPr>
        <w:t>In</w:t>
      </w:r>
      <w:r w:rsidR="004E5D2D">
        <w:rPr>
          <w:lang w:val="en-US"/>
        </w:rPr>
        <w:t xml:space="preserve"> previous meeting we had </w:t>
      </w:r>
      <w:r w:rsidR="00CB0098">
        <w:rPr>
          <w:lang w:val="en-US"/>
        </w:rPr>
        <w:t xml:space="preserve">from WF </w:t>
      </w:r>
      <w:r w:rsidR="004E5D2D">
        <w:rPr>
          <w:lang w:val="en-US"/>
        </w:rPr>
        <w:t>[</w:t>
      </w:r>
      <w:r w:rsidR="00CB0098">
        <w:rPr>
          <w:lang w:val="en-US"/>
        </w:rPr>
        <w:t>1</w:t>
      </w:r>
      <w:r w:rsidR="004E5D2D">
        <w:rPr>
          <w:lang w:val="en-US"/>
        </w:rPr>
        <w:t>]:</w:t>
      </w:r>
    </w:p>
    <w:tbl>
      <w:tblPr>
        <w:tblStyle w:val="TableGrid"/>
        <w:tblW w:w="0" w:type="auto"/>
        <w:tblLook w:val="04A0" w:firstRow="1" w:lastRow="0" w:firstColumn="1" w:lastColumn="0" w:noHBand="0" w:noVBand="1"/>
      </w:tblPr>
      <w:tblGrid>
        <w:gridCol w:w="9631"/>
      </w:tblGrid>
      <w:tr w:rsidR="004E5D2D" w14:paraId="26CBA527" w14:textId="77777777" w:rsidTr="004E5D2D">
        <w:tc>
          <w:tcPr>
            <w:tcW w:w="9631" w:type="dxa"/>
          </w:tcPr>
          <w:p w14:paraId="5B76CEE9" w14:textId="77777777" w:rsidR="004E5D2D" w:rsidRDefault="004E5D2D" w:rsidP="00B93FB3">
            <w:pPr>
              <w:rPr>
                <w:lang w:val="en-US"/>
              </w:rPr>
            </w:pPr>
            <w:r>
              <w:rPr>
                <w:lang w:val="en-US"/>
              </w:rPr>
              <w:t>…</w:t>
            </w:r>
          </w:p>
          <w:p w14:paraId="54A1889F" w14:textId="605CF3B9" w:rsidR="004A5551" w:rsidRDefault="004A5551" w:rsidP="004A5551">
            <w:pPr>
              <w:pStyle w:val="Heading2"/>
              <w:rPr>
                <w:b/>
                <w:bCs/>
              </w:rPr>
            </w:pPr>
            <w:r>
              <w:t xml:space="preserve">3.2 </w:t>
            </w:r>
            <w:r w:rsidRPr="00ED048A">
              <w:t>Guard period as Large TDD cell impaction</w:t>
            </w:r>
          </w:p>
          <w:p w14:paraId="54031DD8" w14:textId="77777777" w:rsidR="004A5551" w:rsidRDefault="004A5551" w:rsidP="004A5551">
            <w:pPr>
              <w:rPr>
                <w:rFonts w:eastAsiaTheme="minorEastAsia"/>
                <w:b/>
                <w:u w:val="single"/>
              </w:rPr>
            </w:pPr>
            <w:r w:rsidRPr="00A51972">
              <w:rPr>
                <w:b/>
                <w:u w:val="single"/>
                <w:lang w:eastAsia="ko-KR"/>
              </w:rPr>
              <w:t>Issue 3-2-1: Guard period issue due to large TDD cell and coexistence demand</w:t>
            </w:r>
          </w:p>
          <w:p w14:paraId="169CC3DC" w14:textId="77777777" w:rsidR="004A5551" w:rsidRPr="004671B7" w:rsidRDefault="004A5551" w:rsidP="004A5551">
            <w:pPr>
              <w:spacing w:after="60"/>
              <w:rPr>
                <w:rFonts w:eastAsiaTheme="minorEastAsia"/>
                <w:iCs/>
              </w:rPr>
            </w:pPr>
            <w:r w:rsidRPr="00294970">
              <w:rPr>
                <w:rFonts w:eastAsiaTheme="minorEastAsia" w:hint="eastAsia"/>
                <w:iCs/>
              </w:rPr>
              <w:t xml:space="preserve">Agreement: </w:t>
            </w:r>
          </w:p>
          <w:p w14:paraId="00D709D9" w14:textId="598FF475" w:rsidR="004A5551" w:rsidRPr="00C70CEE" w:rsidRDefault="004A5551" w:rsidP="00B93FB3">
            <w:pPr>
              <w:pStyle w:val="ListParagraph"/>
              <w:numPr>
                <w:ilvl w:val="0"/>
                <w:numId w:val="7"/>
              </w:numPr>
              <w:ind w:firstLineChars="0"/>
              <w:rPr>
                <w:rFonts w:eastAsia="SimSun" w:cs="Times New Roman"/>
                <w:sz w:val="20"/>
                <w:szCs w:val="20"/>
              </w:rPr>
            </w:pPr>
            <w:r>
              <w:rPr>
                <w:rFonts w:eastAsiaTheme="minorEastAsia" w:hint="eastAsia"/>
                <w:iCs/>
                <w:sz w:val="20"/>
                <w:szCs w:val="20"/>
              </w:rPr>
              <w:t xml:space="preserve">FFS on </w:t>
            </w:r>
            <w:r>
              <w:rPr>
                <w:rFonts w:eastAsia="SimSun" w:cs="Times New Roman" w:hint="eastAsia"/>
                <w:sz w:val="20"/>
                <w:szCs w:val="20"/>
              </w:rPr>
              <w:t>w</w:t>
            </w:r>
            <w:r w:rsidRPr="00452F9F">
              <w:rPr>
                <w:rFonts w:eastAsia="SimSun" w:cs="Times New Roman" w:hint="eastAsia"/>
                <w:sz w:val="20"/>
                <w:szCs w:val="20"/>
              </w:rPr>
              <w:t xml:space="preserve">hether and how to </w:t>
            </w:r>
            <w:r>
              <w:rPr>
                <w:rFonts w:eastAsia="SimSun" w:cs="Times New Roman" w:hint="eastAsia"/>
                <w:sz w:val="20"/>
                <w:szCs w:val="20"/>
              </w:rPr>
              <w:t>address guard period issue due to large TDD cell and coexistence demand.</w:t>
            </w:r>
          </w:p>
          <w:p w14:paraId="5DEB4BE6" w14:textId="5BEC8138" w:rsidR="004E5D2D" w:rsidRDefault="00172ACE" w:rsidP="00B93FB3">
            <w:pPr>
              <w:rPr>
                <w:lang w:val="en-US"/>
              </w:rPr>
            </w:pPr>
            <w:r>
              <w:rPr>
                <w:lang w:val="en-US"/>
              </w:rPr>
              <w:t>…</w:t>
            </w:r>
          </w:p>
        </w:tc>
      </w:tr>
    </w:tbl>
    <w:p w14:paraId="6A213FDA" w14:textId="265F36EB" w:rsidR="004E5D2D" w:rsidRDefault="00CB0098" w:rsidP="00B93FB3">
      <w:pPr>
        <w:rPr>
          <w:lang w:val="en-US"/>
        </w:rPr>
      </w:pPr>
      <w:r>
        <w:rPr>
          <w:lang w:val="en-US"/>
        </w:rPr>
        <w:br/>
        <w:t>and Ad Hoc MoM [2]:</w:t>
      </w:r>
    </w:p>
    <w:tbl>
      <w:tblPr>
        <w:tblStyle w:val="TableGrid"/>
        <w:tblW w:w="0" w:type="auto"/>
        <w:tblLook w:val="04A0" w:firstRow="1" w:lastRow="0" w:firstColumn="1" w:lastColumn="0" w:noHBand="0" w:noVBand="1"/>
      </w:tblPr>
      <w:tblGrid>
        <w:gridCol w:w="9631"/>
      </w:tblGrid>
      <w:tr w:rsidR="00C70CEE" w14:paraId="4C6F5ECE" w14:textId="77777777" w:rsidTr="00C70CEE">
        <w:tc>
          <w:tcPr>
            <w:tcW w:w="9631" w:type="dxa"/>
          </w:tcPr>
          <w:p w14:paraId="5A8CF3E7" w14:textId="77777777" w:rsidR="00C70CEE" w:rsidRDefault="00C70CEE" w:rsidP="00B93FB3">
            <w:pPr>
              <w:rPr>
                <w:lang w:val="en-US"/>
              </w:rPr>
            </w:pPr>
            <w:r>
              <w:rPr>
                <w:lang w:val="en-US"/>
              </w:rPr>
              <w:t>…</w:t>
            </w:r>
          </w:p>
          <w:p w14:paraId="70ED3A3E" w14:textId="77777777" w:rsidR="00CB0098" w:rsidRPr="009B7403" w:rsidRDefault="00CB0098" w:rsidP="00CB0098">
            <w:pPr>
              <w:rPr>
                <w:szCs w:val="24"/>
                <w:highlight w:val="yellow"/>
                <w:lang w:eastAsia="zh-CN"/>
              </w:rPr>
            </w:pPr>
            <w:r w:rsidRPr="009B7403">
              <w:rPr>
                <w:rFonts w:hint="eastAsia"/>
                <w:szCs w:val="24"/>
                <w:highlight w:val="yellow"/>
                <w:lang w:eastAsia="zh-CN"/>
              </w:rPr>
              <w:t xml:space="preserve">Tentative agreement: </w:t>
            </w:r>
          </w:p>
          <w:p w14:paraId="57E06378" w14:textId="77777777" w:rsidR="00CB0098" w:rsidRPr="009B7403" w:rsidRDefault="00CB0098" w:rsidP="00CB0098">
            <w:pPr>
              <w:rPr>
                <w:szCs w:val="24"/>
                <w:highlight w:val="yellow"/>
                <w:lang w:eastAsia="zh-CN"/>
              </w:rPr>
            </w:pPr>
            <w:r w:rsidRPr="009B7403">
              <w:rPr>
                <w:rFonts w:hint="eastAsia"/>
                <w:szCs w:val="24"/>
                <w:highlight w:val="yellow"/>
                <w:lang w:eastAsia="zh-CN"/>
              </w:rPr>
              <w:t xml:space="preserve">Introduce NTN TA reporting for ATG UE. </w:t>
            </w:r>
          </w:p>
          <w:p w14:paraId="7F66055A" w14:textId="054545BE" w:rsidR="002E12A0" w:rsidRPr="00CB0098" w:rsidRDefault="00CB0098" w:rsidP="00B93FB3">
            <w:pPr>
              <w:rPr>
                <w:szCs w:val="24"/>
                <w:lang w:eastAsia="zh-CN"/>
              </w:rPr>
            </w:pPr>
            <w:r w:rsidRPr="009B7403">
              <w:rPr>
                <w:rFonts w:hint="eastAsia"/>
                <w:szCs w:val="24"/>
                <w:highlight w:val="yellow"/>
                <w:lang w:eastAsia="zh-CN"/>
              </w:rPr>
              <w:t xml:space="preserve">Whether and how to use the reported TA to avoid UL and DL </w:t>
            </w:r>
            <w:r w:rsidRPr="009B7403">
              <w:rPr>
                <w:szCs w:val="24"/>
                <w:highlight w:val="yellow"/>
                <w:lang w:eastAsia="zh-CN"/>
              </w:rPr>
              <w:t>collision</w:t>
            </w:r>
            <w:r w:rsidRPr="009B7403">
              <w:rPr>
                <w:rFonts w:hint="eastAsia"/>
                <w:szCs w:val="24"/>
                <w:highlight w:val="yellow"/>
                <w:lang w:eastAsia="zh-CN"/>
              </w:rPr>
              <w:t xml:space="preserve"> is FFS.</w:t>
            </w:r>
          </w:p>
          <w:p w14:paraId="0E1811CB" w14:textId="5CACC012" w:rsidR="00C70CEE" w:rsidRDefault="00C70CEE" w:rsidP="00B93FB3">
            <w:pPr>
              <w:rPr>
                <w:lang w:val="en-US"/>
              </w:rPr>
            </w:pPr>
            <w:r>
              <w:rPr>
                <w:lang w:val="en-US"/>
              </w:rPr>
              <w:t>…</w:t>
            </w:r>
          </w:p>
        </w:tc>
      </w:tr>
    </w:tbl>
    <w:p w14:paraId="58ED3016" w14:textId="74842794" w:rsidR="00C70CEE" w:rsidRDefault="00CB0098" w:rsidP="00B93FB3">
      <w:pPr>
        <w:rPr>
          <w:lang w:val="en-US"/>
        </w:rPr>
      </w:pPr>
      <w:r>
        <w:rPr>
          <w:lang w:val="en-US"/>
        </w:rPr>
        <w:br/>
      </w:r>
      <w:r w:rsidR="00C70AEE">
        <w:rPr>
          <w:lang w:val="en-US"/>
        </w:rPr>
        <w:t>In this document we discuss the listed issue and tentative agreement.</w:t>
      </w:r>
    </w:p>
    <w:p w14:paraId="31215D0A" w14:textId="566F41F6" w:rsidR="0051173F" w:rsidRDefault="0051173F" w:rsidP="0051173F">
      <w:pPr>
        <w:pStyle w:val="Heading1"/>
        <w:rPr>
          <w:lang w:val="en-US"/>
        </w:rPr>
      </w:pPr>
      <w:r>
        <w:rPr>
          <w:lang w:val="en-US"/>
        </w:rPr>
        <w:t>2</w:t>
      </w:r>
      <w:r>
        <w:rPr>
          <w:lang w:val="en-US"/>
        </w:rPr>
        <w:tab/>
        <w:t>Discussion</w:t>
      </w:r>
    </w:p>
    <w:p w14:paraId="60A9F69B" w14:textId="64610914" w:rsidR="0010598C" w:rsidRDefault="00265695" w:rsidP="00B93FB3">
      <w:pPr>
        <w:rPr>
          <w:lang w:val="en-US"/>
        </w:rPr>
      </w:pPr>
      <w:r>
        <w:rPr>
          <w:lang w:val="en-US"/>
        </w:rPr>
        <w:t>In [3]</w:t>
      </w:r>
      <w:r w:rsidR="002E5D66">
        <w:rPr>
          <w:lang w:val="en-US"/>
        </w:rPr>
        <w:t xml:space="preserve"> </w:t>
      </w:r>
      <w:r w:rsidR="00803DB7">
        <w:rPr>
          <w:lang w:val="en-US"/>
        </w:rPr>
        <w:t>we observ</w:t>
      </w:r>
      <w:r w:rsidR="0010598C">
        <w:rPr>
          <w:lang w:val="en-US"/>
        </w:rPr>
        <w:t>e</w:t>
      </w:r>
      <w:r w:rsidR="00F91254">
        <w:rPr>
          <w:lang w:val="en-US"/>
        </w:rPr>
        <w:t xml:space="preserve"> </w:t>
      </w:r>
      <w:r w:rsidR="0010598C">
        <w:rPr>
          <w:lang w:val="en-US"/>
        </w:rPr>
        <w:t xml:space="preserve">in the </w:t>
      </w:r>
      <w:r w:rsidR="00F91254" w:rsidRPr="00F91254">
        <w:rPr>
          <w:lang w:val="en-US"/>
        </w:rPr>
        <w:t>Reduction of the overhead of the guard period</w:t>
      </w:r>
      <w:r w:rsidR="00F91254">
        <w:rPr>
          <w:lang w:val="en-US"/>
        </w:rPr>
        <w:t xml:space="preserve"> section that:</w:t>
      </w:r>
    </w:p>
    <w:p w14:paraId="3CDF85D9" w14:textId="77777777" w:rsidR="0010598C" w:rsidRPr="00F91254" w:rsidRDefault="0010598C" w:rsidP="00F91254">
      <w:pPr>
        <w:ind w:left="284"/>
        <w:rPr>
          <w:sz w:val="18"/>
          <w:szCs w:val="18"/>
        </w:rPr>
      </w:pPr>
      <w:r w:rsidRPr="00F91254">
        <w:rPr>
          <w:sz w:val="18"/>
          <w:szCs w:val="18"/>
        </w:rPr>
        <w:t xml:space="preserve">Consider an example of a 300 km ATG cell as a baseline scenario. The round-trip time is 2msec. The TDD frame is organized as 10 slots of 0.5msec each, numbered from 1 to10, for SCS = 30 kHz. Slots 1-7 should be </w:t>
      </w:r>
      <w:proofErr w:type="gramStart"/>
      <w:r w:rsidRPr="00F91254">
        <w:rPr>
          <w:sz w:val="18"/>
          <w:szCs w:val="18"/>
        </w:rPr>
        <w:t>downlink</w:t>
      </w:r>
      <w:proofErr w:type="gramEnd"/>
      <w:r w:rsidRPr="00F91254">
        <w:rPr>
          <w:sz w:val="18"/>
          <w:szCs w:val="18"/>
        </w:rPr>
        <w:t xml:space="preserve"> slots, slot 8 a “special” slot (with most symbols configured for downlink) and slots 9 and 10 are allocated for uplink.</w:t>
      </w:r>
    </w:p>
    <w:p w14:paraId="661EA255" w14:textId="77777777" w:rsidR="0010598C" w:rsidRPr="00F91254" w:rsidRDefault="0010598C" w:rsidP="00F91254">
      <w:pPr>
        <w:ind w:left="284"/>
        <w:rPr>
          <w:sz w:val="18"/>
          <w:szCs w:val="18"/>
        </w:rPr>
      </w:pPr>
      <w:r w:rsidRPr="00F91254">
        <w:rPr>
          <w:sz w:val="18"/>
          <w:szCs w:val="18"/>
        </w:rPr>
        <w:t xml:space="preserve">Due to the propagation time to the cell edge, the </w:t>
      </w:r>
      <w:proofErr w:type="spellStart"/>
      <w:r w:rsidRPr="00F91254">
        <w:rPr>
          <w:sz w:val="18"/>
          <w:szCs w:val="18"/>
        </w:rPr>
        <w:t>gNB</w:t>
      </w:r>
      <w:proofErr w:type="spellEnd"/>
      <w:r w:rsidRPr="00F91254">
        <w:rPr>
          <w:sz w:val="18"/>
          <w:szCs w:val="18"/>
        </w:rPr>
        <w:t xml:space="preserve"> needs to allocate slots 5, 6, 7 and 8 as a guard period, for this SCS = 30 kHz example. However, all SCS is possible, i.e., 15, 20, 60, 120, 240, 480 and 960 kHz and differs only by scaling the number of slots based on example considered here.</w:t>
      </w:r>
    </w:p>
    <w:p w14:paraId="4046822D" w14:textId="07C00713" w:rsidR="0010598C" w:rsidRPr="00F91254" w:rsidRDefault="0010598C" w:rsidP="00F91254">
      <w:pPr>
        <w:ind w:left="284"/>
        <w:rPr>
          <w:sz w:val="18"/>
          <w:szCs w:val="18"/>
        </w:rPr>
      </w:pPr>
      <w:r w:rsidRPr="00F91254">
        <w:rPr>
          <w:sz w:val="18"/>
          <w:szCs w:val="18"/>
        </w:rPr>
        <w:t xml:space="preserve">The TDD structure from the UE perspective is as depicted in the figure </w:t>
      </w:r>
      <w:r w:rsidR="00915412">
        <w:rPr>
          <w:sz w:val="18"/>
          <w:szCs w:val="18"/>
        </w:rPr>
        <w:t>1</w:t>
      </w:r>
      <w:r w:rsidRPr="00F91254">
        <w:rPr>
          <w:sz w:val="18"/>
          <w:szCs w:val="18"/>
        </w:rPr>
        <w:t xml:space="preserve">. The UL begins to receive the downlink part of each frame with 2 slots, or 1msec delay. In order that the UE UL transmission arrives at the </w:t>
      </w:r>
      <w:proofErr w:type="spellStart"/>
      <w:r w:rsidRPr="00F91254">
        <w:rPr>
          <w:sz w:val="18"/>
          <w:szCs w:val="18"/>
        </w:rPr>
        <w:t>gNB</w:t>
      </w:r>
      <w:proofErr w:type="spellEnd"/>
      <w:r w:rsidRPr="00F91254">
        <w:rPr>
          <w:sz w:val="18"/>
          <w:szCs w:val="18"/>
        </w:rPr>
        <w:t xml:space="preserve"> at the correct time, the UE needs to switch to UL after receiving DL slot 4. After transmitting the two UL slots, at the UE the timing is such that slots 7 and 8, which are guard slots occur. Following the guard slots, the following two slots, marked as “X” in the figure are slots in which the UE does not receive any data because they correspond to the slots during which the </w:t>
      </w:r>
      <w:proofErr w:type="spellStart"/>
      <w:r w:rsidRPr="00F91254">
        <w:rPr>
          <w:sz w:val="18"/>
          <w:szCs w:val="18"/>
        </w:rPr>
        <w:t>gNB</w:t>
      </w:r>
      <w:proofErr w:type="spellEnd"/>
      <w:r w:rsidRPr="00F91254">
        <w:rPr>
          <w:sz w:val="18"/>
          <w:szCs w:val="18"/>
        </w:rPr>
        <w:t xml:space="preserve"> received the UL transmission, delayed by 1msec.</w:t>
      </w:r>
    </w:p>
    <w:p w14:paraId="6BFCD661" w14:textId="77777777" w:rsidR="0010598C" w:rsidRPr="00F91254" w:rsidRDefault="0010598C" w:rsidP="00F91254">
      <w:pPr>
        <w:ind w:left="284"/>
        <w:rPr>
          <w:sz w:val="18"/>
          <w:szCs w:val="18"/>
        </w:rPr>
      </w:pPr>
      <w:r w:rsidRPr="00F91254">
        <w:rPr>
          <w:noProof/>
          <w:sz w:val="18"/>
          <w:szCs w:val="18"/>
        </w:rPr>
        <w:lastRenderedPageBreak/>
        <w:drawing>
          <wp:inline distT="0" distB="0" distL="0" distR="0" wp14:anchorId="1A9243F6" wp14:editId="784600DE">
            <wp:extent cx="5377180" cy="20605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77180" cy="2060575"/>
                    </a:xfrm>
                    <a:prstGeom prst="rect">
                      <a:avLst/>
                    </a:prstGeom>
                    <a:noFill/>
                  </pic:spPr>
                </pic:pic>
              </a:graphicData>
            </a:graphic>
          </wp:inline>
        </w:drawing>
      </w:r>
    </w:p>
    <w:p w14:paraId="5DB945DE" w14:textId="37F84AD3" w:rsidR="0010598C" w:rsidRPr="00F91254" w:rsidRDefault="0010598C" w:rsidP="00F91254">
      <w:pPr>
        <w:pStyle w:val="TF"/>
        <w:ind w:left="284"/>
        <w:rPr>
          <w:sz w:val="18"/>
          <w:szCs w:val="18"/>
        </w:rPr>
      </w:pPr>
      <w:r w:rsidRPr="00F91254">
        <w:rPr>
          <w:sz w:val="18"/>
          <w:szCs w:val="18"/>
        </w:rPr>
        <w:t xml:space="preserve">Figure </w:t>
      </w:r>
      <w:r w:rsidR="00915412">
        <w:rPr>
          <w:sz w:val="18"/>
          <w:szCs w:val="18"/>
        </w:rPr>
        <w:t>1</w:t>
      </w:r>
      <w:r w:rsidRPr="00F91254">
        <w:rPr>
          <w:sz w:val="18"/>
          <w:szCs w:val="18"/>
        </w:rPr>
        <w:t xml:space="preserve">: Large TDD cell with large GP. </w:t>
      </w:r>
    </w:p>
    <w:p w14:paraId="27BA2E97" w14:textId="77777777" w:rsidR="0010598C" w:rsidRPr="00F91254" w:rsidRDefault="0010598C" w:rsidP="00F91254">
      <w:pPr>
        <w:ind w:left="284"/>
        <w:rPr>
          <w:sz w:val="18"/>
          <w:szCs w:val="18"/>
        </w:rPr>
      </w:pPr>
      <w:r w:rsidRPr="00F91254">
        <w:rPr>
          <w:sz w:val="18"/>
          <w:szCs w:val="18"/>
        </w:rPr>
        <w:t xml:space="preserve">If the </w:t>
      </w:r>
      <w:proofErr w:type="spellStart"/>
      <w:r w:rsidRPr="00F91254">
        <w:rPr>
          <w:sz w:val="18"/>
          <w:szCs w:val="18"/>
        </w:rPr>
        <w:t>gNB</w:t>
      </w:r>
      <w:proofErr w:type="spellEnd"/>
      <w:r w:rsidRPr="00F91254">
        <w:rPr>
          <w:sz w:val="18"/>
          <w:szCs w:val="18"/>
        </w:rPr>
        <w:t xml:space="preserve"> receives information on the propagation delay to the UE, the </w:t>
      </w:r>
      <w:proofErr w:type="spellStart"/>
      <w:r w:rsidRPr="00F91254">
        <w:rPr>
          <w:sz w:val="18"/>
          <w:szCs w:val="18"/>
        </w:rPr>
        <w:t>gNB</w:t>
      </w:r>
      <w:proofErr w:type="spellEnd"/>
      <w:r w:rsidRPr="00F91254">
        <w:rPr>
          <w:sz w:val="18"/>
          <w:szCs w:val="18"/>
        </w:rPr>
        <w:t xml:space="preserve"> allocates a guard period starting at twice the propagation delay (i.e., the RTT) earlier than the UL period for a duration equal to the UL period. However, immediately after this guard period, the </w:t>
      </w:r>
      <w:proofErr w:type="spellStart"/>
      <w:r w:rsidRPr="00F91254">
        <w:rPr>
          <w:sz w:val="18"/>
          <w:szCs w:val="18"/>
        </w:rPr>
        <w:t>gNB</w:t>
      </w:r>
      <w:proofErr w:type="spellEnd"/>
      <w:r w:rsidRPr="00F91254">
        <w:rPr>
          <w:sz w:val="18"/>
          <w:szCs w:val="18"/>
        </w:rPr>
        <w:t xml:space="preserve"> resumes transmitting DL data to the UE until the UL period commences.</w:t>
      </w:r>
    </w:p>
    <w:p w14:paraId="2C9A21A3" w14:textId="2F2B4FFB" w:rsidR="0010598C" w:rsidRPr="00F91254" w:rsidRDefault="0010598C" w:rsidP="00F91254">
      <w:pPr>
        <w:ind w:left="284"/>
        <w:rPr>
          <w:sz w:val="18"/>
          <w:szCs w:val="18"/>
        </w:rPr>
      </w:pPr>
      <w:r w:rsidRPr="00F91254">
        <w:rPr>
          <w:sz w:val="18"/>
          <w:szCs w:val="18"/>
        </w:rPr>
        <w:t xml:space="preserve">At the UE, the UE is configured such that it applies timing advance to the UL signal (as usual) and then assumes that DL data can commence immediately after it has finished transmitting UL. This is shown in figure </w:t>
      </w:r>
      <w:r w:rsidR="00915412">
        <w:rPr>
          <w:sz w:val="18"/>
          <w:szCs w:val="18"/>
        </w:rPr>
        <w:t>2</w:t>
      </w:r>
      <w:r w:rsidRPr="00F91254">
        <w:rPr>
          <w:sz w:val="18"/>
          <w:szCs w:val="18"/>
        </w:rPr>
        <w:t>.</w:t>
      </w:r>
    </w:p>
    <w:p w14:paraId="30092855" w14:textId="77777777" w:rsidR="0010598C" w:rsidRPr="00F91254" w:rsidRDefault="0010598C" w:rsidP="00F91254">
      <w:pPr>
        <w:ind w:left="284"/>
        <w:rPr>
          <w:sz w:val="18"/>
          <w:szCs w:val="18"/>
        </w:rPr>
      </w:pPr>
      <w:r w:rsidRPr="00F91254">
        <w:rPr>
          <w:sz w:val="18"/>
          <w:szCs w:val="18"/>
        </w:rPr>
        <w:t xml:space="preserve">In this way, </w:t>
      </w:r>
      <w:bookmarkStart w:id="3" w:name="_Hlk127540529"/>
      <w:r w:rsidRPr="00F91254">
        <w:rPr>
          <w:sz w:val="18"/>
          <w:szCs w:val="18"/>
        </w:rPr>
        <w:t xml:space="preserve">half of the guard period slots can be removed. </w:t>
      </w:r>
      <w:bookmarkEnd w:id="3"/>
      <w:r w:rsidRPr="00F91254">
        <w:rPr>
          <w:sz w:val="18"/>
          <w:szCs w:val="18"/>
        </w:rPr>
        <w:t xml:space="preserve">From the UE perspective, there is no guard period, however there are two slots within which the UE does not receive downlink (due to no DL transmission during those slots because of UL reception at the </w:t>
      </w:r>
      <w:proofErr w:type="spellStart"/>
      <w:r w:rsidRPr="00F91254">
        <w:rPr>
          <w:sz w:val="18"/>
          <w:szCs w:val="18"/>
        </w:rPr>
        <w:t>gNB</w:t>
      </w:r>
      <w:proofErr w:type="spellEnd"/>
      <w:r w:rsidRPr="00F91254">
        <w:rPr>
          <w:sz w:val="18"/>
          <w:szCs w:val="18"/>
        </w:rPr>
        <w:t>).</w:t>
      </w:r>
    </w:p>
    <w:p w14:paraId="6A5D0E9B" w14:textId="77777777" w:rsidR="0010598C" w:rsidRPr="00F91254" w:rsidRDefault="0010598C" w:rsidP="00F91254">
      <w:pPr>
        <w:ind w:left="284"/>
        <w:rPr>
          <w:sz w:val="18"/>
          <w:szCs w:val="18"/>
        </w:rPr>
      </w:pPr>
      <w:r w:rsidRPr="00F91254">
        <w:rPr>
          <w:noProof/>
          <w:sz w:val="18"/>
          <w:szCs w:val="18"/>
        </w:rPr>
        <w:drawing>
          <wp:inline distT="0" distB="0" distL="0" distR="0" wp14:anchorId="309C2FF2" wp14:editId="72E834F2">
            <wp:extent cx="5377180" cy="20605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77180" cy="2060575"/>
                    </a:xfrm>
                    <a:prstGeom prst="rect">
                      <a:avLst/>
                    </a:prstGeom>
                    <a:noFill/>
                  </pic:spPr>
                </pic:pic>
              </a:graphicData>
            </a:graphic>
          </wp:inline>
        </w:drawing>
      </w:r>
    </w:p>
    <w:p w14:paraId="0F064653" w14:textId="5200FB57" w:rsidR="0010598C" w:rsidRPr="00F91254" w:rsidRDefault="0010598C" w:rsidP="00F91254">
      <w:pPr>
        <w:pStyle w:val="TF"/>
        <w:ind w:left="284"/>
        <w:rPr>
          <w:sz w:val="18"/>
          <w:szCs w:val="18"/>
        </w:rPr>
      </w:pPr>
      <w:r w:rsidRPr="00F91254">
        <w:rPr>
          <w:sz w:val="18"/>
          <w:szCs w:val="18"/>
        </w:rPr>
        <w:t xml:space="preserve">Figure </w:t>
      </w:r>
      <w:r w:rsidR="00915412">
        <w:rPr>
          <w:sz w:val="18"/>
          <w:szCs w:val="18"/>
        </w:rPr>
        <w:t>2</w:t>
      </w:r>
      <w:r w:rsidRPr="00F91254">
        <w:rPr>
          <w:sz w:val="18"/>
          <w:szCs w:val="18"/>
        </w:rPr>
        <w:t xml:space="preserve">: Large TDD cell with large GP reduced by a factor of 2, ATG UE far away. </w:t>
      </w:r>
    </w:p>
    <w:p w14:paraId="7EC494D9" w14:textId="328FB905" w:rsidR="0010598C" w:rsidRPr="00F91254" w:rsidRDefault="0010598C" w:rsidP="00F91254">
      <w:pPr>
        <w:ind w:left="284"/>
        <w:rPr>
          <w:sz w:val="18"/>
          <w:szCs w:val="18"/>
        </w:rPr>
      </w:pPr>
      <w:r w:rsidRPr="00F91254">
        <w:rPr>
          <w:sz w:val="18"/>
          <w:szCs w:val="18"/>
        </w:rPr>
        <w:t xml:space="preserve">If the cell size is 300 km, but the ATG UE is located at a distance of 150 km from the </w:t>
      </w:r>
      <w:proofErr w:type="spellStart"/>
      <w:r w:rsidRPr="00F91254">
        <w:rPr>
          <w:sz w:val="18"/>
          <w:szCs w:val="18"/>
        </w:rPr>
        <w:t>gNB</w:t>
      </w:r>
      <w:proofErr w:type="spellEnd"/>
      <w:r w:rsidRPr="00F91254">
        <w:rPr>
          <w:sz w:val="18"/>
          <w:szCs w:val="18"/>
        </w:rPr>
        <w:t xml:space="preserve">. The propagation time is 0.5msec or 1 slot. This is shown in figure </w:t>
      </w:r>
      <w:r w:rsidR="007B1E96">
        <w:rPr>
          <w:sz w:val="18"/>
          <w:szCs w:val="18"/>
        </w:rPr>
        <w:t>3</w:t>
      </w:r>
      <w:r w:rsidRPr="00F91254">
        <w:rPr>
          <w:sz w:val="18"/>
          <w:szCs w:val="18"/>
        </w:rPr>
        <w:t xml:space="preserve">. The </w:t>
      </w:r>
      <w:proofErr w:type="spellStart"/>
      <w:r w:rsidRPr="00F91254">
        <w:rPr>
          <w:sz w:val="18"/>
          <w:szCs w:val="18"/>
        </w:rPr>
        <w:t>gNB</w:t>
      </w:r>
      <w:proofErr w:type="spellEnd"/>
      <w:r w:rsidRPr="00F91254">
        <w:rPr>
          <w:sz w:val="18"/>
          <w:szCs w:val="18"/>
        </w:rPr>
        <w:t xml:space="preserve"> is made aware that the propagation time is 0.5 msec. The </w:t>
      </w:r>
      <w:proofErr w:type="spellStart"/>
      <w:r w:rsidRPr="00F91254">
        <w:rPr>
          <w:sz w:val="18"/>
          <w:szCs w:val="18"/>
        </w:rPr>
        <w:t>gNB</w:t>
      </w:r>
      <w:proofErr w:type="spellEnd"/>
      <w:r w:rsidRPr="00F91254">
        <w:rPr>
          <w:sz w:val="18"/>
          <w:szCs w:val="18"/>
        </w:rPr>
        <w:t xml:space="preserve"> provides a guard period equal to the propagation time of 0.5msec at 2 slots, or one RTT prior to the UL slots at the </w:t>
      </w:r>
      <w:proofErr w:type="spellStart"/>
      <w:r w:rsidRPr="00F91254">
        <w:rPr>
          <w:sz w:val="18"/>
          <w:szCs w:val="18"/>
        </w:rPr>
        <w:t>gNB</w:t>
      </w:r>
      <w:proofErr w:type="spellEnd"/>
      <w:r w:rsidRPr="00F91254">
        <w:rPr>
          <w:sz w:val="18"/>
          <w:szCs w:val="18"/>
        </w:rPr>
        <w:t xml:space="preserve">, i.e., in slot 7. This is as before, in first example, but scaled to smaller RTT. Due to the fact that the UL is 2 slots in duration, the </w:t>
      </w:r>
      <w:proofErr w:type="spellStart"/>
      <w:r w:rsidRPr="00F91254">
        <w:rPr>
          <w:sz w:val="18"/>
          <w:szCs w:val="18"/>
        </w:rPr>
        <w:t>gNB</w:t>
      </w:r>
      <w:proofErr w:type="spellEnd"/>
      <w:r w:rsidRPr="00F91254">
        <w:rPr>
          <w:sz w:val="18"/>
          <w:szCs w:val="18"/>
        </w:rPr>
        <w:t xml:space="preserve"> cannot transmit to the UE in slot 8 because, after propagation delay, the UE will still be transmitting UL during that time.</w:t>
      </w:r>
    </w:p>
    <w:p w14:paraId="568F3999" w14:textId="77777777" w:rsidR="0010598C" w:rsidRPr="00F91254" w:rsidRDefault="0010598C" w:rsidP="00F91254">
      <w:pPr>
        <w:ind w:left="284"/>
        <w:rPr>
          <w:sz w:val="18"/>
          <w:szCs w:val="18"/>
        </w:rPr>
      </w:pPr>
      <w:r w:rsidRPr="00F91254">
        <w:rPr>
          <w:sz w:val="18"/>
          <w:szCs w:val="18"/>
        </w:rPr>
        <w:t xml:space="preserve">From the UE perspective, the UE receives the first 6 DL slots and then switches to UL. After transmitting UL, the UE is does not receive any DL in the following 2 slots, as these slots correspond to the time at which the </w:t>
      </w:r>
      <w:proofErr w:type="spellStart"/>
      <w:r w:rsidRPr="00F91254">
        <w:rPr>
          <w:sz w:val="18"/>
          <w:szCs w:val="18"/>
        </w:rPr>
        <w:t>gNB</w:t>
      </w:r>
      <w:proofErr w:type="spellEnd"/>
      <w:r w:rsidRPr="00F91254">
        <w:rPr>
          <w:sz w:val="18"/>
          <w:szCs w:val="18"/>
        </w:rPr>
        <w:t xml:space="preserve"> was receiving the UL signal.</w:t>
      </w:r>
    </w:p>
    <w:p w14:paraId="4FA18AA8" w14:textId="77777777" w:rsidR="0010598C" w:rsidRPr="00F91254" w:rsidRDefault="0010598C" w:rsidP="00F91254">
      <w:pPr>
        <w:ind w:left="284"/>
        <w:rPr>
          <w:sz w:val="18"/>
          <w:szCs w:val="18"/>
        </w:rPr>
      </w:pPr>
    </w:p>
    <w:p w14:paraId="03513457" w14:textId="77777777" w:rsidR="0010598C" w:rsidRPr="00F91254" w:rsidRDefault="0010598C" w:rsidP="00F91254">
      <w:pPr>
        <w:ind w:left="284"/>
        <w:rPr>
          <w:sz w:val="18"/>
          <w:szCs w:val="18"/>
        </w:rPr>
      </w:pPr>
      <w:r w:rsidRPr="00F91254">
        <w:rPr>
          <w:noProof/>
          <w:sz w:val="18"/>
          <w:szCs w:val="18"/>
        </w:rPr>
        <w:lastRenderedPageBreak/>
        <w:drawing>
          <wp:inline distT="0" distB="0" distL="0" distR="0" wp14:anchorId="5144268B" wp14:editId="3E877B70">
            <wp:extent cx="5377180" cy="2060575"/>
            <wp:effectExtent l="0" t="0" r="0" b="0"/>
            <wp:docPr id="305580800" name="Picture 305580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77180" cy="2060575"/>
                    </a:xfrm>
                    <a:prstGeom prst="rect">
                      <a:avLst/>
                    </a:prstGeom>
                    <a:noFill/>
                  </pic:spPr>
                </pic:pic>
              </a:graphicData>
            </a:graphic>
          </wp:inline>
        </w:drawing>
      </w:r>
    </w:p>
    <w:p w14:paraId="5D5190E5" w14:textId="6A6FDBBC" w:rsidR="0010598C" w:rsidRPr="00F91254" w:rsidRDefault="0010598C" w:rsidP="00F91254">
      <w:pPr>
        <w:pStyle w:val="TF"/>
        <w:ind w:left="284"/>
        <w:rPr>
          <w:sz w:val="18"/>
          <w:szCs w:val="18"/>
        </w:rPr>
      </w:pPr>
      <w:r w:rsidRPr="00F91254">
        <w:rPr>
          <w:sz w:val="18"/>
          <w:szCs w:val="18"/>
        </w:rPr>
        <w:t xml:space="preserve">Figure </w:t>
      </w:r>
      <w:r w:rsidR="00915412">
        <w:rPr>
          <w:sz w:val="18"/>
          <w:szCs w:val="18"/>
        </w:rPr>
        <w:t>3</w:t>
      </w:r>
      <w:r w:rsidRPr="00F91254">
        <w:rPr>
          <w:sz w:val="18"/>
          <w:szCs w:val="18"/>
        </w:rPr>
        <w:t xml:space="preserve">: Large TDD cell with large GP reduced by a factor of 2. ATG UE closer. </w:t>
      </w:r>
    </w:p>
    <w:p w14:paraId="1D30903D" w14:textId="3D7C2A83" w:rsidR="0010598C" w:rsidRPr="00F91254" w:rsidRDefault="0010598C" w:rsidP="00F91254">
      <w:pPr>
        <w:ind w:left="284"/>
        <w:rPr>
          <w:sz w:val="18"/>
          <w:szCs w:val="18"/>
        </w:rPr>
      </w:pPr>
      <w:r w:rsidRPr="00F91254">
        <w:rPr>
          <w:sz w:val="18"/>
          <w:szCs w:val="18"/>
        </w:rPr>
        <w:t xml:space="preserve">If the UE is located at 75 km from the </w:t>
      </w:r>
      <w:proofErr w:type="spellStart"/>
      <w:r w:rsidRPr="00F91254">
        <w:rPr>
          <w:sz w:val="18"/>
          <w:szCs w:val="18"/>
        </w:rPr>
        <w:t>gNB</w:t>
      </w:r>
      <w:proofErr w:type="spellEnd"/>
      <w:r w:rsidRPr="00F91254">
        <w:rPr>
          <w:sz w:val="18"/>
          <w:szCs w:val="18"/>
        </w:rPr>
        <w:t xml:space="preserve">. The propagation time is now 0.25 msec, or half of one slot. This is shown in figure </w:t>
      </w:r>
      <w:r w:rsidR="0081264B">
        <w:rPr>
          <w:sz w:val="18"/>
          <w:szCs w:val="18"/>
        </w:rPr>
        <w:t>4</w:t>
      </w:r>
      <w:r w:rsidRPr="00F91254">
        <w:rPr>
          <w:sz w:val="18"/>
          <w:szCs w:val="18"/>
        </w:rPr>
        <w:t>.</w:t>
      </w:r>
    </w:p>
    <w:p w14:paraId="6B1A45FB" w14:textId="77777777" w:rsidR="0010598C" w:rsidRPr="00F91254" w:rsidRDefault="0010598C" w:rsidP="00F91254">
      <w:pPr>
        <w:ind w:left="284"/>
        <w:rPr>
          <w:sz w:val="18"/>
          <w:szCs w:val="18"/>
        </w:rPr>
      </w:pPr>
      <w:r w:rsidRPr="00F91254">
        <w:rPr>
          <w:sz w:val="18"/>
          <w:szCs w:val="18"/>
        </w:rPr>
        <w:t xml:space="preserve">The </w:t>
      </w:r>
      <w:proofErr w:type="spellStart"/>
      <w:r w:rsidRPr="00F91254">
        <w:rPr>
          <w:sz w:val="18"/>
          <w:szCs w:val="18"/>
        </w:rPr>
        <w:t>gNB</w:t>
      </w:r>
      <w:proofErr w:type="spellEnd"/>
      <w:r w:rsidRPr="00F91254">
        <w:rPr>
          <w:sz w:val="18"/>
          <w:szCs w:val="18"/>
        </w:rPr>
        <w:t xml:space="preserve"> transmits DL for slots 1-7. A half slot guard period, again equal to the propagation time in slots, is inserted at 1 RTT = 0.5 msec (1 slot) prior to the UL period at the start of slot 8. The </w:t>
      </w:r>
      <w:proofErr w:type="spellStart"/>
      <w:r w:rsidRPr="00F91254">
        <w:rPr>
          <w:sz w:val="18"/>
          <w:szCs w:val="18"/>
        </w:rPr>
        <w:t>gNB</w:t>
      </w:r>
      <w:proofErr w:type="spellEnd"/>
      <w:r w:rsidRPr="00F91254">
        <w:rPr>
          <w:sz w:val="18"/>
          <w:szCs w:val="18"/>
        </w:rPr>
        <w:t xml:space="preserve"> cannot transmit during the remainder of slot 8 because the DL transmission would overlap with the UE UL transmission.</w:t>
      </w:r>
    </w:p>
    <w:p w14:paraId="69FB9582" w14:textId="77777777" w:rsidR="0010598C" w:rsidRPr="00F91254" w:rsidRDefault="0010598C" w:rsidP="00F91254">
      <w:pPr>
        <w:ind w:left="284"/>
        <w:rPr>
          <w:sz w:val="18"/>
          <w:szCs w:val="18"/>
        </w:rPr>
      </w:pPr>
      <w:r w:rsidRPr="00F91254">
        <w:rPr>
          <w:sz w:val="18"/>
          <w:szCs w:val="18"/>
        </w:rPr>
        <w:t xml:space="preserve">From the UE perspective, the UE receives the first 7 DL slots and then switches to UL. After the UL slots, the UE does not receive anything for 1 </w:t>
      </w:r>
      <w:proofErr w:type="gramStart"/>
      <w:r w:rsidRPr="00F91254">
        <w:rPr>
          <w:sz w:val="18"/>
          <w:szCs w:val="18"/>
        </w:rPr>
        <w:t>slot, since</w:t>
      </w:r>
      <w:proofErr w:type="gramEnd"/>
      <w:r w:rsidRPr="00F91254">
        <w:rPr>
          <w:sz w:val="18"/>
          <w:szCs w:val="18"/>
        </w:rPr>
        <w:t xml:space="preserve"> this slot corresponds to the second UL slot reception at the </w:t>
      </w:r>
      <w:proofErr w:type="spellStart"/>
      <w:r w:rsidRPr="00F91254">
        <w:rPr>
          <w:sz w:val="18"/>
          <w:szCs w:val="18"/>
        </w:rPr>
        <w:t>gNB</w:t>
      </w:r>
      <w:proofErr w:type="spellEnd"/>
      <w:r w:rsidRPr="00F91254">
        <w:rPr>
          <w:sz w:val="18"/>
          <w:szCs w:val="18"/>
        </w:rPr>
        <w:t>.</w:t>
      </w:r>
    </w:p>
    <w:p w14:paraId="73A388A5" w14:textId="77777777" w:rsidR="0010598C" w:rsidRPr="00F91254" w:rsidRDefault="0010598C" w:rsidP="00F91254">
      <w:pPr>
        <w:ind w:left="284"/>
        <w:rPr>
          <w:sz w:val="18"/>
          <w:szCs w:val="18"/>
        </w:rPr>
      </w:pPr>
      <w:r w:rsidRPr="00F91254">
        <w:rPr>
          <w:noProof/>
          <w:sz w:val="18"/>
          <w:szCs w:val="18"/>
        </w:rPr>
        <w:drawing>
          <wp:inline distT="0" distB="0" distL="0" distR="0" wp14:anchorId="6E974277" wp14:editId="3BDDB3B6">
            <wp:extent cx="5377180" cy="2060575"/>
            <wp:effectExtent l="0" t="0" r="0" b="0"/>
            <wp:docPr id="305580802" name="Picture 305580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77180" cy="2060575"/>
                    </a:xfrm>
                    <a:prstGeom prst="rect">
                      <a:avLst/>
                    </a:prstGeom>
                    <a:noFill/>
                  </pic:spPr>
                </pic:pic>
              </a:graphicData>
            </a:graphic>
          </wp:inline>
        </w:drawing>
      </w:r>
    </w:p>
    <w:p w14:paraId="63BE1BC6" w14:textId="0AD27B38" w:rsidR="0010598C" w:rsidRPr="00F91254" w:rsidRDefault="0010598C" w:rsidP="00F91254">
      <w:pPr>
        <w:pStyle w:val="TF"/>
        <w:ind w:left="284"/>
        <w:rPr>
          <w:sz w:val="18"/>
          <w:szCs w:val="18"/>
        </w:rPr>
      </w:pPr>
      <w:r w:rsidRPr="00F91254">
        <w:rPr>
          <w:sz w:val="18"/>
          <w:szCs w:val="18"/>
        </w:rPr>
        <w:t xml:space="preserve">Figure </w:t>
      </w:r>
      <w:r w:rsidR="0081264B">
        <w:rPr>
          <w:sz w:val="18"/>
          <w:szCs w:val="18"/>
        </w:rPr>
        <w:t>4</w:t>
      </w:r>
      <w:r w:rsidRPr="00F91254">
        <w:rPr>
          <w:sz w:val="18"/>
          <w:szCs w:val="18"/>
        </w:rPr>
        <w:t xml:space="preserve">: Large TDD cell with large GP reduced by a factor of 2. ATG UE even closer. </w:t>
      </w:r>
    </w:p>
    <w:p w14:paraId="0F3C6242" w14:textId="77777777" w:rsidR="0010598C" w:rsidRPr="00F91254" w:rsidRDefault="0010598C" w:rsidP="00F91254">
      <w:pPr>
        <w:pStyle w:val="MyStyle"/>
        <w:ind w:left="1702"/>
        <w:rPr>
          <w:sz w:val="18"/>
          <w:szCs w:val="18"/>
        </w:rPr>
      </w:pPr>
      <w:r w:rsidRPr="00F91254">
        <w:rPr>
          <w:sz w:val="18"/>
          <w:szCs w:val="18"/>
          <w:lang w:eastAsia="ja-JP"/>
        </w:rPr>
        <w:t xml:space="preserve">Observation 7: </w:t>
      </w:r>
      <w:r w:rsidRPr="00F91254">
        <w:rPr>
          <w:sz w:val="18"/>
          <w:szCs w:val="18"/>
          <w:lang w:eastAsia="ja-JP"/>
        </w:rPr>
        <w:tab/>
        <w:t xml:space="preserve">If the </w:t>
      </w:r>
      <w:proofErr w:type="spellStart"/>
      <w:r w:rsidRPr="00F91254">
        <w:rPr>
          <w:sz w:val="18"/>
          <w:szCs w:val="18"/>
          <w:lang w:eastAsia="ja-JP"/>
        </w:rPr>
        <w:t>gNB</w:t>
      </w:r>
      <w:proofErr w:type="spellEnd"/>
      <w:r w:rsidRPr="00F91254">
        <w:rPr>
          <w:sz w:val="18"/>
          <w:szCs w:val="18"/>
          <w:lang w:eastAsia="ja-JP"/>
        </w:rPr>
        <w:t xml:space="preserve"> receives information on the propagation delay to the UE, then at least half of the GP could be removed.</w:t>
      </w:r>
    </w:p>
    <w:p w14:paraId="1B863880" w14:textId="378E09CC" w:rsidR="00094049" w:rsidRDefault="00F91254" w:rsidP="00B93FB3">
      <w:pPr>
        <w:rPr>
          <w:lang w:val="en-US"/>
        </w:rPr>
      </w:pPr>
      <w:r>
        <w:rPr>
          <w:lang w:val="en-US"/>
        </w:rPr>
        <w:t xml:space="preserve">We therefore </w:t>
      </w:r>
      <w:r w:rsidR="00D2420C">
        <w:rPr>
          <w:lang w:val="en-US"/>
        </w:rPr>
        <w:t xml:space="preserve">observe and </w:t>
      </w:r>
      <w:r>
        <w:rPr>
          <w:lang w:val="en-US"/>
        </w:rPr>
        <w:t>propose:</w:t>
      </w:r>
    </w:p>
    <w:p w14:paraId="1EC98307" w14:textId="2626A004" w:rsidR="00D2420C" w:rsidRPr="00D2420C" w:rsidRDefault="00D2420C" w:rsidP="00D2420C">
      <w:pPr>
        <w:ind w:left="1418" w:hanging="1418"/>
        <w:rPr>
          <w:b/>
          <w:bCs/>
          <w:lang w:val="en-US"/>
        </w:rPr>
      </w:pPr>
      <w:r w:rsidRPr="00D2420C">
        <w:rPr>
          <w:b/>
          <w:bCs/>
          <w:lang w:val="en-US"/>
        </w:rPr>
        <w:t xml:space="preserve">Observation 1: </w:t>
      </w:r>
      <w:r>
        <w:rPr>
          <w:b/>
          <w:bCs/>
          <w:lang w:val="en-US"/>
        </w:rPr>
        <w:tab/>
      </w:r>
      <w:r w:rsidRPr="00D2420C">
        <w:rPr>
          <w:b/>
          <w:bCs/>
          <w:lang w:val="en-US"/>
        </w:rPr>
        <w:t xml:space="preserve">If the </w:t>
      </w:r>
      <w:proofErr w:type="spellStart"/>
      <w:r w:rsidRPr="00D2420C">
        <w:rPr>
          <w:b/>
          <w:bCs/>
          <w:lang w:val="en-US"/>
        </w:rPr>
        <w:t>gNB</w:t>
      </w:r>
      <w:proofErr w:type="spellEnd"/>
      <w:r w:rsidRPr="00D2420C">
        <w:rPr>
          <w:b/>
          <w:bCs/>
          <w:lang w:val="en-US"/>
        </w:rPr>
        <w:t xml:space="preserve"> receives information on the propagation delay to the UE, then at least half of the GP could be removed.</w:t>
      </w:r>
    </w:p>
    <w:p w14:paraId="740C21B2" w14:textId="09507866" w:rsidR="00265695" w:rsidRPr="00B93FB3" w:rsidRDefault="00265695" w:rsidP="00D2420C">
      <w:pPr>
        <w:ind w:left="1418" w:hanging="1418"/>
        <w:rPr>
          <w:lang w:val="en-US"/>
        </w:rPr>
      </w:pPr>
      <w:r w:rsidRPr="004C6A90">
        <w:rPr>
          <w:b/>
          <w:bCs/>
          <w:lang w:val="en-US"/>
        </w:rPr>
        <w:t xml:space="preserve">Proposal </w:t>
      </w:r>
      <w:r>
        <w:rPr>
          <w:b/>
          <w:bCs/>
          <w:lang w:val="en-US"/>
        </w:rPr>
        <w:t>1</w:t>
      </w:r>
      <w:r w:rsidRPr="004C6A90">
        <w:rPr>
          <w:b/>
          <w:bCs/>
          <w:lang w:val="en-US"/>
        </w:rPr>
        <w:t>:</w:t>
      </w:r>
      <w:r>
        <w:rPr>
          <w:b/>
          <w:bCs/>
          <w:lang w:val="en-US"/>
        </w:rPr>
        <w:t xml:space="preserve"> </w:t>
      </w:r>
      <w:r>
        <w:rPr>
          <w:b/>
          <w:bCs/>
          <w:lang w:val="en-US"/>
        </w:rPr>
        <w:tab/>
        <w:t>E</w:t>
      </w:r>
      <w:r w:rsidRPr="00B053B5">
        <w:rPr>
          <w:b/>
          <w:bCs/>
          <w:lang w:val="en-US"/>
        </w:rPr>
        <w:t>stimating the position of the aircraft and enable the calculation of the optimum gap period</w:t>
      </w:r>
      <w:r>
        <w:rPr>
          <w:b/>
          <w:bCs/>
          <w:lang w:val="en-US"/>
        </w:rPr>
        <w:t xml:space="preserve"> or let  </w:t>
      </w:r>
      <w:r w:rsidRPr="00B053B5">
        <w:rPr>
          <w:b/>
          <w:bCs/>
          <w:lang w:val="en-US"/>
        </w:rPr>
        <w:t xml:space="preserve">UE reports the propagation delay information to ATG </w:t>
      </w:r>
      <w:proofErr w:type="spellStart"/>
      <w:r w:rsidRPr="00B053B5">
        <w:rPr>
          <w:b/>
          <w:bCs/>
          <w:lang w:val="en-US"/>
        </w:rPr>
        <w:t>gNB</w:t>
      </w:r>
      <w:proofErr w:type="spellEnd"/>
      <w:r w:rsidRPr="00B053B5">
        <w:rPr>
          <w:b/>
          <w:bCs/>
          <w:lang w:val="en-US"/>
        </w:rPr>
        <w:t xml:space="preserve">, so that DL or UL scheduling restriction can be used by ATG </w:t>
      </w:r>
      <w:proofErr w:type="spellStart"/>
      <w:r w:rsidRPr="00B053B5">
        <w:rPr>
          <w:b/>
          <w:bCs/>
          <w:lang w:val="en-US"/>
        </w:rPr>
        <w:t>gNB</w:t>
      </w:r>
      <w:proofErr w:type="spellEnd"/>
      <w:r w:rsidRPr="00B053B5">
        <w:rPr>
          <w:b/>
          <w:bCs/>
          <w:lang w:val="en-US"/>
        </w:rPr>
        <w:t xml:space="preserve"> based on the information</w:t>
      </w:r>
      <w:r>
        <w:rPr>
          <w:b/>
          <w:bCs/>
          <w:lang w:val="en-US"/>
        </w:rPr>
        <w:t>.</w:t>
      </w:r>
    </w:p>
    <w:p w14:paraId="7DE08BE8" w14:textId="5FF20DC2" w:rsidR="00B93FB3" w:rsidRDefault="00E7470F" w:rsidP="00B93FB3">
      <w:pPr>
        <w:pStyle w:val="Heading1"/>
        <w:rPr>
          <w:lang w:val="en-US"/>
        </w:rPr>
      </w:pPr>
      <w:r>
        <w:rPr>
          <w:lang w:val="en-US"/>
        </w:rPr>
        <w:t xml:space="preserve">3 </w:t>
      </w:r>
      <w:r>
        <w:rPr>
          <w:lang w:val="en-US"/>
        </w:rPr>
        <w:tab/>
      </w:r>
      <w:r w:rsidR="00B93FB3">
        <w:rPr>
          <w:lang w:val="en-US"/>
        </w:rPr>
        <w:t>Summary</w:t>
      </w:r>
    </w:p>
    <w:p w14:paraId="6BE65569" w14:textId="77777777" w:rsidR="00D2420C" w:rsidRPr="00D2420C" w:rsidRDefault="00D2420C" w:rsidP="00D2420C">
      <w:pPr>
        <w:ind w:left="1418" w:hanging="1418"/>
        <w:rPr>
          <w:b/>
          <w:bCs/>
          <w:lang w:val="en-US"/>
        </w:rPr>
      </w:pPr>
      <w:r w:rsidRPr="00D2420C">
        <w:rPr>
          <w:b/>
          <w:bCs/>
          <w:lang w:val="en-US"/>
        </w:rPr>
        <w:t xml:space="preserve">Observation 1: </w:t>
      </w:r>
      <w:r>
        <w:rPr>
          <w:b/>
          <w:bCs/>
          <w:lang w:val="en-US"/>
        </w:rPr>
        <w:tab/>
      </w:r>
      <w:r w:rsidRPr="00D2420C">
        <w:rPr>
          <w:b/>
          <w:bCs/>
          <w:lang w:val="en-US"/>
        </w:rPr>
        <w:t xml:space="preserve">If the </w:t>
      </w:r>
      <w:proofErr w:type="spellStart"/>
      <w:r w:rsidRPr="00D2420C">
        <w:rPr>
          <w:b/>
          <w:bCs/>
          <w:lang w:val="en-US"/>
        </w:rPr>
        <w:t>gNB</w:t>
      </w:r>
      <w:proofErr w:type="spellEnd"/>
      <w:r w:rsidRPr="00D2420C">
        <w:rPr>
          <w:b/>
          <w:bCs/>
          <w:lang w:val="en-US"/>
        </w:rPr>
        <w:t xml:space="preserve"> receives information on the propagation delay to the UE, then at least half of the GP could be removed.</w:t>
      </w:r>
    </w:p>
    <w:p w14:paraId="33948DA7" w14:textId="1B587744" w:rsidR="003D429A" w:rsidRPr="003D429A" w:rsidRDefault="00D2420C" w:rsidP="00D2420C">
      <w:pPr>
        <w:ind w:left="1418" w:hanging="1418"/>
        <w:rPr>
          <w:lang w:val="en-US"/>
        </w:rPr>
      </w:pPr>
      <w:r w:rsidRPr="004C6A90">
        <w:rPr>
          <w:b/>
          <w:bCs/>
          <w:lang w:val="en-US"/>
        </w:rPr>
        <w:lastRenderedPageBreak/>
        <w:t xml:space="preserve">Proposal </w:t>
      </w:r>
      <w:r>
        <w:rPr>
          <w:b/>
          <w:bCs/>
          <w:lang w:val="en-US"/>
        </w:rPr>
        <w:t>1</w:t>
      </w:r>
      <w:r w:rsidRPr="004C6A90">
        <w:rPr>
          <w:b/>
          <w:bCs/>
          <w:lang w:val="en-US"/>
        </w:rPr>
        <w:t>:</w:t>
      </w:r>
      <w:r>
        <w:rPr>
          <w:b/>
          <w:bCs/>
          <w:lang w:val="en-US"/>
        </w:rPr>
        <w:t xml:space="preserve"> </w:t>
      </w:r>
      <w:r>
        <w:rPr>
          <w:b/>
          <w:bCs/>
          <w:lang w:val="en-US"/>
        </w:rPr>
        <w:tab/>
        <w:t>E</w:t>
      </w:r>
      <w:r w:rsidRPr="00B053B5">
        <w:rPr>
          <w:b/>
          <w:bCs/>
          <w:lang w:val="en-US"/>
        </w:rPr>
        <w:t>stimating the position of the aircraft and enable the calculation of the optimum gap period</w:t>
      </w:r>
      <w:r>
        <w:rPr>
          <w:b/>
          <w:bCs/>
          <w:lang w:val="en-US"/>
        </w:rPr>
        <w:t xml:space="preserve"> or let  </w:t>
      </w:r>
      <w:r w:rsidRPr="00B053B5">
        <w:rPr>
          <w:b/>
          <w:bCs/>
          <w:lang w:val="en-US"/>
        </w:rPr>
        <w:t xml:space="preserve">UE reports the propagation delay information to ATG </w:t>
      </w:r>
      <w:proofErr w:type="spellStart"/>
      <w:r w:rsidRPr="00B053B5">
        <w:rPr>
          <w:b/>
          <w:bCs/>
          <w:lang w:val="en-US"/>
        </w:rPr>
        <w:t>gNB</w:t>
      </w:r>
      <w:proofErr w:type="spellEnd"/>
      <w:r w:rsidRPr="00B053B5">
        <w:rPr>
          <w:b/>
          <w:bCs/>
          <w:lang w:val="en-US"/>
        </w:rPr>
        <w:t xml:space="preserve">, so that DL or UL scheduling restriction can be used by ATG </w:t>
      </w:r>
      <w:proofErr w:type="spellStart"/>
      <w:r w:rsidRPr="00B053B5">
        <w:rPr>
          <w:b/>
          <w:bCs/>
          <w:lang w:val="en-US"/>
        </w:rPr>
        <w:t>gNB</w:t>
      </w:r>
      <w:proofErr w:type="spellEnd"/>
      <w:r w:rsidRPr="00B053B5">
        <w:rPr>
          <w:b/>
          <w:bCs/>
          <w:lang w:val="en-US"/>
        </w:rPr>
        <w:t xml:space="preserve"> based on the information</w:t>
      </w:r>
      <w:r>
        <w:rPr>
          <w:b/>
          <w:bCs/>
          <w:lang w:val="en-US"/>
        </w:rPr>
        <w:t>.</w:t>
      </w:r>
    </w:p>
    <w:p w14:paraId="42C2E795" w14:textId="1C544FD8" w:rsidR="003D429A" w:rsidRDefault="003D429A" w:rsidP="003D429A">
      <w:pPr>
        <w:pStyle w:val="Heading1"/>
        <w:rPr>
          <w:lang w:val="en-US"/>
        </w:rPr>
      </w:pPr>
      <w:r>
        <w:rPr>
          <w:lang w:val="en-US"/>
        </w:rPr>
        <w:t>References</w:t>
      </w:r>
    </w:p>
    <w:p w14:paraId="32FC54DF" w14:textId="55E23BAE" w:rsidR="0083684A" w:rsidRDefault="00BE4FE5" w:rsidP="00721293">
      <w:bookmarkStart w:id="4" w:name="_Ref508638450"/>
      <w:bookmarkStart w:id="5" w:name="_Ref3386619"/>
      <w:r>
        <w:t xml:space="preserve">[1] </w:t>
      </w:r>
      <w:r>
        <w:tab/>
      </w:r>
      <w:r>
        <w:tab/>
      </w:r>
      <w:r w:rsidR="00D2237B" w:rsidRPr="00D2237B">
        <w:t>R4-2310159</w:t>
      </w:r>
      <w:r w:rsidR="00D2237B">
        <w:t xml:space="preserve">, </w:t>
      </w:r>
      <w:r w:rsidR="00721293">
        <w:t>WF on NR ATG RRM requirements, CMCC</w:t>
      </w:r>
    </w:p>
    <w:p w14:paraId="26603AF8" w14:textId="7738CFAE" w:rsidR="00065315" w:rsidRDefault="00D2237B" w:rsidP="00065315">
      <w:r>
        <w:t>[2]</w:t>
      </w:r>
      <w:r>
        <w:tab/>
      </w:r>
      <w:r w:rsidR="00065315">
        <w:tab/>
        <w:t xml:space="preserve">R4-2310055, </w:t>
      </w:r>
      <w:proofErr w:type="spellStart"/>
      <w:r w:rsidR="00065315">
        <w:t>Adhoc</w:t>
      </w:r>
      <w:proofErr w:type="spellEnd"/>
      <w:r w:rsidR="00065315">
        <w:t xml:space="preserve"> minutes for [107][217] NR_ATG, CMCC</w:t>
      </w:r>
    </w:p>
    <w:p w14:paraId="406C1D4A" w14:textId="10AF1DA2" w:rsidR="003D429A" w:rsidRPr="00E44B18" w:rsidRDefault="002E5D66" w:rsidP="003D429A">
      <w:r>
        <w:t>[3]</w:t>
      </w:r>
      <w:r>
        <w:tab/>
      </w:r>
      <w:r>
        <w:tab/>
        <w:t>R4-2304834, On timing requirements in ATG</w:t>
      </w:r>
      <w:bookmarkEnd w:id="4"/>
      <w:bookmarkEnd w:id="5"/>
      <w:r>
        <w:t>, Ericsson</w:t>
      </w:r>
    </w:p>
    <w:sectPr w:rsidR="003D429A" w:rsidRPr="00E44B18">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B9AD2" w14:textId="77777777" w:rsidR="00B56B34" w:rsidRDefault="00B56B34">
      <w:r>
        <w:separator/>
      </w:r>
    </w:p>
  </w:endnote>
  <w:endnote w:type="continuationSeparator" w:id="0">
    <w:p w14:paraId="12838A79" w14:textId="77777777" w:rsidR="00B56B34" w:rsidRDefault="00B56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75845" w14:textId="77777777" w:rsidR="00B56B34" w:rsidRDefault="00B56B34">
      <w:r>
        <w:separator/>
      </w:r>
    </w:p>
  </w:footnote>
  <w:footnote w:type="continuationSeparator" w:id="0">
    <w:p w14:paraId="5F46BD9F" w14:textId="77777777" w:rsidR="00B56B34" w:rsidRDefault="00B56B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3E5508"/>
    <w:multiLevelType w:val="multilevel"/>
    <w:tmpl w:val="21D42F3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14244A"/>
    <w:multiLevelType w:val="multilevel"/>
    <w:tmpl w:val="C026F2D6"/>
    <w:lvl w:ilvl="0">
      <w:start w:val="3"/>
      <w:numFmt w:val="decimal"/>
      <w:lvlText w:val="%1"/>
      <w:lvlJc w:val="left"/>
      <w:pPr>
        <w:ind w:left="360" w:hanging="360"/>
      </w:pPr>
      <w:rPr>
        <w:rFonts w:hint="default"/>
        <w:b w:val="0"/>
      </w:rPr>
    </w:lvl>
    <w:lvl w:ilvl="1">
      <w:start w:val="2"/>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336" w:hanging="1800"/>
      </w:pPr>
      <w:rPr>
        <w:rFonts w:hint="default"/>
        <w:b w:val="0"/>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304329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71410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2154097">
    <w:abstractNumId w:val="1"/>
  </w:num>
  <w:num w:numId="4" w16cid:durableId="4596500">
    <w:abstractNumId w:val="6"/>
  </w:num>
  <w:num w:numId="5" w16cid:durableId="834031925">
    <w:abstractNumId w:val="4"/>
  </w:num>
  <w:num w:numId="6" w16cid:durableId="571744261">
    <w:abstractNumId w:val="2"/>
  </w:num>
  <w:num w:numId="7" w16cid:durableId="418333568">
    <w:abstractNumId w:val="3"/>
  </w:num>
  <w:num w:numId="8" w16cid:durableId="14261951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5F6"/>
    <w:rsid w:val="00051834"/>
    <w:rsid w:val="00054A22"/>
    <w:rsid w:val="00056A26"/>
    <w:rsid w:val="00062023"/>
    <w:rsid w:val="00065315"/>
    <w:rsid w:val="000655A6"/>
    <w:rsid w:val="00080512"/>
    <w:rsid w:val="00094049"/>
    <w:rsid w:val="000C47C3"/>
    <w:rsid w:val="000D58AB"/>
    <w:rsid w:val="00103A7F"/>
    <w:rsid w:val="0010598C"/>
    <w:rsid w:val="00133525"/>
    <w:rsid w:val="00172ACE"/>
    <w:rsid w:val="00195042"/>
    <w:rsid w:val="001A4C42"/>
    <w:rsid w:val="001A7420"/>
    <w:rsid w:val="001B6637"/>
    <w:rsid w:val="001C0C17"/>
    <w:rsid w:val="001C21C3"/>
    <w:rsid w:val="001D02C2"/>
    <w:rsid w:val="001F0C1D"/>
    <w:rsid w:val="001F1132"/>
    <w:rsid w:val="001F168B"/>
    <w:rsid w:val="002347A2"/>
    <w:rsid w:val="00261D2E"/>
    <w:rsid w:val="00265695"/>
    <w:rsid w:val="002675F0"/>
    <w:rsid w:val="002840A1"/>
    <w:rsid w:val="002B6339"/>
    <w:rsid w:val="002E00EE"/>
    <w:rsid w:val="002E12A0"/>
    <w:rsid w:val="002E5D66"/>
    <w:rsid w:val="003127DD"/>
    <w:rsid w:val="003172DC"/>
    <w:rsid w:val="0033338C"/>
    <w:rsid w:val="0035462D"/>
    <w:rsid w:val="003765B8"/>
    <w:rsid w:val="00384CDA"/>
    <w:rsid w:val="003A71A1"/>
    <w:rsid w:val="003C3971"/>
    <w:rsid w:val="003D429A"/>
    <w:rsid w:val="00411B5B"/>
    <w:rsid w:val="00423334"/>
    <w:rsid w:val="004345EC"/>
    <w:rsid w:val="0044364B"/>
    <w:rsid w:val="00465515"/>
    <w:rsid w:val="004A5551"/>
    <w:rsid w:val="004D3578"/>
    <w:rsid w:val="004E213A"/>
    <w:rsid w:val="004E5D2D"/>
    <w:rsid w:val="004F0988"/>
    <w:rsid w:val="004F3340"/>
    <w:rsid w:val="0051173F"/>
    <w:rsid w:val="0053388B"/>
    <w:rsid w:val="00535773"/>
    <w:rsid w:val="00543E6C"/>
    <w:rsid w:val="00546D44"/>
    <w:rsid w:val="0056254B"/>
    <w:rsid w:val="00562B48"/>
    <w:rsid w:val="00565087"/>
    <w:rsid w:val="0057305F"/>
    <w:rsid w:val="00586E2E"/>
    <w:rsid w:val="00595EC3"/>
    <w:rsid w:val="00597B11"/>
    <w:rsid w:val="005D2E01"/>
    <w:rsid w:val="005D7526"/>
    <w:rsid w:val="005E4BB2"/>
    <w:rsid w:val="006028C0"/>
    <w:rsid w:val="00602AEA"/>
    <w:rsid w:val="00614FDF"/>
    <w:rsid w:val="0063543D"/>
    <w:rsid w:val="0063585B"/>
    <w:rsid w:val="00647114"/>
    <w:rsid w:val="006A323F"/>
    <w:rsid w:val="006A6F17"/>
    <w:rsid w:val="006B30D0"/>
    <w:rsid w:val="006C1584"/>
    <w:rsid w:val="006C3D95"/>
    <w:rsid w:val="006E5C86"/>
    <w:rsid w:val="006F61D7"/>
    <w:rsid w:val="00701116"/>
    <w:rsid w:val="00713C44"/>
    <w:rsid w:val="00721293"/>
    <w:rsid w:val="00734A5B"/>
    <w:rsid w:val="0074026F"/>
    <w:rsid w:val="007429F6"/>
    <w:rsid w:val="00743C79"/>
    <w:rsid w:val="00744E76"/>
    <w:rsid w:val="00774DA4"/>
    <w:rsid w:val="00780EC9"/>
    <w:rsid w:val="00781F0F"/>
    <w:rsid w:val="007949C7"/>
    <w:rsid w:val="007B1E96"/>
    <w:rsid w:val="007B600E"/>
    <w:rsid w:val="007F0F4A"/>
    <w:rsid w:val="007F5398"/>
    <w:rsid w:val="008028A4"/>
    <w:rsid w:val="00803DB7"/>
    <w:rsid w:val="0081264B"/>
    <w:rsid w:val="00830747"/>
    <w:rsid w:val="0083684A"/>
    <w:rsid w:val="008368F2"/>
    <w:rsid w:val="008768CA"/>
    <w:rsid w:val="00885367"/>
    <w:rsid w:val="008A6463"/>
    <w:rsid w:val="008B02D1"/>
    <w:rsid w:val="008C384C"/>
    <w:rsid w:val="0090271F"/>
    <w:rsid w:val="00902E23"/>
    <w:rsid w:val="009114D7"/>
    <w:rsid w:val="0091348E"/>
    <w:rsid w:val="00915412"/>
    <w:rsid w:val="00917CCB"/>
    <w:rsid w:val="00942EC2"/>
    <w:rsid w:val="00973023"/>
    <w:rsid w:val="00985F99"/>
    <w:rsid w:val="009C3E5A"/>
    <w:rsid w:val="009F37B7"/>
    <w:rsid w:val="00A10F02"/>
    <w:rsid w:val="00A164B4"/>
    <w:rsid w:val="00A26956"/>
    <w:rsid w:val="00A27486"/>
    <w:rsid w:val="00A434FD"/>
    <w:rsid w:val="00A53724"/>
    <w:rsid w:val="00A56066"/>
    <w:rsid w:val="00A73129"/>
    <w:rsid w:val="00A82346"/>
    <w:rsid w:val="00A92BA1"/>
    <w:rsid w:val="00AC6BC6"/>
    <w:rsid w:val="00AE5D66"/>
    <w:rsid w:val="00AE65E2"/>
    <w:rsid w:val="00B14410"/>
    <w:rsid w:val="00B15449"/>
    <w:rsid w:val="00B56B34"/>
    <w:rsid w:val="00B66DD7"/>
    <w:rsid w:val="00B93086"/>
    <w:rsid w:val="00B93FB3"/>
    <w:rsid w:val="00BA19ED"/>
    <w:rsid w:val="00BA4B8D"/>
    <w:rsid w:val="00BC0F7D"/>
    <w:rsid w:val="00BD7D31"/>
    <w:rsid w:val="00BE3255"/>
    <w:rsid w:val="00BE4FE5"/>
    <w:rsid w:val="00BF128E"/>
    <w:rsid w:val="00C074DD"/>
    <w:rsid w:val="00C1496A"/>
    <w:rsid w:val="00C33079"/>
    <w:rsid w:val="00C41F2A"/>
    <w:rsid w:val="00C45231"/>
    <w:rsid w:val="00C70AEE"/>
    <w:rsid w:val="00C70CEE"/>
    <w:rsid w:val="00C72833"/>
    <w:rsid w:val="00C80F1D"/>
    <w:rsid w:val="00C93F40"/>
    <w:rsid w:val="00CA3D0C"/>
    <w:rsid w:val="00CB0098"/>
    <w:rsid w:val="00CB0749"/>
    <w:rsid w:val="00D12A57"/>
    <w:rsid w:val="00D2237B"/>
    <w:rsid w:val="00D2420C"/>
    <w:rsid w:val="00D544DE"/>
    <w:rsid w:val="00D560A3"/>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4B18"/>
    <w:rsid w:val="00E70053"/>
    <w:rsid w:val="00E7470F"/>
    <w:rsid w:val="00E77645"/>
    <w:rsid w:val="00EA15B0"/>
    <w:rsid w:val="00EA5EA7"/>
    <w:rsid w:val="00EC3D06"/>
    <w:rsid w:val="00EC4A25"/>
    <w:rsid w:val="00F025A2"/>
    <w:rsid w:val="00F04712"/>
    <w:rsid w:val="00F13360"/>
    <w:rsid w:val="00F22EC7"/>
    <w:rsid w:val="00F325C8"/>
    <w:rsid w:val="00F54E8C"/>
    <w:rsid w:val="00F653B8"/>
    <w:rsid w:val="00F76708"/>
    <w:rsid w:val="00F9008D"/>
    <w:rsid w:val="00F91254"/>
    <w:rsid w:val="00FA1266"/>
    <w:rsid w:val="00FB7427"/>
    <w:rsid w:val="00FC1192"/>
    <w:rsid w:val="00FC5F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20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CRCoverPage">
    <w:name w:val="CR Cover Page"/>
    <w:link w:val="CRCoverPageChar"/>
    <w:qFormat/>
    <w:rsid w:val="00B66DD7"/>
    <w:pPr>
      <w:spacing w:after="120"/>
    </w:pPr>
    <w:rPr>
      <w:rFonts w:ascii="Arial" w:hAnsi="Arial"/>
      <w:lang w:eastAsia="en-US"/>
    </w:rPr>
  </w:style>
  <w:style w:type="character" w:customStyle="1" w:styleId="CRCoverPageChar">
    <w:name w:val="CR Cover Page Char"/>
    <w:link w:val="CRCoverPage"/>
    <w:qFormat/>
    <w:rsid w:val="00B66DD7"/>
    <w:rPr>
      <w:rFonts w:ascii="Arial" w:hAnsi="Arial"/>
      <w:lang w:eastAsia="en-US"/>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
    <w:basedOn w:val="Normal"/>
    <w:link w:val="ListParagraphChar"/>
    <w:uiPriority w:val="34"/>
    <w:qFormat/>
    <w:rsid w:val="004A5551"/>
    <w:pPr>
      <w:spacing w:after="0"/>
      <w:ind w:firstLineChars="200" w:firstLine="420"/>
    </w:pPr>
    <w:rPr>
      <w:rFonts w:cs="SimSun"/>
      <w:sz w:val="24"/>
      <w:szCs w:val="24"/>
      <w:lang w:val="en-US" w:eastAsia="zh-CN"/>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4A5551"/>
    <w:rPr>
      <w:rFonts w:cs="SimSun"/>
      <w:sz w:val="24"/>
      <w:szCs w:val="24"/>
      <w:lang w:val="en-US" w:eastAsia="zh-CN"/>
    </w:rPr>
  </w:style>
  <w:style w:type="paragraph" w:customStyle="1" w:styleId="MyStyle">
    <w:name w:val="My Style"/>
    <w:basedOn w:val="Normal"/>
    <w:link w:val="MyStyleChar"/>
    <w:qFormat/>
    <w:rsid w:val="00094049"/>
    <w:pPr>
      <w:ind w:left="1418" w:hanging="1418"/>
    </w:pPr>
    <w:rPr>
      <w:b/>
      <w:bCs/>
      <w:lang w:val="en-US"/>
    </w:rPr>
  </w:style>
  <w:style w:type="character" w:customStyle="1" w:styleId="MyStyleChar">
    <w:name w:val="My Style Char"/>
    <w:basedOn w:val="DefaultParagraphFont"/>
    <w:link w:val="MyStyle"/>
    <w:rsid w:val="00094049"/>
    <w:rPr>
      <w:b/>
      <w:bCs/>
      <w:lang w:val="en-US" w:eastAsia="en-US"/>
    </w:rPr>
  </w:style>
  <w:style w:type="character" w:customStyle="1" w:styleId="Heading3Char">
    <w:name w:val="Heading 3 Char"/>
    <w:basedOn w:val="DefaultParagraphFont"/>
    <w:link w:val="Heading3"/>
    <w:rsid w:val="0010598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C7B061-CD6B-4426-93B7-0B7BACDBC87B}">
  <ds:schemaRefs>
    <ds:schemaRef ds:uri="http://schemas.microsoft.com/office/2006/metadata/properties"/>
    <ds:schemaRef ds:uri="http://schemas.microsoft.com/sharepoint/v3"/>
    <ds:schemaRef ds:uri="http://purl.org/dc/elements/1.1/"/>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d8762117-8292-4133-b1c7-eab5c6487cfd"/>
    <ds:schemaRef ds:uri="9b239327-9e80-40e4-b1b7-4394fed77a33"/>
    <ds:schemaRef ds:uri="2f282d3b-eb4a-4b09-b61f-b9593442e286"/>
    <ds:schemaRef ds:uri="http://purl.org/dc/dcmitype/"/>
    <ds:schemaRef ds:uri="http://purl.org/dc/terms/"/>
  </ds:schemaRefs>
</ds:datastoreItem>
</file>

<file path=customXml/itemProps2.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3.xml><?xml version="1.0" encoding="utf-8"?>
<ds:datastoreItem xmlns:ds="http://schemas.openxmlformats.org/officeDocument/2006/customXml" ds:itemID="{3C2E566D-BB42-45A5-8894-9F6CDDEC8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02D5B-2EBD-42C5-B0E5-F4704B522F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1101</Words>
  <Characters>4810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 K</cp:lastModifiedBy>
  <cp:revision>9</cp:revision>
  <cp:lastPrinted>2019-02-25T14:05:00Z</cp:lastPrinted>
  <dcterms:created xsi:type="dcterms:W3CDTF">2023-08-11T13:06:00Z</dcterms:created>
  <dcterms:modified xsi:type="dcterms:W3CDTF">2023-08-11T14:23:00Z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