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012497" w:rsidRPr="00012497">
        <w:rPr>
          <w:rFonts w:ascii="Arial" w:hAnsi="Arial" w:cs="Arial"/>
          <w:b/>
          <w:sz w:val="24"/>
          <w:lang w:val="en-US" w:eastAsia="zh-CN"/>
        </w:rPr>
        <w:t>R4-2312855</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439E7" w:rsidRPr="004439E7">
        <w:rPr>
          <w:rFonts w:ascii="Arial" w:eastAsia="宋体" w:hAnsi="Arial"/>
          <w:b/>
          <w:sz w:val="24"/>
          <w:lang w:val="en-US" w:eastAsia="zh-CN"/>
        </w:rPr>
        <w:t xml:space="preserve">Discussion on RRM requirements for </w:t>
      </w:r>
      <w:r w:rsidR="0031675F">
        <w:rPr>
          <w:rFonts w:ascii="Arial" w:eastAsia="宋体" w:hAnsi="Arial" w:hint="eastAsia"/>
          <w:b/>
          <w:sz w:val="24"/>
          <w:lang w:val="en-US" w:eastAsia="zh-CN"/>
        </w:rPr>
        <w:t>IDC</w:t>
      </w:r>
      <w:r w:rsidR="0031675F" w:rsidRPr="0031675F">
        <w:t xml:space="preserve"> </w:t>
      </w:r>
      <w:r w:rsidR="0031675F" w:rsidRPr="0031675F">
        <w:rPr>
          <w:rFonts w:ascii="Arial" w:eastAsia="宋体" w:hAnsi="Arial"/>
          <w:b/>
          <w:sz w:val="24"/>
          <w:lang w:val="en-US" w:eastAsia="zh-CN"/>
        </w:rPr>
        <w:t>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31675F">
        <w:rPr>
          <w:rFonts w:ascii="Arial" w:eastAsia="宋体" w:hAnsi="Arial"/>
          <w:b/>
          <w:sz w:val="24"/>
          <w:lang w:val="en-US" w:eastAsia="zh-CN"/>
        </w:rPr>
        <w:t>36.2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31675F" w:rsidRPr="0031675F">
        <w:rPr>
          <w:rFonts w:eastAsia="宋体"/>
          <w:lang w:eastAsia="zh-CN"/>
        </w:rPr>
        <w:t>IDC enhancements</w:t>
      </w:r>
      <w:r w:rsidR="00AA3CA5">
        <w:rPr>
          <w:rFonts w:eastAsia="宋体"/>
          <w:lang w:eastAsia="zh-CN"/>
        </w:rPr>
        <w:t xml:space="preserve"> </w:t>
      </w:r>
      <w:r>
        <w:rPr>
          <w:rFonts w:eastAsia="宋体"/>
          <w:lang w:eastAsia="zh-CN"/>
        </w:rPr>
        <w:t>are discussed in RAN4#10</w:t>
      </w:r>
      <w:r w:rsidR="00AA3CA5">
        <w:rPr>
          <w:rFonts w:eastAsia="宋体"/>
          <w:lang w:eastAsia="zh-CN"/>
        </w:rPr>
        <w:t>7</w:t>
      </w:r>
      <w:r>
        <w:rPr>
          <w:rFonts w:eastAsia="宋体"/>
          <w:lang w:eastAsia="zh-CN"/>
        </w:rPr>
        <w:t xml:space="preserve"> and the outcomes are captured in [1]. Based on [1] the following issues need to be further discussed.</w:t>
      </w:r>
    </w:p>
    <w:p w:rsidR="00070269" w:rsidRDefault="00070269"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DRX based IDC solution</w:t>
      </w:r>
    </w:p>
    <w:p w:rsidR="00070269" w:rsidRDefault="00070269"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Autonomous denial</w:t>
      </w:r>
    </w:p>
    <w:p w:rsidR="004439E7" w:rsidRDefault="00445921"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FDM IDC solution</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445921">
        <w:rPr>
          <w:rFonts w:eastAsia="宋体" w:hint="eastAsia"/>
          <w:lang w:eastAsia="zh-CN"/>
        </w:rPr>
        <w:t>RRM</w:t>
      </w:r>
      <w:r w:rsidR="00445921">
        <w:rPr>
          <w:rFonts w:eastAsia="宋体"/>
          <w:lang w:eastAsia="zh-CN"/>
        </w:rPr>
        <w:t xml:space="preserve"> </w:t>
      </w:r>
      <w:r w:rsidR="00445921">
        <w:rPr>
          <w:rFonts w:eastAsia="宋体" w:hint="eastAsia"/>
          <w:lang w:eastAsia="zh-CN"/>
        </w:rPr>
        <w:t>requirements</w:t>
      </w:r>
      <w:r w:rsidR="00445921">
        <w:rPr>
          <w:rFonts w:eastAsia="宋体"/>
          <w:lang w:eastAsia="zh-CN"/>
        </w:rPr>
        <w:t xml:space="preserve"> for </w:t>
      </w:r>
      <w:r w:rsidR="00445921" w:rsidRPr="0031675F">
        <w:rPr>
          <w:rFonts w:eastAsia="宋体"/>
          <w:lang w:eastAsia="zh-CN"/>
        </w:rPr>
        <w:t>IDC enhancements</w:t>
      </w:r>
      <w:r>
        <w:rPr>
          <w:rFonts w:eastAsia="宋体"/>
          <w:lang w:eastAsia="zh-CN"/>
        </w:rPr>
        <w:t>.</w:t>
      </w:r>
    </w:p>
    <w:p w:rsidR="00B719B0" w:rsidRDefault="00FA0C0C" w:rsidP="00E4186F">
      <w:pPr>
        <w:pStyle w:val="1"/>
        <w:jc w:val="both"/>
        <w:rPr>
          <w:lang w:val="en-US"/>
        </w:rPr>
      </w:pPr>
      <w:r>
        <w:rPr>
          <w:lang w:val="en-US"/>
        </w:rPr>
        <w:t>Discussion</w:t>
      </w:r>
    </w:p>
    <w:p w:rsidR="00445921" w:rsidRDefault="00445921" w:rsidP="00445921">
      <w:pPr>
        <w:pStyle w:val="2"/>
        <w:rPr>
          <w:lang w:eastAsia="zh-CN"/>
        </w:rPr>
      </w:pPr>
      <w:r>
        <w:rPr>
          <w:lang w:eastAsia="zh-CN"/>
        </w:rPr>
        <w:t>DRX based IDC solution</w:t>
      </w:r>
    </w:p>
    <w:tbl>
      <w:tblPr>
        <w:tblStyle w:val="afa"/>
        <w:tblW w:w="0" w:type="auto"/>
        <w:tblLook w:val="04A0" w:firstRow="1" w:lastRow="0" w:firstColumn="1" w:lastColumn="0" w:noHBand="0" w:noVBand="1"/>
      </w:tblPr>
      <w:tblGrid>
        <w:gridCol w:w="9621"/>
      </w:tblGrid>
      <w:tr w:rsidR="00445921" w:rsidTr="00445921">
        <w:tc>
          <w:tcPr>
            <w:tcW w:w="9621" w:type="dxa"/>
          </w:tcPr>
          <w:p w:rsidR="00445921" w:rsidRPr="00445921" w:rsidRDefault="00445921" w:rsidP="00445921">
            <w:pPr>
              <w:overflowPunct w:val="0"/>
              <w:autoSpaceDE w:val="0"/>
              <w:autoSpaceDN w:val="0"/>
              <w:adjustRightInd w:val="0"/>
              <w:spacing w:beforeLines="0" w:before="0" w:afterLines="0" w:after="180"/>
              <w:textAlignment w:val="baseline"/>
              <w:rPr>
                <w:rFonts w:eastAsia="Times New Roman"/>
                <w:sz w:val="20"/>
                <w:lang w:eastAsia="zh-CN"/>
              </w:rPr>
            </w:pPr>
            <w:r w:rsidRPr="00445921">
              <w:rPr>
                <w:rFonts w:eastAsia="Times New Roman"/>
                <w:b/>
                <w:sz w:val="20"/>
                <w:lang w:eastAsia="zh-CN"/>
              </w:rPr>
              <w:t>&lt;</w:t>
            </w:r>
            <w:r w:rsidRPr="00445921">
              <w:rPr>
                <w:rFonts w:eastAsia="Times New Roman" w:hint="eastAsia"/>
                <w:b/>
                <w:sz w:val="20"/>
                <w:lang w:val="en-US" w:eastAsia="zh-CN"/>
              </w:rPr>
              <w:t>Way forward</w:t>
            </w:r>
            <w:r w:rsidRPr="00445921">
              <w:rPr>
                <w:rFonts w:eastAsia="Times New Roman"/>
                <w:b/>
                <w:sz w:val="20"/>
                <w:lang w:eastAsia="zh-CN"/>
              </w:rPr>
              <w:t>&gt;</w:t>
            </w:r>
            <w:r w:rsidRPr="00445921">
              <w:rPr>
                <w:rFonts w:eastAsia="Times New Roman"/>
                <w:sz w:val="20"/>
                <w:lang w:eastAsia="zh-CN"/>
              </w:rPr>
              <w:t xml:space="preserve">: </w:t>
            </w:r>
          </w:p>
          <w:p w:rsidR="00445921" w:rsidRPr="00445921" w:rsidRDefault="00445921" w:rsidP="00445921">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445921">
              <w:rPr>
                <w:rFonts w:eastAsia="Times New Roman"/>
                <w:sz w:val="20"/>
                <w:lang w:eastAsia="zh-CN"/>
              </w:rPr>
              <w:t>-</w:t>
            </w:r>
            <w:r w:rsidRPr="00445921">
              <w:rPr>
                <w:rFonts w:eastAsia="Times New Roman"/>
                <w:sz w:val="20"/>
                <w:lang w:eastAsia="zh-CN"/>
              </w:rPr>
              <w:tab/>
            </w:r>
            <w:r w:rsidRPr="00445921">
              <w:rPr>
                <w:rFonts w:eastAsia="Times New Roman" w:hint="eastAsia"/>
                <w:sz w:val="20"/>
                <w:lang w:val="en-US" w:eastAsia="zh-CN"/>
              </w:rPr>
              <w:t xml:space="preserve">FFS: </w:t>
            </w:r>
            <w:r w:rsidRPr="00445921">
              <w:rPr>
                <w:rFonts w:eastAsia="Times New Roman" w:hint="eastAsia"/>
                <w:sz w:val="20"/>
                <w:lang w:eastAsia="zh-CN"/>
              </w:rPr>
              <w:t>No new RRM impact is expected for the DRX solution in Rel-18 IDC.</w:t>
            </w:r>
          </w:p>
        </w:tc>
      </w:tr>
    </w:tbl>
    <w:p w:rsidR="00445921" w:rsidRPr="00830B8C" w:rsidRDefault="00445921" w:rsidP="00445921">
      <w:pPr>
        <w:spacing w:before="120" w:after="120"/>
        <w:rPr>
          <w:lang w:eastAsia="zh-CN"/>
        </w:rPr>
      </w:pPr>
      <w:r>
        <w:rPr>
          <w:lang w:eastAsia="zh-CN"/>
        </w:rPr>
        <w:t xml:space="preserve">In DRX based IDC solution, RAN2 supports UE </w:t>
      </w:r>
      <w:r w:rsidR="008E3E42">
        <w:rPr>
          <w:lang w:eastAsia="zh-CN"/>
        </w:rPr>
        <w:t>to</w:t>
      </w:r>
      <w:r>
        <w:rPr>
          <w:lang w:eastAsia="zh-CN"/>
        </w:rPr>
        <w:t xml:space="preserve"> suggest </w:t>
      </w:r>
      <w:r w:rsidR="008E3E42">
        <w:rPr>
          <w:lang w:eastAsia="zh-CN"/>
        </w:rPr>
        <w:t>a</w:t>
      </w:r>
      <w:r>
        <w:rPr>
          <w:lang w:eastAsia="zh-CN"/>
        </w:rPr>
        <w:t xml:space="preserve"> preferred TDM pattern to the NW</w:t>
      </w:r>
      <w:r w:rsidR="00830B8C">
        <w:rPr>
          <w:lang w:eastAsia="zh-CN"/>
        </w:rPr>
        <w:t xml:space="preserve">, and NW can determine and re-configure DRX pattern based on UE suggestion. RAN2 agreed that no new DRX values are introduced, so finally UE is still configured with DRX using existing DRX parameters. Since RAN4 already defined RRM requirements for DRX, we do not see new RRM impacts.  </w:t>
      </w:r>
    </w:p>
    <w:p w:rsidR="00445921" w:rsidRPr="00830B8C" w:rsidRDefault="00830B8C" w:rsidP="00445921">
      <w:pPr>
        <w:spacing w:before="120" w:after="120"/>
        <w:rPr>
          <w:rFonts w:eastAsiaTheme="minorEastAsia"/>
          <w:b/>
          <w:lang w:eastAsia="zh-CN"/>
        </w:rPr>
      </w:pPr>
      <w:r w:rsidRPr="00830B8C">
        <w:rPr>
          <w:rFonts w:eastAsiaTheme="minorEastAsia"/>
          <w:b/>
          <w:lang w:eastAsia="zh-CN"/>
        </w:rPr>
        <w:t>Proposal 1: No new RRM impact is expected for the DRX solution in Rel-18 IDC.</w:t>
      </w:r>
    </w:p>
    <w:p w:rsidR="00445921" w:rsidRDefault="00445921" w:rsidP="00445921">
      <w:pPr>
        <w:pStyle w:val="2"/>
        <w:rPr>
          <w:lang w:eastAsia="zh-CN"/>
        </w:rPr>
      </w:pPr>
      <w:r>
        <w:rPr>
          <w:lang w:eastAsia="zh-CN"/>
        </w:rPr>
        <w:t>Autonomous denial</w:t>
      </w:r>
    </w:p>
    <w:tbl>
      <w:tblPr>
        <w:tblStyle w:val="afa"/>
        <w:tblW w:w="0" w:type="auto"/>
        <w:tblLook w:val="04A0" w:firstRow="1" w:lastRow="0" w:firstColumn="1" w:lastColumn="0" w:noHBand="0" w:noVBand="1"/>
      </w:tblPr>
      <w:tblGrid>
        <w:gridCol w:w="9621"/>
      </w:tblGrid>
      <w:tr w:rsidR="00445921" w:rsidTr="00445921">
        <w:tc>
          <w:tcPr>
            <w:tcW w:w="9621" w:type="dxa"/>
          </w:tcPr>
          <w:p w:rsidR="00830B8C" w:rsidRDefault="00830B8C" w:rsidP="00830B8C">
            <w:pPr>
              <w:spacing w:before="120" w:after="120"/>
              <w:rPr>
                <w:lang w:eastAsia="zh-CN"/>
              </w:rPr>
            </w:pPr>
            <w:r>
              <w:rPr>
                <w:b/>
                <w:lang w:eastAsia="zh-CN"/>
              </w:rPr>
              <w:t>&lt;Agreement&gt;</w:t>
            </w:r>
            <w:r>
              <w:rPr>
                <w:lang w:eastAsia="zh-CN"/>
              </w:rPr>
              <w:t xml:space="preserve">: </w:t>
            </w:r>
          </w:p>
          <w:p w:rsidR="00445921" w:rsidRPr="00830B8C" w:rsidRDefault="00830B8C" w:rsidP="00830B8C">
            <w:pPr>
              <w:spacing w:before="120" w:after="120"/>
              <w:ind w:firstLine="420"/>
              <w:rPr>
                <w:rFonts w:eastAsia="宋体"/>
                <w:szCs w:val="24"/>
                <w:lang w:eastAsia="zh-CN"/>
              </w:rPr>
            </w:pPr>
            <w:r>
              <w:rPr>
                <w:rFonts w:eastAsia="宋体" w:hint="eastAsia"/>
                <w:szCs w:val="24"/>
                <w:lang w:eastAsia="zh-CN"/>
              </w:rPr>
              <w:t xml:space="preserve">RAN4 adopts a similar approach to </w:t>
            </w:r>
            <w:proofErr w:type="spellStart"/>
            <w:r>
              <w:rPr>
                <w:rFonts w:eastAsia="宋体" w:hint="eastAsia"/>
                <w:szCs w:val="24"/>
                <w:lang w:eastAsia="zh-CN"/>
              </w:rPr>
              <w:t>defin</w:t>
            </w:r>
            <w:r>
              <w:rPr>
                <w:rFonts w:eastAsia="宋体" w:hint="eastAsia"/>
                <w:szCs w:val="24"/>
                <w:lang w:val="en-US" w:eastAsia="zh-CN"/>
              </w:rPr>
              <w:t>ing</w:t>
            </w:r>
            <w:proofErr w:type="spellEnd"/>
            <w:r>
              <w:rPr>
                <w:rFonts w:eastAsia="宋体" w:hint="eastAsia"/>
                <w:szCs w:val="24"/>
                <w:lang w:eastAsia="zh-CN"/>
              </w:rPr>
              <w:t xml:space="preserve"> IDC-related RRM requirements for NR as for LTE.</w:t>
            </w:r>
          </w:p>
        </w:tc>
      </w:tr>
    </w:tbl>
    <w:p w:rsidR="00445921" w:rsidRDefault="00F97B96" w:rsidP="00445921">
      <w:pPr>
        <w:spacing w:before="120" w:after="120"/>
        <w:rPr>
          <w:rFonts w:eastAsiaTheme="minorEastAsia"/>
          <w:lang w:eastAsia="zh-CN"/>
        </w:rPr>
      </w:pPr>
      <w:r>
        <w:rPr>
          <w:rFonts w:eastAsiaTheme="minorEastAsia"/>
          <w:lang w:eastAsia="zh-CN"/>
        </w:rPr>
        <w:t xml:space="preserve">In LTE, the impact of autonomous denial is reflected by the possible additional delay for measurement reporting. Since UE may deny UL transmission due to IDC reason as allowed by the NW, the reporting delay can be extended if it happens to deny the UL for measurement reporting. </w:t>
      </w:r>
    </w:p>
    <w:p w:rsidR="00F97B96" w:rsidRDefault="00F97B96" w:rsidP="00445921">
      <w:pPr>
        <w:spacing w:before="120" w:after="120"/>
        <w:rPr>
          <w:rFonts w:eastAsiaTheme="minorEastAsia"/>
          <w:lang w:eastAsia="zh-CN"/>
        </w:rPr>
      </w:pPr>
      <w:r>
        <w:rPr>
          <w:rFonts w:eastAsiaTheme="minorEastAsia" w:hint="eastAsia"/>
          <w:lang w:eastAsia="zh-CN"/>
        </w:rPr>
        <w:t>W</w:t>
      </w:r>
      <w:r>
        <w:rPr>
          <w:rFonts w:eastAsiaTheme="minorEastAsia"/>
          <w:lang w:eastAsia="zh-CN"/>
        </w:rPr>
        <w:t>e identify the following requirements to be impacted:</w:t>
      </w:r>
    </w:p>
    <w:p w:rsidR="00F97B96" w:rsidRDefault="00F97B96" w:rsidP="00F97B96">
      <w:pPr>
        <w:pStyle w:val="afe"/>
        <w:numPr>
          <w:ilvl w:val="0"/>
          <w:numId w:val="19"/>
        </w:numPr>
        <w:spacing w:before="120" w:after="120"/>
        <w:rPr>
          <w:rFonts w:eastAsiaTheme="minorEastAsia"/>
          <w:lang w:eastAsia="zh-CN"/>
        </w:rPr>
      </w:pPr>
      <w:r>
        <w:rPr>
          <w:rFonts w:eastAsiaTheme="minorEastAsia" w:hint="eastAsia"/>
          <w:lang w:eastAsia="zh-CN"/>
        </w:rPr>
        <w:t>L</w:t>
      </w:r>
      <w:r>
        <w:rPr>
          <w:rFonts w:eastAsiaTheme="minorEastAsia"/>
          <w:lang w:eastAsia="zh-CN"/>
        </w:rPr>
        <w:t>3 measurement reporting, including intra-</w:t>
      </w:r>
      <w:r w:rsidR="00461940">
        <w:rPr>
          <w:rFonts w:eastAsiaTheme="minorEastAsia"/>
          <w:lang w:eastAsia="zh-CN"/>
        </w:rPr>
        <w:t>/</w:t>
      </w:r>
      <w:r>
        <w:rPr>
          <w:rFonts w:eastAsiaTheme="minorEastAsia"/>
          <w:lang w:eastAsia="zh-CN"/>
        </w:rPr>
        <w:t xml:space="preserve">inter-frequency and inter-RAT, and both SSB and CSI-RS </w:t>
      </w:r>
    </w:p>
    <w:p w:rsidR="00F97B96" w:rsidRDefault="00F97B96" w:rsidP="00F97B96">
      <w:pPr>
        <w:pStyle w:val="afe"/>
        <w:numPr>
          <w:ilvl w:val="0"/>
          <w:numId w:val="19"/>
        </w:numPr>
        <w:spacing w:before="120" w:after="120"/>
        <w:rPr>
          <w:rFonts w:eastAsiaTheme="minorEastAsia"/>
          <w:lang w:eastAsia="zh-CN"/>
        </w:rPr>
      </w:pPr>
      <w:r>
        <w:rPr>
          <w:rFonts w:eastAsiaTheme="minorEastAsia" w:hint="eastAsia"/>
          <w:lang w:eastAsia="zh-CN"/>
        </w:rPr>
        <w:t>L</w:t>
      </w:r>
      <w:r>
        <w:rPr>
          <w:rFonts w:eastAsiaTheme="minorEastAsia"/>
          <w:lang w:eastAsia="zh-CN"/>
        </w:rPr>
        <w:t>1 measurement reporting</w:t>
      </w:r>
      <w:r w:rsidR="00461940">
        <w:rPr>
          <w:rFonts w:eastAsiaTheme="minorEastAsia"/>
          <w:lang w:eastAsia="zh-CN"/>
        </w:rPr>
        <w:t>,</w:t>
      </w:r>
      <w:r>
        <w:rPr>
          <w:rFonts w:eastAsiaTheme="minorEastAsia"/>
          <w:lang w:eastAsia="zh-CN"/>
        </w:rPr>
        <w:t xml:space="preserve"> </w:t>
      </w:r>
      <w:r w:rsidR="00461940">
        <w:rPr>
          <w:rFonts w:eastAsiaTheme="minorEastAsia"/>
          <w:lang w:eastAsia="zh-CN"/>
        </w:rPr>
        <w:t xml:space="preserve">including </w:t>
      </w:r>
      <w:r>
        <w:rPr>
          <w:rFonts w:eastAsiaTheme="minorEastAsia"/>
          <w:lang w:eastAsia="zh-CN"/>
        </w:rPr>
        <w:t>L-RSRP and L1-SINR</w:t>
      </w:r>
    </w:p>
    <w:p w:rsidR="00F97B96" w:rsidRDefault="00F97B96" w:rsidP="00F97B96">
      <w:pPr>
        <w:pStyle w:val="afe"/>
        <w:numPr>
          <w:ilvl w:val="0"/>
          <w:numId w:val="19"/>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LI </w:t>
      </w:r>
      <w:r w:rsidR="00461940">
        <w:rPr>
          <w:rFonts w:eastAsiaTheme="minorEastAsia"/>
          <w:lang w:eastAsia="zh-CN"/>
        </w:rPr>
        <w:t>measurement</w:t>
      </w:r>
      <w:r>
        <w:rPr>
          <w:rFonts w:eastAsiaTheme="minorEastAsia"/>
          <w:lang w:eastAsia="zh-CN"/>
        </w:rPr>
        <w:t xml:space="preserve"> reporting</w:t>
      </w:r>
    </w:p>
    <w:p w:rsidR="00F97B96" w:rsidRDefault="00F97B96" w:rsidP="00F97B96">
      <w:pPr>
        <w:pStyle w:val="afe"/>
        <w:numPr>
          <w:ilvl w:val="0"/>
          <w:numId w:val="19"/>
        </w:num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ositioning measurement reporting </w:t>
      </w:r>
    </w:p>
    <w:p w:rsidR="00461940" w:rsidRDefault="00461940" w:rsidP="00F97B96">
      <w:pPr>
        <w:pStyle w:val="afe"/>
        <w:numPr>
          <w:ilvl w:val="0"/>
          <w:numId w:val="19"/>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GI measurement reporting </w:t>
      </w:r>
    </w:p>
    <w:p w:rsidR="00461940" w:rsidRPr="00F97B96" w:rsidRDefault="00461940" w:rsidP="00F97B96">
      <w:pPr>
        <w:pStyle w:val="afe"/>
        <w:numPr>
          <w:ilvl w:val="0"/>
          <w:numId w:val="19"/>
        </w:num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DC measurement reporting </w:t>
      </w:r>
    </w:p>
    <w:p w:rsidR="00461940" w:rsidRDefault="00461940" w:rsidP="00445921">
      <w:pPr>
        <w:spacing w:before="120" w:after="120"/>
        <w:rPr>
          <w:rFonts w:eastAsiaTheme="minorEastAsia"/>
          <w:lang w:eastAsia="zh-CN"/>
        </w:rPr>
      </w:pPr>
      <w:r>
        <w:rPr>
          <w:rFonts w:eastAsiaTheme="minorEastAsia"/>
          <w:lang w:eastAsia="zh-CN"/>
        </w:rPr>
        <w:lastRenderedPageBreak/>
        <w:t xml:space="preserve">In LTE, the impact of autonomous denial is also applied to CHO. However, in CHO there is no measurement reporting, but UE will evaluate the HO condition internally, so the impact should be removed. </w:t>
      </w:r>
    </w:p>
    <w:p w:rsidR="00445921" w:rsidRDefault="00461940" w:rsidP="00445921">
      <w:pPr>
        <w:spacing w:before="120" w:after="120"/>
        <w:rPr>
          <w:rFonts w:eastAsiaTheme="minorEastAsia"/>
          <w:lang w:eastAsia="zh-CN"/>
        </w:rPr>
      </w:pPr>
      <w:r>
        <w:rPr>
          <w:rFonts w:eastAsiaTheme="minorEastAsia"/>
          <w:lang w:eastAsia="zh-CN"/>
        </w:rPr>
        <w:t xml:space="preserve">Also, in LTE Rx-Tx measurement requirement is conditioned on certain </w:t>
      </w:r>
      <w:r w:rsidRPr="00461940">
        <w:rPr>
          <w:rFonts w:eastAsiaTheme="minorEastAsia"/>
          <w:lang w:eastAsia="zh-CN"/>
        </w:rPr>
        <w:t>autonomous denial</w:t>
      </w:r>
      <w:r>
        <w:rPr>
          <w:rFonts w:eastAsiaTheme="minorEastAsia"/>
          <w:lang w:eastAsia="zh-CN"/>
        </w:rPr>
        <w:t xml:space="preserve"> configuration. In our view, this is not needed for NR because the Tx timing is not based on actual UL transmission. </w:t>
      </w:r>
    </w:p>
    <w:p w:rsidR="00445921" w:rsidRPr="00461940" w:rsidRDefault="00461940" w:rsidP="00445921">
      <w:pPr>
        <w:spacing w:before="120" w:after="120"/>
        <w:rPr>
          <w:rFonts w:eastAsiaTheme="minorEastAsia"/>
          <w:b/>
          <w:lang w:eastAsia="zh-CN"/>
        </w:rPr>
      </w:pPr>
      <w:r w:rsidRPr="00461940">
        <w:rPr>
          <w:rFonts w:eastAsiaTheme="minorEastAsia" w:hint="eastAsia"/>
          <w:b/>
          <w:lang w:eastAsia="zh-CN"/>
        </w:rPr>
        <w:t>P</w:t>
      </w:r>
      <w:r w:rsidRPr="00461940">
        <w:rPr>
          <w:rFonts w:eastAsiaTheme="minorEastAsia"/>
          <w:b/>
          <w:lang w:eastAsia="zh-CN"/>
        </w:rPr>
        <w:t>roposal 2: RAN4 to clarify that measurement reporting delay can be longer when IDC autonomous denial is configured.</w:t>
      </w:r>
    </w:p>
    <w:p w:rsidR="00445921" w:rsidRDefault="00445921" w:rsidP="00445921">
      <w:pPr>
        <w:pStyle w:val="2"/>
        <w:rPr>
          <w:lang w:eastAsia="zh-CN"/>
        </w:rPr>
      </w:pPr>
      <w:r>
        <w:rPr>
          <w:lang w:eastAsia="zh-CN"/>
        </w:rPr>
        <w:t>FDM IDC solution</w:t>
      </w:r>
    </w:p>
    <w:tbl>
      <w:tblPr>
        <w:tblStyle w:val="afa"/>
        <w:tblW w:w="0" w:type="auto"/>
        <w:tblLook w:val="04A0" w:firstRow="1" w:lastRow="0" w:firstColumn="1" w:lastColumn="0" w:noHBand="0" w:noVBand="1"/>
      </w:tblPr>
      <w:tblGrid>
        <w:gridCol w:w="9621"/>
      </w:tblGrid>
      <w:tr w:rsidR="00461940" w:rsidTr="00461940">
        <w:tc>
          <w:tcPr>
            <w:tcW w:w="9621" w:type="dxa"/>
          </w:tcPr>
          <w:p w:rsidR="00461940" w:rsidRPr="00461940" w:rsidRDefault="00461940" w:rsidP="00461940">
            <w:pPr>
              <w:overflowPunct w:val="0"/>
              <w:autoSpaceDE w:val="0"/>
              <w:autoSpaceDN w:val="0"/>
              <w:adjustRightInd w:val="0"/>
              <w:spacing w:beforeLines="0" w:before="0" w:after="120"/>
              <w:textAlignment w:val="baseline"/>
              <w:rPr>
                <w:rFonts w:eastAsia="Times New Roman"/>
                <w:b/>
                <w:sz w:val="20"/>
                <w:lang w:eastAsia="zh-CN"/>
              </w:rPr>
            </w:pPr>
            <w:r w:rsidRPr="00461940">
              <w:rPr>
                <w:rFonts w:eastAsia="Times New Roman"/>
                <w:b/>
                <w:sz w:val="20"/>
                <w:lang w:eastAsia="zh-CN"/>
              </w:rPr>
              <w:t>&lt;Way forward&gt;:</w:t>
            </w:r>
          </w:p>
          <w:p w:rsidR="00461940" w:rsidRPr="00461940" w:rsidRDefault="00461940" w:rsidP="00461940">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461940">
              <w:rPr>
                <w:rFonts w:eastAsia="Times New Roman"/>
                <w:sz w:val="20"/>
                <w:lang w:eastAsia="zh-CN"/>
              </w:rPr>
              <w:t>-</w:t>
            </w:r>
            <w:r w:rsidRPr="00461940">
              <w:rPr>
                <w:rFonts w:eastAsia="Times New Roman"/>
                <w:sz w:val="20"/>
                <w:lang w:eastAsia="zh-CN"/>
              </w:rPr>
              <w:tab/>
            </w:r>
            <w:r w:rsidRPr="00461940">
              <w:rPr>
                <w:rFonts w:eastAsia="Times New Roman" w:hint="eastAsia"/>
                <w:sz w:val="20"/>
                <w:lang w:val="en-US" w:eastAsia="zh-CN"/>
              </w:rPr>
              <w:t>FFS</w:t>
            </w:r>
            <w:r w:rsidRPr="00461940">
              <w:rPr>
                <w:rFonts w:eastAsia="Times New Roman"/>
                <w:sz w:val="20"/>
                <w:lang w:eastAsia="zh-CN"/>
              </w:rPr>
              <w:t xml:space="preserve">: </w:t>
            </w:r>
            <w:r w:rsidRPr="00461940">
              <w:rPr>
                <w:rFonts w:eastAsia="宋体" w:hint="eastAsia"/>
                <w:sz w:val="20"/>
                <w:szCs w:val="24"/>
                <w:lang w:eastAsia="zh-CN"/>
              </w:rPr>
              <w:t xml:space="preserve">RAN4 to check whether </w:t>
            </w:r>
            <w:r w:rsidRPr="00461940">
              <w:rPr>
                <w:rFonts w:eastAsia="宋体"/>
                <w:sz w:val="20"/>
                <w:szCs w:val="24"/>
                <w:lang w:eastAsia="zh-CN"/>
              </w:rPr>
              <w:t>there is any</w:t>
            </w:r>
            <w:r w:rsidRPr="00461940">
              <w:rPr>
                <w:rFonts w:eastAsia="宋体" w:hint="eastAsia"/>
                <w:sz w:val="20"/>
                <w:szCs w:val="24"/>
                <w:lang w:eastAsia="zh-CN"/>
              </w:rPr>
              <w:t xml:space="preserve"> impact of FDM IDC solutions on RRM requirements. </w:t>
            </w:r>
          </w:p>
        </w:tc>
      </w:tr>
    </w:tbl>
    <w:p w:rsidR="00445921" w:rsidRDefault="00461940" w:rsidP="00445921">
      <w:pPr>
        <w:spacing w:before="120" w:after="120"/>
        <w:rPr>
          <w:rFonts w:eastAsiaTheme="minorEastAsia"/>
          <w:lang w:eastAsia="zh-CN"/>
        </w:rPr>
      </w:pPr>
      <w:r>
        <w:rPr>
          <w:rFonts w:eastAsiaTheme="minorEastAsia"/>
          <w:lang w:eastAsia="zh-CN"/>
        </w:rPr>
        <w:t>We do not support to specify the impact of FDM IDC solution on RRM requirements.</w:t>
      </w:r>
    </w:p>
    <w:p w:rsidR="00461940" w:rsidRDefault="00461940" w:rsidP="00461940">
      <w:pPr>
        <w:pStyle w:val="afe"/>
        <w:numPr>
          <w:ilvl w:val="0"/>
          <w:numId w:val="19"/>
        </w:numPr>
        <w:spacing w:before="120" w:after="120"/>
        <w:rPr>
          <w:rFonts w:eastAsiaTheme="minorEastAsia"/>
          <w:lang w:eastAsia="zh-CN"/>
        </w:rPr>
      </w:pPr>
      <w:r>
        <w:rPr>
          <w:rFonts w:eastAsiaTheme="minorEastAsia"/>
          <w:lang w:eastAsia="zh-CN"/>
        </w:rPr>
        <w:t>I</w:t>
      </w:r>
      <w:r w:rsidRPr="00461940">
        <w:rPr>
          <w:rFonts w:eastAsiaTheme="minorEastAsia"/>
          <w:lang w:eastAsia="zh-CN"/>
        </w:rPr>
        <w:t>mpact of FDM IDC solution</w:t>
      </w:r>
      <w:r>
        <w:rPr>
          <w:rFonts w:eastAsiaTheme="minorEastAsia"/>
          <w:lang w:eastAsia="zh-CN"/>
        </w:rPr>
        <w:t xml:space="preserve"> on RRM requirements is not explicitly included in WID</w:t>
      </w:r>
    </w:p>
    <w:p w:rsidR="00461940" w:rsidRDefault="009570EE" w:rsidP="00461940">
      <w:pPr>
        <w:pStyle w:val="afe"/>
        <w:numPr>
          <w:ilvl w:val="0"/>
          <w:numId w:val="19"/>
        </w:numPr>
        <w:spacing w:before="120" w:after="120"/>
        <w:rPr>
          <w:rFonts w:eastAsiaTheme="minorEastAsia"/>
          <w:lang w:eastAsia="zh-CN"/>
        </w:rPr>
      </w:pPr>
      <w:r>
        <w:rPr>
          <w:rFonts w:eastAsiaTheme="minorEastAsia"/>
          <w:lang w:eastAsia="zh-CN"/>
        </w:rPr>
        <w:t>I</w:t>
      </w:r>
      <w:r w:rsidRPr="00461940">
        <w:rPr>
          <w:rFonts w:eastAsiaTheme="minorEastAsia"/>
          <w:lang w:eastAsia="zh-CN"/>
        </w:rPr>
        <w:t>mpact of FDM IDC solution</w:t>
      </w:r>
      <w:r>
        <w:rPr>
          <w:rFonts w:eastAsiaTheme="minorEastAsia"/>
          <w:lang w:eastAsia="zh-CN"/>
        </w:rPr>
        <w:t xml:space="preserve"> on RRM requirements is not defined in LTE</w:t>
      </w:r>
    </w:p>
    <w:p w:rsidR="009570EE" w:rsidRPr="00461940" w:rsidRDefault="009570EE" w:rsidP="00461940">
      <w:pPr>
        <w:pStyle w:val="afe"/>
        <w:numPr>
          <w:ilvl w:val="0"/>
          <w:numId w:val="19"/>
        </w:numPr>
        <w:spacing w:before="120" w:after="120"/>
        <w:rPr>
          <w:rFonts w:eastAsiaTheme="minorEastAsia"/>
          <w:lang w:eastAsia="zh-CN"/>
        </w:rPr>
      </w:pPr>
      <w:r>
        <w:rPr>
          <w:rFonts w:eastAsiaTheme="minorEastAsia"/>
          <w:lang w:eastAsia="zh-CN"/>
        </w:rPr>
        <w:t>I</w:t>
      </w:r>
      <w:r w:rsidRPr="00461940">
        <w:rPr>
          <w:rFonts w:eastAsiaTheme="minorEastAsia"/>
          <w:lang w:eastAsia="zh-CN"/>
        </w:rPr>
        <w:t>mpact of FDM IDC solution</w:t>
      </w:r>
      <w:r>
        <w:rPr>
          <w:rFonts w:eastAsiaTheme="minorEastAsia"/>
          <w:lang w:eastAsia="zh-CN"/>
        </w:rPr>
        <w:t xml:space="preserve"> on RRM requirements is not defined in R16 NR. It is noted that in Rel-18 what is defined is the enhancement to the FDM solution, but the baseline FDM solution is already supported in Rel-16.</w:t>
      </w:r>
    </w:p>
    <w:p w:rsidR="00445921" w:rsidRPr="009570EE" w:rsidRDefault="009570EE" w:rsidP="00445921">
      <w:pPr>
        <w:spacing w:before="120" w:after="120"/>
        <w:rPr>
          <w:rFonts w:eastAsiaTheme="minorEastAsia"/>
          <w:b/>
          <w:lang w:eastAsia="zh-CN"/>
        </w:rPr>
      </w:pPr>
      <w:r w:rsidRPr="009570EE">
        <w:rPr>
          <w:rFonts w:eastAsiaTheme="minorEastAsia" w:hint="eastAsia"/>
          <w:b/>
          <w:lang w:eastAsia="zh-CN"/>
        </w:rPr>
        <w:t>P</w:t>
      </w:r>
      <w:r w:rsidRPr="009570EE">
        <w:rPr>
          <w:rFonts w:eastAsiaTheme="minorEastAsia"/>
          <w:b/>
          <w:lang w:eastAsia="zh-CN"/>
        </w:rPr>
        <w:t>roposal 3: RAN4 not to specify impact of FDM IDC solutions on RRM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45921">
        <w:rPr>
          <w:rFonts w:eastAsia="宋体" w:hint="eastAsia"/>
          <w:lang w:eastAsia="zh-CN"/>
        </w:rPr>
        <w:t>RRM</w:t>
      </w:r>
      <w:r w:rsidR="00445921">
        <w:rPr>
          <w:rFonts w:eastAsia="宋体"/>
          <w:lang w:eastAsia="zh-CN"/>
        </w:rPr>
        <w:t xml:space="preserve"> </w:t>
      </w:r>
      <w:r w:rsidR="00445921">
        <w:rPr>
          <w:rFonts w:eastAsia="宋体" w:hint="eastAsia"/>
          <w:lang w:eastAsia="zh-CN"/>
        </w:rPr>
        <w:t>requirements</w:t>
      </w:r>
      <w:r w:rsidR="00445921">
        <w:rPr>
          <w:rFonts w:eastAsia="宋体"/>
          <w:lang w:eastAsia="zh-CN"/>
        </w:rPr>
        <w:t xml:space="preserve"> for </w:t>
      </w:r>
      <w:r w:rsidR="00445921" w:rsidRPr="0031675F">
        <w:rPr>
          <w:rFonts w:eastAsia="宋体"/>
          <w:lang w:eastAsia="zh-CN"/>
        </w:rPr>
        <w:t>IDC enhancements</w:t>
      </w:r>
      <w:r>
        <w:rPr>
          <w:rFonts w:eastAsia="宋体"/>
          <w:lang w:eastAsia="zh-CN"/>
        </w:rPr>
        <w:t>.</w:t>
      </w:r>
    </w:p>
    <w:p w:rsidR="009570EE" w:rsidRDefault="009570EE" w:rsidP="009570EE">
      <w:pPr>
        <w:spacing w:before="120" w:after="120"/>
      </w:pPr>
      <w:r w:rsidRPr="00830B8C">
        <w:rPr>
          <w:rFonts w:eastAsiaTheme="minorEastAsia"/>
          <w:b/>
          <w:lang w:eastAsia="zh-CN"/>
        </w:rPr>
        <w:t>Proposal 1: No new RRM impact is expected for the DRX solution in Rel-18 IDC.</w:t>
      </w:r>
    </w:p>
    <w:p w:rsidR="009570EE" w:rsidRPr="00461940" w:rsidRDefault="009570EE" w:rsidP="009570EE">
      <w:pPr>
        <w:spacing w:before="120" w:after="120"/>
        <w:rPr>
          <w:rFonts w:eastAsiaTheme="minorEastAsia"/>
          <w:b/>
          <w:lang w:eastAsia="zh-CN"/>
        </w:rPr>
      </w:pPr>
      <w:r w:rsidRPr="00461940">
        <w:rPr>
          <w:rFonts w:eastAsiaTheme="minorEastAsia" w:hint="eastAsia"/>
          <w:b/>
          <w:lang w:eastAsia="zh-CN"/>
        </w:rPr>
        <w:t>P</w:t>
      </w:r>
      <w:r w:rsidRPr="00461940">
        <w:rPr>
          <w:rFonts w:eastAsiaTheme="minorEastAsia"/>
          <w:b/>
          <w:lang w:eastAsia="zh-CN"/>
        </w:rPr>
        <w:t>roposal 2: RAN4 to clarify that measurement reporting delay can be longer when IDC autonomous denial is configured.</w:t>
      </w:r>
    </w:p>
    <w:p w:rsidR="00E7289B" w:rsidRPr="009570EE" w:rsidRDefault="009570EE" w:rsidP="00374817">
      <w:pPr>
        <w:spacing w:before="120" w:after="120"/>
        <w:rPr>
          <w:rFonts w:eastAsiaTheme="minorEastAsia"/>
          <w:b/>
          <w:lang w:eastAsia="zh-CN"/>
        </w:rPr>
      </w:pPr>
      <w:r w:rsidRPr="009570EE">
        <w:rPr>
          <w:rFonts w:eastAsiaTheme="minorEastAsia" w:hint="eastAsia"/>
          <w:b/>
          <w:lang w:eastAsia="zh-CN"/>
        </w:rPr>
        <w:t>P</w:t>
      </w:r>
      <w:r w:rsidRPr="009570EE">
        <w:rPr>
          <w:rFonts w:eastAsiaTheme="minorEastAsia"/>
          <w:b/>
          <w:lang w:eastAsia="zh-CN"/>
        </w:rPr>
        <w:t>roposal 3: RAN4 not to specify impact of FDM IDC solutions on RRM requirements.</w:t>
      </w:r>
    </w:p>
    <w:p w:rsidR="00FA0C0C" w:rsidRDefault="00FA0C0C" w:rsidP="00FA0C0C">
      <w:pPr>
        <w:pStyle w:val="1"/>
        <w:jc w:val="both"/>
        <w:rPr>
          <w:lang w:val="en-US"/>
        </w:rPr>
      </w:pPr>
      <w:r w:rsidRPr="00C0754F">
        <w:rPr>
          <w:lang w:val="en-US"/>
        </w:rPr>
        <w:t>Reference</w:t>
      </w:r>
    </w:p>
    <w:p w:rsidR="005C169F" w:rsidRPr="00445921" w:rsidRDefault="00FD3C31" w:rsidP="00445921">
      <w:pPr>
        <w:numPr>
          <w:ilvl w:val="0"/>
          <w:numId w:val="5"/>
        </w:numPr>
        <w:spacing w:before="120" w:after="120"/>
        <w:rPr>
          <w:rFonts w:eastAsia="宋体"/>
          <w:lang w:val="en-US" w:eastAsia="zh-CN"/>
        </w:rPr>
      </w:pPr>
      <w:r w:rsidRPr="00FD3C31">
        <w:rPr>
          <w:rFonts w:eastAsia="宋体"/>
          <w:lang w:val="en-US" w:eastAsia="zh-CN"/>
        </w:rPr>
        <w:t>R4-231016</w:t>
      </w:r>
      <w:r w:rsidR="00445921">
        <w:rPr>
          <w:rFonts w:eastAsia="宋体"/>
          <w:lang w:val="en-US" w:eastAsia="zh-CN"/>
        </w:rPr>
        <w:t>2</w:t>
      </w:r>
      <w:r w:rsidR="001D083D">
        <w:rPr>
          <w:rFonts w:eastAsia="宋体"/>
          <w:lang w:val="en-US" w:eastAsia="zh-CN"/>
        </w:rPr>
        <w:t xml:space="preserve">, </w:t>
      </w:r>
      <w:r w:rsidR="00445921" w:rsidRPr="00445921">
        <w:rPr>
          <w:rFonts w:eastAsia="宋体"/>
          <w:lang w:val="en-US" w:eastAsia="zh-CN"/>
        </w:rPr>
        <w:t>WF on IDC enhancements</w:t>
      </w:r>
      <w:r w:rsidR="001D083D">
        <w:rPr>
          <w:rFonts w:eastAsia="宋体"/>
          <w:lang w:val="en-US" w:eastAsia="zh-CN"/>
        </w:rPr>
        <w:t>,</w:t>
      </w:r>
      <w:r w:rsidR="002302EF">
        <w:rPr>
          <w:rFonts w:eastAsia="宋体"/>
          <w:lang w:val="en-US" w:eastAsia="zh-CN"/>
        </w:rPr>
        <w:t xml:space="preserve"> </w:t>
      </w:r>
      <w:r w:rsidR="00445921">
        <w:rPr>
          <w:rFonts w:eastAsia="宋体"/>
          <w:lang w:val="en-US" w:eastAsia="zh-CN"/>
        </w:rPr>
        <w:t>Xiaomi</w:t>
      </w:r>
    </w:p>
    <w:sectPr w:rsidR="005C169F" w:rsidRPr="0044592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BBC" w:rsidRDefault="00561BBC">
      <w:pPr>
        <w:spacing w:before="120" w:after="120"/>
      </w:pPr>
      <w:r>
        <w:separator/>
      </w:r>
    </w:p>
  </w:endnote>
  <w:endnote w:type="continuationSeparator" w:id="0">
    <w:p w:rsidR="00561BBC" w:rsidRDefault="00561B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BBC" w:rsidRDefault="00561BBC">
      <w:pPr>
        <w:spacing w:before="120" w:after="120"/>
      </w:pPr>
      <w:r>
        <w:separator/>
      </w:r>
    </w:p>
  </w:footnote>
  <w:footnote w:type="continuationSeparator" w:id="0">
    <w:p w:rsidR="00561BBC" w:rsidRDefault="00561BB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0"/>
  </w:num>
  <w:num w:numId="3">
    <w:abstractNumId w:val="25"/>
  </w:num>
  <w:num w:numId="4">
    <w:abstractNumId w:val="8"/>
  </w:num>
  <w:num w:numId="5">
    <w:abstractNumId w:val="10"/>
  </w:num>
  <w:num w:numId="6">
    <w:abstractNumId w:val="19"/>
  </w:num>
  <w:num w:numId="7">
    <w:abstractNumId w:val="13"/>
  </w:num>
  <w:num w:numId="8">
    <w:abstractNumId w:val="26"/>
    <w:lvlOverride w:ilvl="0">
      <w:startOverride w:val="1"/>
    </w:lvlOverride>
  </w:num>
  <w:num w:numId="9">
    <w:abstractNumId w:val="17"/>
  </w:num>
  <w:num w:numId="10">
    <w:abstractNumId w:val="22"/>
  </w:num>
  <w:num w:numId="11">
    <w:abstractNumId w:val="18"/>
  </w:num>
  <w:num w:numId="12">
    <w:abstractNumId w:val="24"/>
  </w:num>
  <w:num w:numId="13">
    <w:abstractNumId w:val="21"/>
  </w:num>
  <w:num w:numId="14">
    <w:abstractNumId w:val="12"/>
  </w:num>
  <w:num w:numId="15">
    <w:abstractNumId w:val="5"/>
  </w:num>
  <w:num w:numId="16">
    <w:abstractNumId w:val="2"/>
  </w:num>
  <w:num w:numId="17">
    <w:abstractNumId w:val="14"/>
  </w:num>
  <w:num w:numId="18">
    <w:abstractNumId w:val="16"/>
  </w:num>
  <w:num w:numId="19">
    <w:abstractNumId w:val="9"/>
  </w:num>
  <w:num w:numId="20">
    <w:abstractNumId w:val="6"/>
  </w:num>
  <w:num w:numId="21">
    <w:abstractNumId w:val="7"/>
  </w:num>
  <w:num w:numId="22">
    <w:abstractNumId w:val="0"/>
  </w:num>
  <w:num w:numId="23">
    <w:abstractNumId w:val="1"/>
  </w:num>
  <w:num w:numId="24">
    <w:abstractNumId w:val="4"/>
  </w:num>
  <w:num w:numId="25">
    <w:abstractNumId w:val="3"/>
  </w:num>
  <w:num w:numId="26">
    <w:abstractNumId w:val="15"/>
  </w:num>
  <w:num w:numId="2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497"/>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B4B"/>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69"/>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E8"/>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AF"/>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F9B"/>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10"/>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3"/>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909"/>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75F"/>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66E"/>
    <w:rsid w:val="0032698A"/>
    <w:rsid w:val="00326B57"/>
    <w:rsid w:val="00326C9F"/>
    <w:rsid w:val="0032705D"/>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DC5"/>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D75"/>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817"/>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2"/>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9E7"/>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921"/>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940"/>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04"/>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8A7"/>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D0"/>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BBC"/>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BF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DEA"/>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69F"/>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618"/>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B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781"/>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B6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B8C"/>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3D2"/>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E42"/>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0EE"/>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7FE"/>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CA5"/>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095"/>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A8F"/>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943"/>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937"/>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1D6"/>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9"/>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6A6"/>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02"/>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75E"/>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B96"/>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FD"/>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296652">
      <w:bodyDiv w:val="1"/>
      <w:marLeft w:val="0"/>
      <w:marRight w:val="0"/>
      <w:marTop w:val="0"/>
      <w:marBottom w:val="0"/>
      <w:divBdr>
        <w:top w:val="none" w:sz="0" w:space="0" w:color="auto"/>
        <w:left w:val="none" w:sz="0" w:space="0" w:color="auto"/>
        <w:bottom w:val="none" w:sz="0" w:space="0" w:color="auto"/>
        <w:right w:val="none" w:sz="0" w:space="0" w:color="auto"/>
      </w:divBdr>
      <w:divsChild>
        <w:div w:id="398211614">
          <w:marLeft w:val="547"/>
          <w:marRight w:val="0"/>
          <w:marTop w:val="134"/>
          <w:marBottom w:val="0"/>
          <w:divBdr>
            <w:top w:val="none" w:sz="0" w:space="0" w:color="auto"/>
            <w:left w:val="none" w:sz="0" w:space="0" w:color="auto"/>
            <w:bottom w:val="none" w:sz="0" w:space="0" w:color="auto"/>
            <w:right w:val="none" w:sz="0" w:space="0" w:color="auto"/>
          </w:divBdr>
        </w:div>
        <w:div w:id="1301223841">
          <w:marLeft w:val="1166"/>
          <w:marRight w:val="0"/>
          <w:marTop w:val="115"/>
          <w:marBottom w:val="0"/>
          <w:divBdr>
            <w:top w:val="none" w:sz="0" w:space="0" w:color="auto"/>
            <w:left w:val="none" w:sz="0" w:space="0" w:color="auto"/>
            <w:bottom w:val="none" w:sz="0" w:space="0" w:color="auto"/>
            <w:right w:val="none" w:sz="0" w:space="0" w:color="auto"/>
          </w:divBdr>
        </w:div>
        <w:div w:id="1490633331">
          <w:marLeft w:val="1800"/>
          <w:marRight w:val="0"/>
          <w:marTop w:val="96"/>
          <w:marBottom w:val="0"/>
          <w:divBdr>
            <w:top w:val="none" w:sz="0" w:space="0" w:color="auto"/>
            <w:left w:val="none" w:sz="0" w:space="0" w:color="auto"/>
            <w:bottom w:val="none" w:sz="0" w:space="0" w:color="auto"/>
            <w:right w:val="none" w:sz="0" w:space="0" w:color="auto"/>
          </w:divBdr>
        </w:div>
        <w:div w:id="388455162">
          <w:marLeft w:val="2520"/>
          <w:marRight w:val="0"/>
          <w:marTop w:val="86"/>
          <w:marBottom w:val="0"/>
          <w:divBdr>
            <w:top w:val="none" w:sz="0" w:space="0" w:color="auto"/>
            <w:left w:val="none" w:sz="0" w:space="0" w:color="auto"/>
            <w:bottom w:val="none" w:sz="0" w:space="0" w:color="auto"/>
            <w:right w:val="none" w:sz="0" w:space="0" w:color="auto"/>
          </w:divBdr>
        </w:div>
        <w:div w:id="1027752875">
          <w:marLeft w:val="1166"/>
          <w:marRight w:val="0"/>
          <w:marTop w:val="115"/>
          <w:marBottom w:val="0"/>
          <w:divBdr>
            <w:top w:val="none" w:sz="0" w:space="0" w:color="auto"/>
            <w:left w:val="none" w:sz="0" w:space="0" w:color="auto"/>
            <w:bottom w:val="none" w:sz="0" w:space="0" w:color="auto"/>
            <w:right w:val="none" w:sz="0" w:space="0" w:color="auto"/>
          </w:divBdr>
        </w:div>
      </w:divsChild>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5831136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531161">
      <w:bodyDiv w:val="1"/>
      <w:marLeft w:val="0"/>
      <w:marRight w:val="0"/>
      <w:marTop w:val="0"/>
      <w:marBottom w:val="0"/>
      <w:divBdr>
        <w:top w:val="none" w:sz="0" w:space="0" w:color="auto"/>
        <w:left w:val="none" w:sz="0" w:space="0" w:color="auto"/>
        <w:bottom w:val="none" w:sz="0" w:space="0" w:color="auto"/>
        <w:right w:val="none" w:sz="0" w:space="0" w:color="auto"/>
      </w:divBdr>
      <w:divsChild>
        <w:div w:id="820775634">
          <w:marLeft w:val="547"/>
          <w:marRight w:val="0"/>
          <w:marTop w:val="134"/>
          <w:marBottom w:val="0"/>
          <w:divBdr>
            <w:top w:val="none" w:sz="0" w:space="0" w:color="auto"/>
            <w:left w:val="none" w:sz="0" w:space="0" w:color="auto"/>
            <w:bottom w:val="none" w:sz="0" w:space="0" w:color="auto"/>
            <w:right w:val="none" w:sz="0" w:space="0" w:color="auto"/>
          </w:divBdr>
        </w:div>
        <w:div w:id="1710521706">
          <w:marLeft w:val="1166"/>
          <w:marRight w:val="0"/>
          <w:marTop w:val="115"/>
          <w:marBottom w:val="0"/>
          <w:divBdr>
            <w:top w:val="none" w:sz="0" w:space="0" w:color="auto"/>
            <w:left w:val="none" w:sz="0" w:space="0" w:color="auto"/>
            <w:bottom w:val="none" w:sz="0" w:space="0" w:color="auto"/>
            <w:right w:val="none" w:sz="0" w:space="0" w:color="auto"/>
          </w:divBdr>
        </w:div>
        <w:div w:id="1810050141">
          <w:marLeft w:val="1800"/>
          <w:marRight w:val="0"/>
          <w:marTop w:val="96"/>
          <w:marBottom w:val="0"/>
          <w:divBdr>
            <w:top w:val="none" w:sz="0" w:space="0" w:color="auto"/>
            <w:left w:val="none" w:sz="0" w:space="0" w:color="auto"/>
            <w:bottom w:val="none" w:sz="0" w:space="0" w:color="auto"/>
            <w:right w:val="none" w:sz="0" w:space="0" w:color="auto"/>
          </w:divBdr>
        </w:div>
        <w:div w:id="2126998870">
          <w:marLeft w:val="2520"/>
          <w:marRight w:val="0"/>
          <w:marTop w:val="86"/>
          <w:marBottom w:val="0"/>
          <w:divBdr>
            <w:top w:val="none" w:sz="0" w:space="0" w:color="auto"/>
            <w:left w:val="none" w:sz="0" w:space="0" w:color="auto"/>
            <w:bottom w:val="none" w:sz="0" w:space="0" w:color="auto"/>
            <w:right w:val="none" w:sz="0" w:space="0" w:color="auto"/>
          </w:divBdr>
        </w:div>
        <w:div w:id="667095818">
          <w:marLeft w:val="1166"/>
          <w:marRight w:val="0"/>
          <w:marTop w:val="115"/>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0641523">
      <w:bodyDiv w:val="1"/>
      <w:marLeft w:val="0"/>
      <w:marRight w:val="0"/>
      <w:marTop w:val="0"/>
      <w:marBottom w:val="0"/>
      <w:divBdr>
        <w:top w:val="none" w:sz="0" w:space="0" w:color="auto"/>
        <w:left w:val="none" w:sz="0" w:space="0" w:color="auto"/>
        <w:bottom w:val="none" w:sz="0" w:space="0" w:color="auto"/>
        <w:right w:val="none" w:sz="0" w:space="0" w:color="auto"/>
      </w:divBdr>
      <w:divsChild>
        <w:div w:id="1116632004">
          <w:marLeft w:val="547"/>
          <w:marRight w:val="0"/>
          <w:marTop w:val="134"/>
          <w:marBottom w:val="0"/>
          <w:divBdr>
            <w:top w:val="none" w:sz="0" w:space="0" w:color="auto"/>
            <w:left w:val="none" w:sz="0" w:space="0" w:color="auto"/>
            <w:bottom w:val="none" w:sz="0" w:space="0" w:color="auto"/>
            <w:right w:val="none" w:sz="0" w:space="0" w:color="auto"/>
          </w:divBdr>
        </w:div>
        <w:div w:id="1939362796">
          <w:marLeft w:val="1166"/>
          <w:marRight w:val="0"/>
          <w:marTop w:val="115"/>
          <w:marBottom w:val="0"/>
          <w:divBdr>
            <w:top w:val="none" w:sz="0" w:space="0" w:color="auto"/>
            <w:left w:val="none" w:sz="0" w:space="0" w:color="auto"/>
            <w:bottom w:val="none" w:sz="0" w:space="0" w:color="auto"/>
            <w:right w:val="none" w:sz="0" w:space="0" w:color="auto"/>
          </w:divBdr>
        </w:div>
        <w:div w:id="2107579322">
          <w:marLeft w:val="1800"/>
          <w:marRight w:val="0"/>
          <w:marTop w:val="96"/>
          <w:marBottom w:val="0"/>
          <w:divBdr>
            <w:top w:val="none" w:sz="0" w:space="0" w:color="auto"/>
            <w:left w:val="none" w:sz="0" w:space="0" w:color="auto"/>
            <w:bottom w:val="none" w:sz="0" w:space="0" w:color="auto"/>
            <w:right w:val="none" w:sz="0" w:space="0" w:color="auto"/>
          </w:divBdr>
        </w:div>
        <w:div w:id="607395210">
          <w:marLeft w:val="2520"/>
          <w:marRight w:val="0"/>
          <w:marTop w:val="86"/>
          <w:marBottom w:val="0"/>
          <w:divBdr>
            <w:top w:val="none" w:sz="0" w:space="0" w:color="auto"/>
            <w:left w:val="none" w:sz="0" w:space="0" w:color="auto"/>
            <w:bottom w:val="none" w:sz="0" w:space="0" w:color="auto"/>
            <w:right w:val="none" w:sz="0" w:space="0" w:color="auto"/>
          </w:divBdr>
        </w:div>
        <w:div w:id="1966348643">
          <w:marLeft w:val="1166"/>
          <w:marRight w:val="0"/>
          <w:marTop w:val="115"/>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FFDCB9D-AF2E-4C19-B97D-5FBA0F60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11923</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110</cp:revision>
  <cp:lastPrinted>2009-04-22T06:01:00Z</cp:lastPrinted>
  <dcterms:created xsi:type="dcterms:W3CDTF">2023-05-06T02:02:00Z</dcterms:created>
  <dcterms:modified xsi:type="dcterms:W3CDTF">2023-08-11T11:31:00Z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(3)U8JTvNpyZLkFHp1ymQV+wtlkZ1F66FqcxokonKiOY+BjbtNVwzGNXP7u4+ped2dlKDuLNdCy
B871hMPOggsofhvyEmkkCfgWxQRaXUyKmRw7jvnMCXyfs2b82Wns7XU+VrWfgbeyNnijO3ov
3i94XUAFXcHmvYuttOK6CYBS9EEt+pVOy1rGIudzVGC9G2y6g06/sG45swQ7xhIzMd1+4MYP
jrTkN8cSvUxMGCewbQ</vt:lpwstr>
  </property>
  <property fmtid="{D5CDD505-2E9C-101B-9397-08002B2CF9AE}" pid="17" name="_2015_ms_pID_725343_00">
    <vt:lpwstr>_2015_ms_pID_725343</vt:lpwstr>
  </property>
  <property fmtid="{D5CDD505-2E9C-101B-9397-08002B2CF9AE}" pid="18" name="_2015_ms_pID_7253431">
    <vt:lpwstr>nKgMJnRWzGyOuwWP68xT1LwM2YVAlH6L/BWJ6IYO56ntEmWu7IfynR
osch0OQTdUR1DZtH3GRoGUs4Ru+wWV73xiyI0NtEAUnYinj/8atpKJpg1Eb0aUhVoLlZP6Ll
eowTP/BTT+z8nhmPdyPOIV9jaJh+DR7oq4zAomqPP7BVJ75CGNxx3UkiL316nU7ATAY6HtaV
d7UP3qSliOIpgjdBX0sKLnOUIt4aWrU+x9Mb</vt:lpwstr>
  </property>
  <property fmtid="{D5CDD505-2E9C-101B-9397-08002B2CF9AE}" pid="19" name="_2015_ms_pID_7253431_00">
    <vt:lpwstr>_2015_ms_pID_7253431</vt:lpwstr>
  </property>
  <property fmtid="{D5CDD505-2E9C-101B-9397-08002B2CF9AE}" pid="20" name="_2015_ms_pID_7253432">
    <vt:lpwstr>GisLKSjeVHkGBYpiHpQwVz4RuPOCTJG4MDJW
6ED/alQFek8wGnBmVyj2QUzhNjeNqSVWe6D9GwGHziKlaR77K1w=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