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295BD" w14:textId="71249432" w:rsidR="00CC5952" w:rsidRPr="00CE0424" w:rsidRDefault="00CC5952" w:rsidP="00CC5952">
      <w:pPr>
        <w:pStyle w:val="3GPPHeader"/>
        <w:spacing w:after="60"/>
        <w:rPr>
          <w:sz w:val="32"/>
          <w:szCs w:val="32"/>
          <w:highlight w:val="yellow"/>
        </w:rPr>
      </w:pPr>
      <w:r w:rsidRPr="00CE0424">
        <w:t>3GPP TSG-RAN WG</w:t>
      </w:r>
      <w:r>
        <w:t>4</w:t>
      </w:r>
      <w:r w:rsidRPr="00CE0424">
        <w:t xml:space="preserve"> </w:t>
      </w:r>
      <w:r>
        <w:t xml:space="preserve">Meeting </w:t>
      </w:r>
      <w:r w:rsidRPr="00CE0424">
        <w:t>#</w:t>
      </w:r>
      <w:r>
        <w:t>10</w:t>
      </w:r>
      <w:r w:rsidR="00001A5E">
        <w:t>8</w:t>
      </w:r>
      <w:r w:rsidRPr="00CE0424">
        <w:tab/>
      </w:r>
      <w:r w:rsidR="00DF1782" w:rsidRPr="00DF1782">
        <w:rPr>
          <w:sz w:val="32"/>
          <w:szCs w:val="32"/>
        </w:rPr>
        <w:t>R4-2312622</w:t>
      </w:r>
    </w:p>
    <w:p w14:paraId="2AF73AEB" w14:textId="186CC68F" w:rsidR="00CC5952" w:rsidRPr="00CE0424" w:rsidRDefault="003E1A91" w:rsidP="00CC5952">
      <w:pPr>
        <w:pStyle w:val="3GPPHeader"/>
      </w:pPr>
      <w:r>
        <w:t>Toul</w:t>
      </w:r>
      <w:r w:rsidR="000C4D4B">
        <w:t>ouse</w:t>
      </w:r>
      <w:r w:rsidR="00CC5952">
        <w:t xml:space="preserve">, </w:t>
      </w:r>
      <w:r w:rsidR="000C4D4B">
        <w:t>France</w:t>
      </w:r>
      <w:r w:rsidR="00CC5952">
        <w:t>, 2</w:t>
      </w:r>
      <w:r w:rsidR="000C4D4B">
        <w:t>1</w:t>
      </w:r>
      <w:r w:rsidR="00CC5952">
        <w:t xml:space="preserve"> – 2</w:t>
      </w:r>
      <w:r w:rsidR="000C4D4B">
        <w:t>5</w:t>
      </w:r>
      <w:r w:rsidR="00CC5952">
        <w:t xml:space="preserve"> </w:t>
      </w:r>
      <w:r w:rsidR="000C4D4B">
        <w:t>August</w:t>
      </w:r>
      <w:r w:rsidR="00CC5952">
        <w:t xml:space="preserve"> </w:t>
      </w:r>
      <w:r w:rsidR="00CC5952" w:rsidRPr="009740F8">
        <w:t>202</w:t>
      </w:r>
      <w:r w:rsidR="00CC5952">
        <w:t>3</w:t>
      </w:r>
    </w:p>
    <w:p w14:paraId="3982483C" w14:textId="0AAB6CB6" w:rsidR="00E90E49" w:rsidRPr="00006881" w:rsidRDefault="00E90E49" w:rsidP="00311702">
      <w:pPr>
        <w:pStyle w:val="3GPPHeader"/>
        <w:rPr>
          <w:sz w:val="22"/>
          <w:lang w:val="en-GB"/>
        </w:rPr>
      </w:pPr>
      <w:r w:rsidRPr="00006881">
        <w:rPr>
          <w:sz w:val="22"/>
          <w:lang w:val="en-GB"/>
        </w:rPr>
        <w:t>Agenda Item:</w:t>
      </w:r>
      <w:r w:rsidRPr="00006881">
        <w:rPr>
          <w:sz w:val="22"/>
          <w:lang w:val="en-GB"/>
        </w:rPr>
        <w:tab/>
      </w:r>
      <w:r w:rsidR="006F4385" w:rsidRPr="006F4385">
        <w:rPr>
          <w:sz w:val="22"/>
          <w:lang w:val="en-GB"/>
        </w:rPr>
        <w:t>8.31.2</w:t>
      </w:r>
    </w:p>
    <w:p w14:paraId="5619E868" w14:textId="4B78BBE2" w:rsidR="00E90E49" w:rsidRPr="00006881" w:rsidRDefault="003D3C45" w:rsidP="00F64C2B">
      <w:pPr>
        <w:pStyle w:val="3GPPHeader"/>
        <w:rPr>
          <w:sz w:val="22"/>
          <w:lang w:val="en-GB"/>
        </w:rPr>
      </w:pPr>
      <w:r w:rsidRPr="00006881">
        <w:rPr>
          <w:sz w:val="22"/>
          <w:lang w:val="en-GB"/>
        </w:rPr>
        <w:t>Source:</w:t>
      </w:r>
      <w:r w:rsidR="00E90E49" w:rsidRPr="00006881">
        <w:rPr>
          <w:sz w:val="22"/>
          <w:lang w:val="en-GB"/>
        </w:rPr>
        <w:tab/>
      </w:r>
      <w:r w:rsidR="00F64C2B" w:rsidRPr="00006881">
        <w:rPr>
          <w:sz w:val="22"/>
          <w:lang w:val="en-GB"/>
        </w:rPr>
        <w:t>Ericsson</w:t>
      </w:r>
    </w:p>
    <w:p w14:paraId="3AF5C9FA" w14:textId="6EE02F2B" w:rsidR="00E90E49" w:rsidRPr="00006881" w:rsidRDefault="003D3C45" w:rsidP="00311702">
      <w:pPr>
        <w:pStyle w:val="3GPPHeader"/>
        <w:rPr>
          <w:sz w:val="22"/>
          <w:lang w:val="en-GB"/>
        </w:rPr>
      </w:pPr>
      <w:r w:rsidRPr="00006881">
        <w:rPr>
          <w:sz w:val="22"/>
          <w:lang w:val="en-GB"/>
        </w:rPr>
        <w:t>Title:</w:t>
      </w:r>
      <w:r w:rsidR="00E90E49" w:rsidRPr="00006881">
        <w:rPr>
          <w:sz w:val="22"/>
          <w:lang w:val="en-GB"/>
        </w:rPr>
        <w:tab/>
      </w:r>
      <w:r w:rsidR="00B15320" w:rsidRPr="00B15320">
        <w:rPr>
          <w:sz w:val="22"/>
          <w:lang w:val="en-GB"/>
        </w:rPr>
        <w:t>Discussions on enhanced RedCap RRM impact</w:t>
      </w:r>
    </w:p>
    <w:p w14:paraId="025260C1" w14:textId="004581D5" w:rsidR="00E90E49" w:rsidRPr="00006881" w:rsidRDefault="00E90E49" w:rsidP="00D546FF">
      <w:pPr>
        <w:pStyle w:val="3GPPHeader"/>
        <w:rPr>
          <w:sz w:val="22"/>
          <w:lang w:val="en-GB"/>
        </w:rPr>
      </w:pPr>
      <w:r w:rsidRPr="00006881">
        <w:rPr>
          <w:sz w:val="22"/>
          <w:lang w:val="en-GB"/>
        </w:rPr>
        <w:t>Document for:</w:t>
      </w:r>
      <w:r w:rsidRPr="00006881">
        <w:rPr>
          <w:sz w:val="22"/>
          <w:lang w:val="en-GB"/>
        </w:rPr>
        <w:tab/>
      </w:r>
      <w:r w:rsidR="00702B45">
        <w:rPr>
          <w:sz w:val="22"/>
          <w:lang w:val="en-GB"/>
        </w:rPr>
        <w:t>Discussions</w:t>
      </w:r>
    </w:p>
    <w:p w14:paraId="6883CB62" w14:textId="31BED981" w:rsidR="00E90E49" w:rsidRPr="00006881" w:rsidRDefault="00866FD4" w:rsidP="00CE0424">
      <w:pPr>
        <w:pStyle w:val="Heading1"/>
      </w:pPr>
      <w:r w:rsidRPr="00006881">
        <w:t>1</w:t>
      </w:r>
      <w:r w:rsidRPr="00006881">
        <w:tab/>
      </w:r>
      <w:r w:rsidR="008238D8" w:rsidRPr="00006881">
        <w:t>Introduction</w:t>
      </w:r>
    </w:p>
    <w:p w14:paraId="6109AD39" w14:textId="298A024A" w:rsidR="002B043E" w:rsidRPr="00B414AF" w:rsidRDefault="00AD287C" w:rsidP="009B0FC2">
      <w:pPr>
        <w:pStyle w:val="BodyText"/>
        <w:rPr>
          <w:rFonts w:ascii="Times New Roman" w:hAnsi="Times New Roman" w:cs="Times New Roman"/>
          <w:sz w:val="22"/>
          <w:szCs w:val="24"/>
          <w:lang w:val="en-GB"/>
        </w:rPr>
      </w:pPr>
      <w:r w:rsidRPr="00B414AF">
        <w:rPr>
          <w:rFonts w:ascii="Times New Roman" w:hAnsi="Times New Roman" w:cs="Times New Roman"/>
          <w:sz w:val="22"/>
          <w:szCs w:val="24"/>
          <w:lang w:val="en-GB"/>
        </w:rPr>
        <w:t>RAN4 continue</w:t>
      </w:r>
      <w:r w:rsidR="001B4081" w:rsidRPr="00B414AF">
        <w:rPr>
          <w:rFonts w:ascii="Times New Roman" w:hAnsi="Times New Roman" w:cs="Times New Roman"/>
          <w:sz w:val="22"/>
          <w:szCs w:val="24"/>
          <w:lang w:val="en-GB"/>
        </w:rPr>
        <w:t>d</w:t>
      </w:r>
      <w:r w:rsidRPr="00B414AF">
        <w:rPr>
          <w:rFonts w:ascii="Times New Roman" w:hAnsi="Times New Roman" w:cs="Times New Roman"/>
          <w:sz w:val="22"/>
          <w:szCs w:val="24"/>
          <w:lang w:val="en-GB"/>
        </w:rPr>
        <w:t xml:space="preserve"> to discuss the </w:t>
      </w:r>
      <w:r w:rsidR="00C24D71" w:rsidRPr="00B414AF">
        <w:rPr>
          <w:rFonts w:ascii="Times New Roman" w:hAnsi="Times New Roman" w:cs="Times New Roman"/>
          <w:sz w:val="22"/>
          <w:szCs w:val="24"/>
          <w:lang w:val="en-GB"/>
        </w:rPr>
        <w:t>RRM impact of th</w:t>
      </w:r>
      <w:r w:rsidRPr="00B414AF">
        <w:rPr>
          <w:rFonts w:ascii="Times New Roman" w:hAnsi="Times New Roman" w:cs="Times New Roman"/>
          <w:sz w:val="22"/>
          <w:szCs w:val="24"/>
          <w:lang w:val="en-GB"/>
        </w:rPr>
        <w:t xml:space="preserve">e Rel-18 RedCap objective enhanced eDRX and complexity reduction and good progress was reached which were summarized in </w:t>
      </w:r>
      <w:r w:rsidR="00DF69F0" w:rsidRPr="00B414AF">
        <w:rPr>
          <w:rFonts w:ascii="Times New Roman" w:hAnsi="Times New Roman" w:cs="Times New Roman"/>
          <w:sz w:val="22"/>
          <w:szCs w:val="24"/>
          <w:lang w:val="en-GB"/>
        </w:rPr>
        <w:t xml:space="preserve">a way forward document in </w:t>
      </w:r>
      <w:r w:rsidRPr="00B414AF">
        <w:rPr>
          <w:rFonts w:ascii="Times New Roman" w:hAnsi="Times New Roman" w:cs="Times New Roman"/>
          <w:sz w:val="22"/>
          <w:szCs w:val="24"/>
          <w:lang w:val="en-GB"/>
        </w:rPr>
        <w:t xml:space="preserve">[1]. </w:t>
      </w:r>
      <w:r w:rsidR="00DF69F0" w:rsidRPr="00B414AF">
        <w:rPr>
          <w:rFonts w:ascii="Times New Roman" w:hAnsi="Times New Roman" w:cs="Times New Roman"/>
          <w:sz w:val="22"/>
          <w:szCs w:val="24"/>
          <w:lang w:val="en-GB"/>
        </w:rPr>
        <w:t xml:space="preserve">The </w:t>
      </w:r>
      <w:r w:rsidR="009C7D9A" w:rsidRPr="00B414AF">
        <w:rPr>
          <w:rFonts w:ascii="Times New Roman" w:hAnsi="Times New Roman" w:cs="Times New Roman"/>
          <w:sz w:val="22"/>
          <w:szCs w:val="24"/>
          <w:lang w:val="en-GB"/>
        </w:rPr>
        <w:t xml:space="preserve">way forward </w:t>
      </w:r>
      <w:r w:rsidR="00FD3995" w:rsidRPr="00B414AF">
        <w:rPr>
          <w:rFonts w:ascii="Times New Roman" w:hAnsi="Times New Roman" w:cs="Times New Roman"/>
          <w:sz w:val="22"/>
          <w:szCs w:val="24"/>
          <w:lang w:val="en-GB"/>
        </w:rPr>
        <w:t xml:space="preserve">document </w:t>
      </w:r>
      <w:r w:rsidR="009C7D9A" w:rsidRPr="00B414AF">
        <w:rPr>
          <w:rFonts w:ascii="Times New Roman" w:hAnsi="Times New Roman" w:cs="Times New Roman"/>
          <w:sz w:val="22"/>
          <w:szCs w:val="24"/>
          <w:lang w:val="en-GB"/>
        </w:rPr>
        <w:t>also contains numerous issues that were identified for further studies</w:t>
      </w:r>
      <w:r w:rsidR="00FD3995" w:rsidRPr="00B414AF">
        <w:rPr>
          <w:rFonts w:ascii="Times New Roman" w:hAnsi="Times New Roman" w:cs="Times New Roman"/>
          <w:sz w:val="22"/>
          <w:szCs w:val="24"/>
          <w:lang w:val="en-GB"/>
        </w:rPr>
        <w:t xml:space="preserve">. </w:t>
      </w:r>
      <w:r w:rsidR="00AB0371" w:rsidRPr="00B414AF">
        <w:rPr>
          <w:rFonts w:ascii="Times New Roman" w:hAnsi="Times New Roman" w:cs="Times New Roman"/>
          <w:sz w:val="22"/>
          <w:szCs w:val="24"/>
          <w:lang w:val="en-GB"/>
        </w:rPr>
        <w:t xml:space="preserve">In this contribution we discuss those issues and provide our updated views, </w:t>
      </w:r>
      <w:r w:rsidR="00A00BC8" w:rsidRPr="00B414AF">
        <w:rPr>
          <w:rFonts w:ascii="Times New Roman" w:hAnsi="Times New Roman" w:cs="Times New Roman"/>
          <w:sz w:val="22"/>
          <w:szCs w:val="24"/>
          <w:lang w:val="en-GB"/>
        </w:rPr>
        <w:t xml:space="preserve">especially </w:t>
      </w:r>
      <w:r w:rsidR="00392814" w:rsidRPr="00B414AF">
        <w:rPr>
          <w:rFonts w:ascii="Times New Roman" w:hAnsi="Times New Roman" w:cs="Times New Roman"/>
          <w:sz w:val="22"/>
          <w:szCs w:val="24"/>
          <w:lang w:val="en-GB"/>
        </w:rPr>
        <w:t xml:space="preserve">in the area of </w:t>
      </w:r>
      <w:r w:rsidR="005B5FDD" w:rsidRPr="00B414AF">
        <w:rPr>
          <w:rFonts w:ascii="Times New Roman" w:hAnsi="Times New Roman" w:cs="Times New Roman"/>
          <w:sz w:val="22"/>
          <w:szCs w:val="24"/>
          <w:lang w:val="en-GB"/>
        </w:rPr>
        <w:t xml:space="preserve">the enhanced eDRX requirements in RRC INACTIVE state. </w:t>
      </w:r>
    </w:p>
    <w:p w14:paraId="3E80FA44" w14:textId="74856EED" w:rsidR="008238D8" w:rsidRDefault="00866FD4" w:rsidP="008238D8">
      <w:pPr>
        <w:pStyle w:val="Heading1"/>
      </w:pPr>
      <w:r w:rsidRPr="00006881">
        <w:t>2</w:t>
      </w:r>
      <w:r w:rsidRPr="00006881">
        <w:tab/>
      </w:r>
      <w:r w:rsidR="00D71970">
        <w:t>Discussions</w:t>
      </w:r>
    </w:p>
    <w:p w14:paraId="6C8F66C7" w14:textId="5C7C5218" w:rsidR="00762E6A" w:rsidRDefault="00580665" w:rsidP="00C873C7">
      <w:pPr>
        <w:pStyle w:val="Heading2"/>
        <w:spacing w:after="240"/>
        <w:ind w:left="567" w:hanging="567"/>
        <w:rPr>
          <w:rFonts w:eastAsia="SimSun" w:cs="Arial"/>
        </w:rPr>
      </w:pPr>
      <w:r>
        <w:rPr>
          <w:rFonts w:eastAsia="SimSun" w:cs="Arial"/>
        </w:rPr>
        <w:t xml:space="preserve">2.1 </w:t>
      </w:r>
      <w:r w:rsidR="00435E60">
        <w:rPr>
          <w:rFonts w:eastAsia="SimSun" w:cs="Arial"/>
        </w:rPr>
        <w:tab/>
      </w:r>
      <w:r w:rsidR="00E51226" w:rsidRPr="00580665">
        <w:rPr>
          <w:rFonts w:eastAsia="SimSun" w:cs="Arial"/>
        </w:rPr>
        <w:t>Enhanced eDRX in RRC INACTIVE state</w:t>
      </w:r>
    </w:p>
    <w:p w14:paraId="747EB382" w14:textId="1C032300" w:rsidR="00C873C7" w:rsidRDefault="00BC16CF" w:rsidP="00C873C7">
      <w:pPr>
        <w:rPr>
          <w:rFonts w:ascii="Times New Roman" w:hAnsi="Times New Roman" w:cs="Times New Roman"/>
          <w:sz w:val="22"/>
          <w:szCs w:val="24"/>
          <w:lang w:val="en-GB" w:eastAsia="zh-CN"/>
        </w:rPr>
      </w:pPr>
      <w:r w:rsidRPr="00B414AF">
        <w:rPr>
          <w:rFonts w:ascii="Times New Roman" w:hAnsi="Times New Roman" w:cs="Times New Roman"/>
          <w:sz w:val="22"/>
          <w:szCs w:val="24"/>
          <w:lang w:val="en-GB" w:eastAsia="zh-CN"/>
        </w:rPr>
        <w:t xml:space="preserve">The measurement behaviour </w:t>
      </w:r>
      <w:r w:rsidR="001F12F5" w:rsidRPr="00B414AF">
        <w:rPr>
          <w:rFonts w:ascii="Times New Roman" w:hAnsi="Times New Roman" w:cs="Times New Roman"/>
          <w:sz w:val="22"/>
          <w:szCs w:val="24"/>
          <w:lang w:val="en-GB" w:eastAsia="zh-CN"/>
        </w:rPr>
        <w:t xml:space="preserve">when PTWs are partially overlapping for serving and neighbour cell measurements was </w:t>
      </w:r>
      <w:r w:rsidR="00D4279F" w:rsidRPr="00B414AF">
        <w:rPr>
          <w:rFonts w:ascii="Times New Roman" w:hAnsi="Times New Roman" w:cs="Times New Roman"/>
          <w:sz w:val="22"/>
          <w:szCs w:val="24"/>
          <w:lang w:val="en-GB" w:eastAsia="zh-CN"/>
        </w:rPr>
        <w:t>discussed at last meeting</w:t>
      </w:r>
      <w:r w:rsidR="00C52105">
        <w:rPr>
          <w:rFonts w:ascii="Times New Roman" w:hAnsi="Times New Roman" w:cs="Times New Roman"/>
          <w:sz w:val="22"/>
          <w:szCs w:val="24"/>
          <w:lang w:val="en-GB" w:eastAsia="zh-CN"/>
        </w:rPr>
        <w:t xml:space="preserve"> and </w:t>
      </w:r>
      <w:r w:rsidR="00913516">
        <w:rPr>
          <w:rFonts w:ascii="Times New Roman" w:hAnsi="Times New Roman" w:cs="Times New Roman"/>
          <w:sz w:val="22"/>
          <w:szCs w:val="24"/>
          <w:lang w:val="en-GB" w:eastAsia="zh-CN"/>
        </w:rPr>
        <w:t xml:space="preserve">following </w:t>
      </w:r>
      <w:r w:rsidR="00516942">
        <w:rPr>
          <w:rFonts w:ascii="Times New Roman" w:hAnsi="Times New Roman" w:cs="Times New Roman"/>
          <w:sz w:val="22"/>
          <w:szCs w:val="24"/>
          <w:lang w:val="en-GB" w:eastAsia="zh-CN"/>
        </w:rPr>
        <w:t xml:space="preserve">open issues </w:t>
      </w:r>
      <w:r w:rsidR="00913516">
        <w:rPr>
          <w:rFonts w:ascii="Times New Roman" w:hAnsi="Times New Roman" w:cs="Times New Roman"/>
          <w:sz w:val="22"/>
          <w:szCs w:val="24"/>
          <w:lang w:val="en-GB" w:eastAsia="zh-CN"/>
        </w:rPr>
        <w:t>were identified</w:t>
      </w:r>
      <w:r w:rsidR="006A4948">
        <w:rPr>
          <w:rFonts w:ascii="Times New Roman" w:hAnsi="Times New Roman" w:cs="Times New Roman"/>
          <w:sz w:val="22"/>
          <w:szCs w:val="24"/>
          <w:lang w:val="en-GB" w:eastAsia="zh-CN"/>
        </w:rPr>
        <w:t xml:space="preserve"> [1]</w:t>
      </w:r>
      <w:r w:rsidR="00913516">
        <w:rPr>
          <w:rFonts w:ascii="Times New Roman" w:hAnsi="Times New Roman" w:cs="Times New Roman"/>
          <w:sz w:val="22"/>
          <w:szCs w:val="24"/>
          <w:lang w:val="en-GB" w:eastAsia="zh-CN"/>
        </w:rPr>
        <w:t>:</w:t>
      </w:r>
    </w:p>
    <w:p w14:paraId="01FB477F" w14:textId="19FA266C" w:rsidR="007A14C7" w:rsidRPr="00B414AF" w:rsidRDefault="007A14C7" w:rsidP="00C873C7">
      <w:pPr>
        <w:rPr>
          <w:rFonts w:ascii="Times New Roman" w:hAnsi="Times New Roman" w:cs="Times New Roman"/>
          <w:sz w:val="22"/>
          <w:szCs w:val="24"/>
          <w:lang w:val="en-GB" w:eastAsia="zh-CN"/>
        </w:rPr>
      </w:pPr>
    </w:p>
    <w:tbl>
      <w:tblPr>
        <w:tblStyle w:val="TableGrid"/>
        <w:tblW w:w="0" w:type="auto"/>
        <w:tblLook w:val="04A0" w:firstRow="1" w:lastRow="0" w:firstColumn="1" w:lastColumn="0" w:noHBand="0" w:noVBand="1"/>
      </w:tblPr>
      <w:tblGrid>
        <w:gridCol w:w="9629"/>
      </w:tblGrid>
      <w:tr w:rsidR="005B02C9" w14:paraId="3FBC6429" w14:textId="77777777" w:rsidTr="005B02C9">
        <w:tc>
          <w:tcPr>
            <w:tcW w:w="9629" w:type="dxa"/>
          </w:tcPr>
          <w:p w14:paraId="395B526F" w14:textId="77777777" w:rsidR="005B02C9" w:rsidRDefault="005B02C9" w:rsidP="005B02C9">
            <w:pPr>
              <w:rPr>
                <w:b/>
                <w:color w:val="0070C0"/>
                <w:u w:val="single"/>
                <w:lang w:eastAsia="ko-KR"/>
              </w:rPr>
            </w:pPr>
            <w:r>
              <w:rPr>
                <w:b/>
                <w:color w:val="0070C0"/>
                <w:u w:val="single"/>
                <w:lang w:eastAsia="ko-KR"/>
              </w:rPr>
              <w:t>When to measure when configured with both IDLE and INACTIVE eDRX configurations larger than 10.24s and when the PTWs are partially overlapping for serving and neighbour cell measurements</w:t>
            </w:r>
          </w:p>
          <w:p w14:paraId="7F76487C" w14:textId="77777777" w:rsidR="005B02C9" w:rsidRDefault="005B02C9" w:rsidP="005B02C9">
            <w:pPr>
              <w:pStyle w:val="ListParagraph"/>
              <w:numPr>
                <w:ilvl w:val="1"/>
                <w:numId w:val="35"/>
              </w:numPr>
              <w:spacing w:after="120" w:line="240" w:lineRule="auto"/>
              <w:ind w:left="1440"/>
              <w:rPr>
                <w:rFonts w:eastAsia="SimSun"/>
                <w:color w:val="000000" w:themeColor="text1"/>
                <w:szCs w:val="24"/>
                <w:lang w:eastAsia="zh-CN"/>
              </w:rPr>
            </w:pPr>
            <w:r>
              <w:rPr>
                <w:rFonts w:eastAsia="SimSun"/>
                <w:color w:val="000000" w:themeColor="text1"/>
                <w:szCs w:val="24"/>
                <w:lang w:eastAsia="zh-CN"/>
              </w:rPr>
              <w:t>UE performs measurements during:</w:t>
            </w:r>
          </w:p>
          <w:p w14:paraId="77C7A6EB" w14:textId="77777777" w:rsidR="005B02C9" w:rsidRDefault="005B02C9" w:rsidP="005B02C9">
            <w:pPr>
              <w:pStyle w:val="ListParagraph"/>
              <w:numPr>
                <w:ilvl w:val="2"/>
                <w:numId w:val="35"/>
              </w:numPr>
              <w:spacing w:line="240" w:lineRule="auto"/>
              <w:ind w:left="2376"/>
              <w:contextualSpacing/>
              <w:rPr>
                <w:lang w:eastAsia="ja-JP"/>
              </w:rPr>
            </w:pPr>
            <w:r>
              <w:rPr>
                <w:lang w:eastAsia="ja-JP"/>
              </w:rPr>
              <w:t>Option 1a: Max (RAN PTW, CN PTW)</w:t>
            </w:r>
          </w:p>
          <w:p w14:paraId="415B7889" w14:textId="77777777" w:rsidR="005B02C9" w:rsidRDefault="005B02C9" w:rsidP="005B02C9">
            <w:pPr>
              <w:pStyle w:val="ListParagraph"/>
              <w:numPr>
                <w:ilvl w:val="3"/>
                <w:numId w:val="35"/>
              </w:numPr>
              <w:spacing w:line="240" w:lineRule="auto"/>
              <w:ind w:left="3096"/>
              <w:contextualSpacing/>
              <w:rPr>
                <w:lang w:eastAsia="ja-JP"/>
              </w:rPr>
            </w:pPr>
            <w:r>
              <w:rPr>
                <w:lang w:eastAsia="ja-JP"/>
              </w:rPr>
              <w:t>Prioritize measurement time during the PTW at the cost of increase UE complexity.</w:t>
            </w:r>
          </w:p>
          <w:p w14:paraId="6D2C00A6" w14:textId="77777777" w:rsidR="005B02C9" w:rsidRDefault="005B02C9" w:rsidP="005B02C9">
            <w:pPr>
              <w:pStyle w:val="ListParagraph"/>
              <w:numPr>
                <w:ilvl w:val="2"/>
                <w:numId w:val="35"/>
              </w:numPr>
              <w:spacing w:line="240" w:lineRule="auto"/>
              <w:ind w:left="2376"/>
              <w:contextualSpacing/>
              <w:rPr>
                <w:lang w:eastAsia="ja-JP"/>
              </w:rPr>
            </w:pPr>
            <w:r>
              <w:rPr>
                <w:lang w:eastAsia="ja-JP"/>
              </w:rPr>
              <w:t>Option 1b: Min (RAN PTW, CN PTW)</w:t>
            </w:r>
          </w:p>
          <w:p w14:paraId="4C21DB30" w14:textId="77777777" w:rsidR="005B02C9" w:rsidRDefault="005B02C9" w:rsidP="005B02C9">
            <w:pPr>
              <w:pStyle w:val="ListParagraph"/>
              <w:numPr>
                <w:ilvl w:val="3"/>
                <w:numId w:val="35"/>
              </w:numPr>
              <w:spacing w:line="240" w:lineRule="auto"/>
              <w:ind w:left="3096"/>
              <w:contextualSpacing/>
              <w:rPr>
                <w:lang w:eastAsia="ja-JP"/>
              </w:rPr>
            </w:pPr>
            <w:r>
              <w:rPr>
                <w:lang w:eastAsia="ja-JP"/>
              </w:rPr>
              <w:t>Prioritize UE complexity at the cost of reduced measurement time.</w:t>
            </w:r>
          </w:p>
          <w:p w14:paraId="49E29615" w14:textId="77777777" w:rsidR="005B02C9" w:rsidRDefault="005B02C9" w:rsidP="005B02C9">
            <w:pPr>
              <w:pStyle w:val="ListParagraph"/>
              <w:numPr>
                <w:ilvl w:val="2"/>
                <w:numId w:val="35"/>
              </w:numPr>
              <w:autoSpaceDN w:val="0"/>
              <w:spacing w:line="240" w:lineRule="auto"/>
              <w:contextualSpacing/>
              <w:rPr>
                <w:lang w:eastAsia="ja-JP"/>
              </w:rPr>
            </w:pPr>
            <w:r>
              <w:rPr>
                <w:lang w:eastAsia="ja-JP"/>
              </w:rPr>
              <w:t>Option 1c: RAN PTW</w:t>
            </w:r>
          </w:p>
          <w:p w14:paraId="3AADFC7F" w14:textId="383A0D59" w:rsidR="005B02C9" w:rsidRPr="005B02C9" w:rsidRDefault="005B02C9" w:rsidP="00C873C7">
            <w:pPr>
              <w:pStyle w:val="ListParagraph"/>
              <w:numPr>
                <w:ilvl w:val="2"/>
                <w:numId w:val="35"/>
              </w:numPr>
              <w:autoSpaceDN w:val="0"/>
              <w:spacing w:line="240" w:lineRule="auto"/>
              <w:contextualSpacing/>
              <w:rPr>
                <w:lang w:eastAsia="ja-JP"/>
              </w:rPr>
            </w:pPr>
            <w:r>
              <w:rPr>
                <w:lang w:eastAsia="ja-JP"/>
              </w:rPr>
              <w:t>Other options are not precluded</w:t>
            </w:r>
          </w:p>
        </w:tc>
      </w:tr>
    </w:tbl>
    <w:p w14:paraId="11160A84" w14:textId="553C268E" w:rsidR="009B5795" w:rsidRDefault="009B5795" w:rsidP="00C873C7">
      <w:pPr>
        <w:rPr>
          <w:lang w:val="en-GB" w:eastAsia="ja-JP"/>
        </w:rPr>
      </w:pPr>
    </w:p>
    <w:p w14:paraId="7824330E" w14:textId="35E0113C" w:rsidR="00E27E1E" w:rsidRPr="00611476" w:rsidRDefault="00B86AA0" w:rsidP="00C873C7">
      <w:pPr>
        <w:rPr>
          <w:rFonts w:ascii="Times New Roman" w:hAnsi="Times New Roman" w:cs="Times New Roman"/>
          <w:sz w:val="22"/>
          <w:lang w:val="en-GB" w:eastAsia="ja-JP"/>
        </w:rPr>
      </w:pPr>
      <w:r>
        <w:rPr>
          <w:rFonts w:ascii="Times New Roman" w:hAnsi="Times New Roman" w:cs="Times New Roman"/>
          <w:sz w:val="22"/>
          <w:szCs w:val="24"/>
          <w:lang w:val="en-GB" w:eastAsia="zh-CN"/>
        </w:rPr>
        <w:t xml:space="preserve">The first open issue is related to when to measure when there are two overlapping PTWs. </w:t>
      </w:r>
      <w:r w:rsidR="00DA293B" w:rsidRPr="00611476">
        <w:rPr>
          <w:rFonts w:ascii="Times New Roman" w:hAnsi="Times New Roman" w:cs="Times New Roman"/>
          <w:sz w:val="22"/>
          <w:lang w:val="en-GB" w:eastAsia="ja-JP"/>
        </w:rPr>
        <w:t xml:space="preserve">Although </w:t>
      </w:r>
      <w:r w:rsidR="007D2826" w:rsidRPr="00611476">
        <w:rPr>
          <w:rFonts w:ascii="Times New Roman" w:hAnsi="Times New Roman" w:cs="Times New Roman"/>
          <w:sz w:val="22"/>
          <w:lang w:val="en-GB" w:eastAsia="ja-JP"/>
        </w:rPr>
        <w:t>o</w:t>
      </w:r>
      <w:r w:rsidR="00DA293B" w:rsidRPr="00611476">
        <w:rPr>
          <w:rFonts w:ascii="Times New Roman" w:hAnsi="Times New Roman" w:cs="Times New Roman"/>
          <w:sz w:val="22"/>
          <w:lang w:val="en-GB" w:eastAsia="ja-JP"/>
        </w:rPr>
        <w:t>ption 1a gives longer measurement time for the UE to complete the measurement</w:t>
      </w:r>
      <w:r w:rsidR="001656B7" w:rsidRPr="00611476">
        <w:rPr>
          <w:rFonts w:ascii="Times New Roman" w:hAnsi="Times New Roman" w:cs="Times New Roman"/>
          <w:sz w:val="22"/>
          <w:lang w:val="en-GB" w:eastAsia="ja-JP"/>
        </w:rPr>
        <w:t xml:space="preserve">, </w:t>
      </w:r>
      <w:r w:rsidR="00377C0A" w:rsidRPr="00611476">
        <w:rPr>
          <w:rFonts w:ascii="Times New Roman" w:hAnsi="Times New Roman" w:cs="Times New Roman"/>
          <w:sz w:val="22"/>
          <w:lang w:val="en-GB" w:eastAsia="ja-JP"/>
        </w:rPr>
        <w:t xml:space="preserve">this option may </w:t>
      </w:r>
      <w:r w:rsidR="00DA293B" w:rsidRPr="00611476">
        <w:rPr>
          <w:rFonts w:ascii="Times New Roman" w:hAnsi="Times New Roman" w:cs="Times New Roman"/>
          <w:sz w:val="22"/>
          <w:lang w:val="en-GB" w:eastAsia="ja-JP"/>
        </w:rPr>
        <w:t xml:space="preserve">lead to increased power consumption as it has to stay awake for longer time and also increase the complexity in the UE </w:t>
      </w:r>
      <w:r w:rsidR="00377C0A" w:rsidRPr="00611476">
        <w:rPr>
          <w:rFonts w:ascii="Times New Roman" w:hAnsi="Times New Roman" w:cs="Times New Roman"/>
          <w:sz w:val="22"/>
          <w:lang w:val="en-GB" w:eastAsia="ja-JP"/>
        </w:rPr>
        <w:t xml:space="preserve">since it needs </w:t>
      </w:r>
      <w:r w:rsidR="00DA293B" w:rsidRPr="00611476">
        <w:rPr>
          <w:rFonts w:ascii="Times New Roman" w:hAnsi="Times New Roman" w:cs="Times New Roman"/>
          <w:sz w:val="22"/>
          <w:lang w:val="en-GB" w:eastAsia="ja-JP"/>
        </w:rPr>
        <w:t xml:space="preserve">to follow different T as </w:t>
      </w:r>
      <w:r w:rsidR="00CB7AE6">
        <w:rPr>
          <w:rFonts w:ascii="Times New Roman" w:hAnsi="Times New Roman" w:cs="Times New Roman"/>
          <w:sz w:val="22"/>
          <w:lang w:val="en-GB" w:eastAsia="ja-JP"/>
        </w:rPr>
        <w:t xml:space="preserve">explained </w:t>
      </w:r>
      <w:r w:rsidR="00DA293B" w:rsidRPr="00611476">
        <w:rPr>
          <w:rFonts w:ascii="Times New Roman" w:hAnsi="Times New Roman" w:cs="Times New Roman"/>
          <w:sz w:val="22"/>
          <w:lang w:val="en-GB" w:eastAsia="ja-JP"/>
        </w:rPr>
        <w:t>in [</w:t>
      </w:r>
      <w:r w:rsidR="00377C0A" w:rsidRPr="00611476">
        <w:rPr>
          <w:rFonts w:ascii="Times New Roman" w:hAnsi="Times New Roman" w:cs="Times New Roman"/>
          <w:sz w:val="22"/>
          <w:lang w:val="en-GB" w:eastAsia="ja-JP"/>
        </w:rPr>
        <w:t>2</w:t>
      </w:r>
      <w:r w:rsidR="00DA293B" w:rsidRPr="00611476">
        <w:rPr>
          <w:rFonts w:ascii="Times New Roman" w:hAnsi="Times New Roman" w:cs="Times New Roman"/>
          <w:sz w:val="22"/>
          <w:lang w:val="en-GB" w:eastAsia="ja-JP"/>
        </w:rPr>
        <w:t>].</w:t>
      </w:r>
      <w:r w:rsidR="00C53824" w:rsidRPr="00611476">
        <w:rPr>
          <w:rFonts w:ascii="Times New Roman" w:hAnsi="Times New Roman" w:cs="Times New Roman"/>
          <w:sz w:val="22"/>
          <w:lang w:val="en-GB" w:eastAsia="ja-JP"/>
        </w:rPr>
        <w:t xml:space="preserve"> </w:t>
      </w:r>
      <w:r w:rsidR="00445AC2" w:rsidRPr="00611476">
        <w:rPr>
          <w:rFonts w:ascii="Times New Roman" w:hAnsi="Times New Roman" w:cs="Times New Roman"/>
          <w:sz w:val="22"/>
          <w:lang w:val="en-GB" w:eastAsia="ja-JP"/>
        </w:rPr>
        <w:t xml:space="preserve">A as compromise </w:t>
      </w:r>
      <w:r w:rsidR="008833EF">
        <w:rPr>
          <w:rFonts w:ascii="Times New Roman" w:hAnsi="Times New Roman" w:cs="Times New Roman"/>
          <w:sz w:val="22"/>
          <w:lang w:val="en-GB" w:eastAsia="ja-JP"/>
        </w:rPr>
        <w:t>solution</w:t>
      </w:r>
      <w:r w:rsidR="00445AC2" w:rsidRPr="00611476">
        <w:rPr>
          <w:rFonts w:ascii="Times New Roman" w:hAnsi="Times New Roman" w:cs="Times New Roman"/>
          <w:sz w:val="22"/>
          <w:lang w:val="en-GB" w:eastAsia="ja-JP"/>
        </w:rPr>
        <w:t xml:space="preserve">, we propose that the neighbour cell measurements are based on RAN PTW </w:t>
      </w:r>
      <w:r w:rsidR="002D1168" w:rsidRPr="00611476">
        <w:rPr>
          <w:rFonts w:ascii="Times New Roman" w:hAnsi="Times New Roman" w:cs="Times New Roman"/>
          <w:sz w:val="22"/>
          <w:lang w:val="en-GB" w:eastAsia="ja-JP"/>
        </w:rPr>
        <w:t xml:space="preserve">(aligned with use of RAN eDRX for neighbour cell measurements) </w:t>
      </w:r>
      <w:r w:rsidR="00445AC2" w:rsidRPr="00611476">
        <w:rPr>
          <w:rFonts w:ascii="Times New Roman" w:hAnsi="Times New Roman" w:cs="Times New Roman"/>
          <w:sz w:val="22"/>
          <w:lang w:val="en-GB" w:eastAsia="ja-JP"/>
        </w:rPr>
        <w:t xml:space="preserve">while the serving cell measurements </w:t>
      </w:r>
      <w:r w:rsidR="004230E0" w:rsidRPr="00611476">
        <w:rPr>
          <w:rFonts w:ascii="Times New Roman" w:hAnsi="Times New Roman" w:cs="Times New Roman"/>
          <w:sz w:val="22"/>
          <w:lang w:val="en-GB" w:eastAsia="ja-JP"/>
        </w:rPr>
        <w:t>are</w:t>
      </w:r>
      <w:r w:rsidR="00445AC2" w:rsidRPr="00611476">
        <w:rPr>
          <w:rFonts w:ascii="Times New Roman" w:hAnsi="Times New Roman" w:cs="Times New Roman"/>
          <w:sz w:val="22"/>
          <w:lang w:val="en-GB" w:eastAsia="ja-JP"/>
        </w:rPr>
        <w:t xml:space="preserve"> based on minimum of RAN PTW and CN PTW. </w:t>
      </w:r>
    </w:p>
    <w:p w14:paraId="3EA75A1D" w14:textId="77777777" w:rsidR="000E71CA" w:rsidRDefault="000E71CA" w:rsidP="00C873C7">
      <w:pPr>
        <w:rPr>
          <w:rFonts w:ascii="Times New Roman" w:hAnsi="Times New Roman" w:cs="Times New Roman"/>
          <w:sz w:val="22"/>
          <w:lang w:val="en-GB" w:eastAsia="ja-JP"/>
        </w:rPr>
      </w:pPr>
    </w:p>
    <w:p w14:paraId="0DC5F436" w14:textId="55619042" w:rsidR="00984739" w:rsidRPr="00984739" w:rsidRDefault="00984739" w:rsidP="000E71CA">
      <w:pPr>
        <w:pStyle w:val="Proposal"/>
        <w:rPr>
          <w:color w:val="000000" w:themeColor="text1"/>
          <w:lang w:val="en-GB" w:eastAsia="ja-JP"/>
        </w:rPr>
      </w:pPr>
      <w:r>
        <w:rPr>
          <w:rFonts w:cs="Arial"/>
          <w:color w:val="000000" w:themeColor="text1"/>
          <w:lang w:val="en-GB"/>
        </w:rPr>
        <w:lastRenderedPageBreak/>
        <w:t>When configured with both IDLE and INACTIVE eDRX configurations larger than 10.24s and when the PTWS are partially overlapping</w:t>
      </w:r>
      <w:r w:rsidR="00DA39F4">
        <w:rPr>
          <w:rFonts w:cs="Arial"/>
          <w:color w:val="000000" w:themeColor="text1"/>
          <w:lang w:val="en-GB"/>
        </w:rPr>
        <w:t xml:space="preserve"> in time</w:t>
      </w:r>
      <w:r>
        <w:rPr>
          <w:rFonts w:cs="Arial"/>
          <w:color w:val="000000" w:themeColor="text1"/>
          <w:lang w:val="en-GB"/>
        </w:rPr>
        <w:t>:</w:t>
      </w:r>
    </w:p>
    <w:p w14:paraId="3354C762" w14:textId="1D8EE6DC" w:rsidR="00984739" w:rsidRPr="00984739" w:rsidRDefault="00984739" w:rsidP="00984739">
      <w:pPr>
        <w:pStyle w:val="Proposal"/>
        <w:numPr>
          <w:ilvl w:val="5"/>
          <w:numId w:val="35"/>
        </w:numPr>
        <w:rPr>
          <w:color w:val="000000" w:themeColor="text1"/>
          <w:lang w:val="en-GB" w:eastAsia="ja-JP"/>
        </w:rPr>
      </w:pPr>
      <w:r>
        <w:rPr>
          <w:rFonts w:cs="Arial"/>
          <w:color w:val="000000" w:themeColor="text1"/>
          <w:lang w:val="en-GB"/>
        </w:rPr>
        <w:t>Serving cell measurements are based on min(RANPTW, CN PTW),</w:t>
      </w:r>
    </w:p>
    <w:p w14:paraId="746DB826" w14:textId="77777777" w:rsidR="00984739" w:rsidRPr="00984739" w:rsidRDefault="00984739" w:rsidP="00984739">
      <w:pPr>
        <w:pStyle w:val="Proposal"/>
        <w:numPr>
          <w:ilvl w:val="5"/>
          <w:numId w:val="35"/>
        </w:numPr>
        <w:rPr>
          <w:color w:val="000000" w:themeColor="text1"/>
          <w:lang w:val="en-GB" w:eastAsia="ja-JP"/>
        </w:rPr>
      </w:pPr>
      <w:r>
        <w:rPr>
          <w:rFonts w:cs="Arial"/>
          <w:color w:val="000000" w:themeColor="text1"/>
          <w:lang w:val="en-GB"/>
        </w:rPr>
        <w:t>Neighbour cell measurements are based on RAN PTW.</w:t>
      </w:r>
    </w:p>
    <w:p w14:paraId="62E30571" w14:textId="77777777" w:rsidR="000E71CA" w:rsidRDefault="000E71CA" w:rsidP="00C873C7">
      <w:pPr>
        <w:rPr>
          <w:rFonts w:ascii="Times New Roman" w:hAnsi="Times New Roman" w:cs="Times New Roman"/>
          <w:sz w:val="22"/>
          <w:lang w:val="en-GB" w:eastAsia="ja-JP"/>
        </w:rPr>
      </w:pPr>
    </w:p>
    <w:p w14:paraId="2806F0A2" w14:textId="6B0B7FC6" w:rsidR="005B02C9" w:rsidRPr="001E6468" w:rsidRDefault="00E7116F" w:rsidP="00C873C7">
      <w:pPr>
        <w:rPr>
          <w:rFonts w:ascii="Times New Roman" w:hAnsi="Times New Roman" w:cs="Times New Roman"/>
          <w:sz w:val="22"/>
          <w:lang w:val="en-GB" w:eastAsia="ja-JP"/>
        </w:rPr>
      </w:pPr>
      <w:r>
        <w:rPr>
          <w:rFonts w:ascii="Times New Roman" w:hAnsi="Times New Roman" w:cs="Times New Roman"/>
          <w:sz w:val="22"/>
          <w:lang w:val="en-GB" w:eastAsia="ja-JP"/>
        </w:rPr>
        <w:t xml:space="preserve">The second </w:t>
      </w:r>
      <w:r w:rsidR="00625443" w:rsidRPr="001E6468">
        <w:rPr>
          <w:rFonts w:ascii="Times New Roman" w:hAnsi="Times New Roman" w:cs="Times New Roman"/>
          <w:sz w:val="22"/>
          <w:lang w:val="en-GB" w:eastAsia="ja-JP"/>
        </w:rPr>
        <w:t xml:space="preserve">open issue is related to the UE requirements when </w:t>
      </w:r>
      <w:r w:rsidR="0048589A" w:rsidRPr="001E6468">
        <w:rPr>
          <w:rFonts w:ascii="Times New Roman" w:hAnsi="Times New Roman" w:cs="Times New Roman"/>
          <w:sz w:val="22"/>
          <w:lang w:val="en-GB" w:eastAsia="ja-JP"/>
        </w:rPr>
        <w:t xml:space="preserve">RAN PTW and CN PTW do not coincide which was discussed at last meeting with following outcome [1]; </w:t>
      </w:r>
    </w:p>
    <w:tbl>
      <w:tblPr>
        <w:tblStyle w:val="TableGrid"/>
        <w:tblW w:w="0" w:type="auto"/>
        <w:tblLook w:val="04A0" w:firstRow="1" w:lastRow="0" w:firstColumn="1" w:lastColumn="0" w:noHBand="0" w:noVBand="1"/>
      </w:tblPr>
      <w:tblGrid>
        <w:gridCol w:w="9629"/>
      </w:tblGrid>
      <w:tr w:rsidR="00625443" w14:paraId="037F6116" w14:textId="77777777" w:rsidTr="00625443">
        <w:tc>
          <w:tcPr>
            <w:tcW w:w="9629" w:type="dxa"/>
          </w:tcPr>
          <w:p w14:paraId="48BC2B02" w14:textId="77777777" w:rsidR="00625443" w:rsidRDefault="00625443" w:rsidP="00625443">
            <w:pPr>
              <w:rPr>
                <w:b/>
                <w:color w:val="0070C0"/>
                <w:u w:val="single"/>
                <w:lang w:eastAsia="ko-KR"/>
              </w:rPr>
            </w:pPr>
            <w:r>
              <w:rPr>
                <w:b/>
                <w:color w:val="0070C0"/>
                <w:u w:val="single"/>
                <w:lang w:eastAsia="ko-KR"/>
              </w:rPr>
              <w:t>When to measure when IDLE and INACTIVE eDRX PTW do not coincide</w:t>
            </w:r>
          </w:p>
          <w:p w14:paraId="75CAD765" w14:textId="77777777" w:rsidR="00625443" w:rsidRDefault="00625443" w:rsidP="00625443">
            <w:pPr>
              <w:pStyle w:val="ListParagraph"/>
              <w:numPr>
                <w:ilvl w:val="1"/>
                <w:numId w:val="35"/>
              </w:numPr>
              <w:spacing w:after="120" w:line="240" w:lineRule="auto"/>
              <w:ind w:left="1440"/>
              <w:rPr>
                <w:rFonts w:eastAsia="SimSun"/>
                <w:color w:val="000000" w:themeColor="text1"/>
                <w:szCs w:val="24"/>
                <w:lang w:eastAsia="zh-CN"/>
              </w:rPr>
            </w:pPr>
            <w:r>
              <w:rPr>
                <w:rFonts w:eastAsia="SimSun"/>
                <w:color w:val="0070C0"/>
                <w:szCs w:val="24"/>
                <w:lang w:eastAsia="zh-CN"/>
              </w:rPr>
              <w:t>Option 1:</w:t>
            </w:r>
            <w:r>
              <w:rPr>
                <w:rFonts w:eastAsia="SimSun"/>
                <w:color w:val="000000" w:themeColor="text1"/>
                <w:szCs w:val="24"/>
                <w:lang w:eastAsia="zh-CN"/>
              </w:rPr>
              <w:t xml:space="preserve"> </w:t>
            </w:r>
            <w:r>
              <w:t>RAN4 to agree that UE follows the INACTIVE eDRX when IDLE and INACTIVE eDRX PTWs do not coincide</w:t>
            </w:r>
          </w:p>
          <w:p w14:paraId="43894095" w14:textId="0F925013" w:rsidR="00625443" w:rsidRPr="0048589A" w:rsidRDefault="00625443" w:rsidP="00C873C7">
            <w:pPr>
              <w:pStyle w:val="ListParagraph"/>
              <w:numPr>
                <w:ilvl w:val="1"/>
                <w:numId w:val="35"/>
              </w:numPr>
              <w:spacing w:after="120" w:line="240" w:lineRule="auto"/>
              <w:ind w:left="1440"/>
              <w:rPr>
                <w:rFonts w:eastAsia="SimSun"/>
                <w:color w:val="000000" w:themeColor="text1"/>
                <w:szCs w:val="24"/>
                <w:lang w:eastAsia="zh-CN"/>
              </w:rPr>
            </w:pPr>
            <w:r>
              <w:rPr>
                <w:rFonts w:eastAsia="SimSun"/>
                <w:color w:val="0070C0"/>
                <w:szCs w:val="24"/>
                <w:lang w:eastAsia="zh-CN"/>
              </w:rPr>
              <w:t>Option 2:</w:t>
            </w:r>
            <w:r>
              <w:rPr>
                <w:rFonts w:eastAsia="SimSun"/>
                <w:color w:val="000000" w:themeColor="text1"/>
                <w:szCs w:val="24"/>
                <w:lang w:eastAsia="zh-CN"/>
              </w:rPr>
              <w:t xml:space="preserve"> </w:t>
            </w:r>
            <w:r>
              <w:t xml:space="preserve">No need to define requirements for the case when PTWs do not coincide. </w:t>
            </w:r>
          </w:p>
        </w:tc>
      </w:tr>
    </w:tbl>
    <w:p w14:paraId="5D456E55" w14:textId="77777777" w:rsidR="00625443" w:rsidRDefault="00625443" w:rsidP="00C873C7">
      <w:pPr>
        <w:rPr>
          <w:lang w:val="en-GB" w:eastAsia="ja-JP"/>
        </w:rPr>
      </w:pPr>
    </w:p>
    <w:p w14:paraId="4C87884C" w14:textId="273EB973" w:rsidR="0074220E" w:rsidRPr="001E6468" w:rsidRDefault="0074220E" w:rsidP="00C873C7">
      <w:pPr>
        <w:rPr>
          <w:rFonts w:ascii="Times New Roman" w:hAnsi="Times New Roman" w:cs="Times New Roman"/>
          <w:sz w:val="22"/>
          <w:lang w:val="en-GB" w:eastAsia="ja-JP"/>
        </w:rPr>
      </w:pPr>
      <w:r w:rsidRPr="001E6468">
        <w:rPr>
          <w:rFonts w:ascii="Times New Roman" w:hAnsi="Times New Roman" w:cs="Times New Roman"/>
          <w:sz w:val="22"/>
          <w:lang w:val="en-GB" w:eastAsia="ja-JP"/>
        </w:rPr>
        <w:t xml:space="preserve">RAN2 reached </w:t>
      </w:r>
      <w:r w:rsidR="00275D63">
        <w:rPr>
          <w:rFonts w:ascii="Times New Roman" w:hAnsi="Times New Roman" w:cs="Times New Roman"/>
          <w:sz w:val="22"/>
          <w:lang w:val="en-GB" w:eastAsia="ja-JP"/>
        </w:rPr>
        <w:t xml:space="preserve">a </w:t>
      </w:r>
      <w:r w:rsidRPr="001E6468">
        <w:rPr>
          <w:rFonts w:ascii="Times New Roman" w:hAnsi="Times New Roman" w:cs="Times New Roman"/>
          <w:sz w:val="22"/>
          <w:lang w:val="en-GB" w:eastAsia="ja-JP"/>
        </w:rPr>
        <w:t>following agreements at RAN2#</w:t>
      </w:r>
      <w:r w:rsidR="00EA6AF4" w:rsidRPr="001E6468">
        <w:rPr>
          <w:rFonts w:ascii="Times New Roman" w:hAnsi="Times New Roman" w:cs="Times New Roman"/>
          <w:sz w:val="22"/>
          <w:lang w:val="en-GB" w:eastAsia="ja-JP"/>
        </w:rPr>
        <w:t>121</w:t>
      </w:r>
      <w:r w:rsidR="00275D63">
        <w:rPr>
          <w:rFonts w:ascii="Times New Roman" w:hAnsi="Times New Roman" w:cs="Times New Roman"/>
          <w:sz w:val="22"/>
          <w:lang w:val="en-GB" w:eastAsia="ja-JP"/>
        </w:rPr>
        <w:t xml:space="preserve"> which is related to this open issue</w:t>
      </w:r>
      <w:r w:rsidR="00EA6AF4" w:rsidRPr="001E6468">
        <w:rPr>
          <w:rFonts w:ascii="Times New Roman" w:hAnsi="Times New Roman" w:cs="Times New Roman"/>
          <w:sz w:val="22"/>
          <w:lang w:val="en-GB" w:eastAsia="ja-JP"/>
        </w:rPr>
        <w:t>:</w:t>
      </w:r>
    </w:p>
    <w:tbl>
      <w:tblPr>
        <w:tblStyle w:val="TableGrid"/>
        <w:tblW w:w="0" w:type="auto"/>
        <w:tblLook w:val="04A0" w:firstRow="1" w:lastRow="0" w:firstColumn="1" w:lastColumn="0" w:noHBand="0" w:noVBand="1"/>
      </w:tblPr>
      <w:tblGrid>
        <w:gridCol w:w="9629"/>
      </w:tblGrid>
      <w:tr w:rsidR="0074220E" w14:paraId="4362943C" w14:textId="77777777" w:rsidTr="0074220E">
        <w:tc>
          <w:tcPr>
            <w:tcW w:w="9629" w:type="dxa"/>
          </w:tcPr>
          <w:p w14:paraId="37DD8F20" w14:textId="77777777" w:rsidR="0074220E" w:rsidRPr="00EA6AF4" w:rsidRDefault="0074220E" w:rsidP="0074220E">
            <w:pPr>
              <w:pStyle w:val="ListParagraph"/>
              <w:widowControl w:val="0"/>
              <w:numPr>
                <w:ilvl w:val="0"/>
                <w:numId w:val="38"/>
              </w:numPr>
              <w:spacing w:line="240" w:lineRule="auto"/>
              <w:jc w:val="both"/>
              <w:rPr>
                <w:rFonts w:ascii="Times New Roman" w:hAnsi="Times New Roman"/>
                <w:sz w:val="20"/>
                <w:szCs w:val="20"/>
              </w:rPr>
            </w:pPr>
            <w:r w:rsidRPr="000C2449">
              <w:rPr>
                <w:rFonts w:ascii="Times New Roman" w:hAnsi="Times New Roman"/>
                <w:sz w:val="20"/>
                <w:szCs w:val="20"/>
              </w:rPr>
              <w:t xml:space="preserve">RAN2 confirms </w:t>
            </w:r>
            <w:r w:rsidRPr="00EA6AF4">
              <w:rPr>
                <w:rFonts w:ascii="Times New Roman" w:hAnsi="Times New Roman"/>
                <w:sz w:val="20"/>
                <w:szCs w:val="20"/>
              </w:rPr>
              <w:t xml:space="preserve">the R17 agreements made at RAN2#114 for enhanced INACTIVE eDRX: </w:t>
            </w:r>
          </w:p>
          <w:p w14:paraId="49C8837C" w14:textId="77777777" w:rsidR="0074220E" w:rsidRPr="00EA6AF4" w:rsidRDefault="0074220E" w:rsidP="0074220E">
            <w:pPr>
              <w:pStyle w:val="ListParagraph"/>
              <w:widowControl w:val="0"/>
              <w:numPr>
                <w:ilvl w:val="1"/>
                <w:numId w:val="38"/>
              </w:numPr>
              <w:spacing w:line="240" w:lineRule="auto"/>
              <w:jc w:val="both"/>
              <w:rPr>
                <w:rFonts w:ascii="Times New Roman" w:hAnsi="Times New Roman"/>
                <w:sz w:val="20"/>
                <w:szCs w:val="20"/>
              </w:rPr>
            </w:pPr>
            <w:r w:rsidRPr="00EA6AF4">
              <w:rPr>
                <w:rFonts w:ascii="Times New Roman" w:hAnsi="Times New Roman"/>
                <w:sz w:val="20"/>
                <w:szCs w:val="20"/>
              </w:rPr>
              <w:t>It is up to RAN to configure the length for PTW for RAN paging, the RAN PTW length can be different from the CN PTW length.</w:t>
            </w:r>
          </w:p>
          <w:p w14:paraId="3638FD84" w14:textId="5581AA3D" w:rsidR="0074220E" w:rsidRPr="0074220E" w:rsidRDefault="0074220E" w:rsidP="00C873C7">
            <w:pPr>
              <w:pStyle w:val="ListParagraph"/>
              <w:widowControl w:val="0"/>
              <w:numPr>
                <w:ilvl w:val="1"/>
                <w:numId w:val="38"/>
              </w:numPr>
              <w:spacing w:line="240" w:lineRule="auto"/>
              <w:jc w:val="both"/>
              <w:rPr>
                <w:rFonts w:ascii="Times New Roman" w:hAnsi="Times New Roman"/>
                <w:sz w:val="20"/>
                <w:szCs w:val="20"/>
              </w:rPr>
            </w:pPr>
            <w:r w:rsidRPr="00F47636">
              <w:rPr>
                <w:rFonts w:ascii="Times New Roman" w:hAnsi="Times New Roman"/>
                <w:sz w:val="20"/>
                <w:szCs w:val="20"/>
                <w:highlight w:val="yellow"/>
              </w:rPr>
              <w:t>When RAN and CN paging coincide in the same PH, the actually used PTW starting location is the same for RAN and CN paging.</w:t>
            </w:r>
            <w:r w:rsidRPr="00EA6AF4">
              <w:rPr>
                <w:rFonts w:ascii="Times New Roman" w:hAnsi="Times New Roman"/>
                <w:sz w:val="20"/>
                <w:szCs w:val="20"/>
              </w:rPr>
              <w:t xml:space="preserve"> FFS how to calculate the PTW starting location so that it is the same for RAN and CN PTW.</w:t>
            </w:r>
          </w:p>
        </w:tc>
      </w:tr>
    </w:tbl>
    <w:p w14:paraId="17E12867" w14:textId="77777777" w:rsidR="0074220E" w:rsidRDefault="0074220E" w:rsidP="00C873C7">
      <w:pPr>
        <w:rPr>
          <w:lang w:val="en-GB" w:eastAsia="ja-JP"/>
        </w:rPr>
      </w:pPr>
    </w:p>
    <w:p w14:paraId="30574449" w14:textId="633D77A8" w:rsidR="005C13E8" w:rsidRPr="001E6468" w:rsidRDefault="005C13E8" w:rsidP="00C873C7">
      <w:pPr>
        <w:rPr>
          <w:rFonts w:ascii="Times New Roman" w:hAnsi="Times New Roman" w:cs="Times New Roman"/>
          <w:color w:val="000000" w:themeColor="text1"/>
          <w:sz w:val="22"/>
          <w:lang w:val="en-GB" w:eastAsia="ja-JP"/>
        </w:rPr>
      </w:pPr>
      <w:r w:rsidRPr="001E6468">
        <w:rPr>
          <w:rFonts w:ascii="Times New Roman" w:hAnsi="Times New Roman" w:cs="Times New Roman"/>
          <w:sz w:val="22"/>
          <w:lang w:val="en-GB" w:eastAsia="ja-JP"/>
        </w:rPr>
        <w:t>According to RAN2 agreements</w:t>
      </w:r>
      <w:r w:rsidR="0074220E" w:rsidRPr="001E6468">
        <w:rPr>
          <w:rFonts w:ascii="Times New Roman" w:hAnsi="Times New Roman" w:cs="Times New Roman"/>
          <w:sz w:val="22"/>
          <w:lang w:val="en-GB" w:eastAsia="ja-JP"/>
        </w:rPr>
        <w:t xml:space="preserve"> </w:t>
      </w:r>
      <w:r w:rsidR="008F1006">
        <w:rPr>
          <w:rFonts w:ascii="Times New Roman" w:hAnsi="Times New Roman" w:cs="Times New Roman"/>
          <w:sz w:val="22"/>
          <w:lang w:val="en-GB" w:eastAsia="ja-JP"/>
        </w:rPr>
        <w:t xml:space="preserve">as highlighted </w:t>
      </w:r>
      <w:r w:rsidR="0074220E" w:rsidRPr="001E6468">
        <w:rPr>
          <w:rFonts w:ascii="Times New Roman" w:hAnsi="Times New Roman" w:cs="Times New Roman"/>
          <w:sz w:val="22"/>
          <w:lang w:val="en-GB" w:eastAsia="ja-JP"/>
        </w:rPr>
        <w:t>above</w:t>
      </w:r>
      <w:r w:rsidRPr="001E6468">
        <w:rPr>
          <w:rFonts w:ascii="Times New Roman" w:hAnsi="Times New Roman" w:cs="Times New Roman"/>
          <w:sz w:val="22"/>
          <w:lang w:val="en-GB" w:eastAsia="ja-JP"/>
        </w:rPr>
        <w:t xml:space="preserve">, the </w:t>
      </w:r>
      <w:r w:rsidR="00694058" w:rsidRPr="001E6468">
        <w:rPr>
          <w:rFonts w:ascii="Times New Roman" w:hAnsi="Times New Roman" w:cs="Times New Roman"/>
          <w:sz w:val="22"/>
          <w:lang w:val="en-GB" w:eastAsia="ja-JP"/>
        </w:rPr>
        <w:t>PTW starting location</w:t>
      </w:r>
      <w:r w:rsidR="00B25268">
        <w:rPr>
          <w:rFonts w:ascii="Times New Roman" w:hAnsi="Times New Roman" w:cs="Times New Roman"/>
          <w:sz w:val="22"/>
          <w:lang w:val="en-GB" w:eastAsia="ja-JP"/>
        </w:rPr>
        <w:t>s</w:t>
      </w:r>
      <w:r w:rsidR="00694058" w:rsidRPr="001E6468">
        <w:rPr>
          <w:rFonts w:ascii="Times New Roman" w:hAnsi="Times New Roman" w:cs="Times New Roman"/>
          <w:sz w:val="22"/>
          <w:lang w:val="en-GB" w:eastAsia="ja-JP"/>
        </w:rPr>
        <w:t xml:space="preserve"> </w:t>
      </w:r>
      <w:r w:rsidR="00B25268">
        <w:rPr>
          <w:rFonts w:ascii="Times New Roman" w:hAnsi="Times New Roman" w:cs="Times New Roman"/>
          <w:sz w:val="22"/>
          <w:lang w:val="en-GB" w:eastAsia="ja-JP"/>
        </w:rPr>
        <w:t>are</w:t>
      </w:r>
      <w:r w:rsidR="00694058" w:rsidRPr="001E6468">
        <w:rPr>
          <w:rFonts w:ascii="Times New Roman" w:hAnsi="Times New Roman" w:cs="Times New Roman"/>
          <w:sz w:val="22"/>
          <w:lang w:val="en-GB" w:eastAsia="ja-JP"/>
        </w:rPr>
        <w:t xml:space="preserve"> same for RAN and CN paging when the RAN and CN paging coincide in the same PH. </w:t>
      </w:r>
      <w:r w:rsidR="00F56C69" w:rsidRPr="001E6468">
        <w:rPr>
          <w:rFonts w:ascii="Times New Roman" w:hAnsi="Times New Roman" w:cs="Times New Roman"/>
          <w:sz w:val="22"/>
          <w:lang w:val="en-GB" w:eastAsia="ja-JP"/>
        </w:rPr>
        <w:t>This means the PTWs can be fully overlapping or partially overlapping depending on th</w:t>
      </w:r>
      <w:r w:rsidR="00C43339" w:rsidRPr="001E6468">
        <w:rPr>
          <w:rFonts w:ascii="Times New Roman" w:hAnsi="Times New Roman" w:cs="Times New Roman"/>
          <w:sz w:val="22"/>
          <w:lang w:val="en-GB" w:eastAsia="ja-JP"/>
        </w:rPr>
        <w:t xml:space="preserve">e configured length of </w:t>
      </w:r>
      <w:r w:rsidR="00C43339" w:rsidRPr="001E6468">
        <w:rPr>
          <w:rFonts w:ascii="Times New Roman" w:hAnsi="Times New Roman" w:cs="Times New Roman"/>
          <w:color w:val="000000" w:themeColor="text1"/>
          <w:sz w:val="22"/>
          <w:lang w:val="en-GB" w:eastAsia="ja-JP"/>
        </w:rPr>
        <w:t>PTW, but they cannot be non-overlapping. Therefore</w:t>
      </w:r>
      <w:r w:rsidR="00AD0C49">
        <w:rPr>
          <w:rFonts w:ascii="Times New Roman" w:hAnsi="Times New Roman" w:cs="Times New Roman"/>
          <w:color w:val="000000" w:themeColor="text1"/>
          <w:sz w:val="22"/>
          <w:lang w:val="en-GB" w:eastAsia="ja-JP"/>
        </w:rPr>
        <w:t xml:space="preserve"> there is no </w:t>
      </w:r>
      <w:r w:rsidR="00C43339" w:rsidRPr="001E6468">
        <w:rPr>
          <w:rFonts w:ascii="Times New Roman" w:hAnsi="Times New Roman" w:cs="Times New Roman"/>
          <w:color w:val="000000" w:themeColor="text1"/>
          <w:sz w:val="22"/>
          <w:lang w:val="en-GB" w:eastAsia="ja-JP"/>
        </w:rPr>
        <w:t xml:space="preserve">need </w:t>
      </w:r>
      <w:r w:rsidR="002A00EB" w:rsidRPr="001E6468">
        <w:rPr>
          <w:rFonts w:ascii="Times New Roman" w:hAnsi="Times New Roman" w:cs="Times New Roman"/>
          <w:color w:val="000000" w:themeColor="text1"/>
          <w:sz w:val="22"/>
          <w:lang w:val="en-GB" w:eastAsia="ja-JP"/>
        </w:rPr>
        <w:t xml:space="preserve">to define requirements for the case when RAN and CN </w:t>
      </w:r>
      <w:r w:rsidR="00C43339" w:rsidRPr="001E6468">
        <w:rPr>
          <w:rFonts w:ascii="Times New Roman" w:hAnsi="Times New Roman" w:cs="Times New Roman"/>
          <w:color w:val="000000" w:themeColor="text1"/>
          <w:sz w:val="22"/>
          <w:lang w:val="en-GB" w:eastAsia="ja-JP"/>
        </w:rPr>
        <w:t xml:space="preserve">PTWs </w:t>
      </w:r>
      <w:r w:rsidR="007C567D" w:rsidRPr="001E6468">
        <w:rPr>
          <w:rFonts w:ascii="Times New Roman" w:hAnsi="Times New Roman" w:cs="Times New Roman"/>
          <w:color w:val="000000" w:themeColor="text1"/>
          <w:sz w:val="22"/>
          <w:lang w:val="en-GB" w:eastAsia="ja-JP"/>
        </w:rPr>
        <w:t xml:space="preserve">not coinciding. </w:t>
      </w:r>
    </w:p>
    <w:p w14:paraId="66572721" w14:textId="49961407" w:rsidR="0068701C" w:rsidRDefault="0068701C" w:rsidP="00C873C7">
      <w:pPr>
        <w:rPr>
          <w:b/>
          <w:bCs/>
          <w:color w:val="000000" w:themeColor="text1"/>
          <w:lang w:val="en-GB" w:eastAsia="ja-JP"/>
        </w:rPr>
      </w:pPr>
      <w:r w:rsidRPr="00C72D0C">
        <w:rPr>
          <w:b/>
          <w:bCs/>
          <w:color w:val="000000" w:themeColor="text1"/>
          <w:lang w:val="en-GB" w:eastAsia="ja-JP"/>
        </w:rPr>
        <w:t xml:space="preserve">Observation 1: </w:t>
      </w:r>
      <w:r w:rsidR="001D2989" w:rsidRPr="00C72D0C">
        <w:rPr>
          <w:b/>
          <w:bCs/>
          <w:color w:val="000000" w:themeColor="text1"/>
          <w:lang w:val="en-GB" w:eastAsia="ja-JP"/>
        </w:rPr>
        <w:t xml:space="preserve">Starting locations of RAN PTW and CN PTWs are always same when RAN and CN paging coincide in the same PH. </w:t>
      </w:r>
    </w:p>
    <w:p w14:paraId="6E5D05EE" w14:textId="1736EC24" w:rsidR="003C3C04" w:rsidRPr="00C72D0C" w:rsidRDefault="00D00B3F" w:rsidP="00D00B3F">
      <w:pPr>
        <w:rPr>
          <w:color w:val="000000" w:themeColor="text1"/>
          <w:lang w:val="en-GB" w:eastAsia="ja-JP"/>
        </w:rPr>
      </w:pPr>
      <w:r w:rsidRPr="00C72D0C">
        <w:rPr>
          <w:b/>
          <w:bCs/>
          <w:color w:val="000000" w:themeColor="text1"/>
          <w:lang w:val="en-GB" w:eastAsia="ja-JP"/>
        </w:rPr>
        <w:t xml:space="preserve">Observation </w:t>
      </w:r>
      <w:r w:rsidR="0012711E">
        <w:rPr>
          <w:b/>
          <w:bCs/>
          <w:color w:val="000000" w:themeColor="text1"/>
          <w:lang w:val="en-GB" w:eastAsia="ja-JP"/>
        </w:rPr>
        <w:t>2</w:t>
      </w:r>
      <w:r w:rsidRPr="00C72D0C">
        <w:rPr>
          <w:b/>
          <w:bCs/>
          <w:color w:val="000000" w:themeColor="text1"/>
          <w:lang w:val="en-GB" w:eastAsia="ja-JP"/>
        </w:rPr>
        <w:t xml:space="preserve">: </w:t>
      </w:r>
      <w:r w:rsidR="00B34429" w:rsidRPr="009A4D79">
        <w:rPr>
          <w:b/>
          <w:bCs/>
          <w:color w:val="000000" w:themeColor="text1"/>
          <w:lang w:val="en-GB" w:eastAsia="ja-JP"/>
        </w:rPr>
        <w:t xml:space="preserve">When the RAN and CN paging coincide in the same PH, </w:t>
      </w:r>
      <w:r w:rsidR="00C601A3" w:rsidRPr="009A4D79">
        <w:rPr>
          <w:b/>
          <w:bCs/>
          <w:color w:val="000000" w:themeColor="text1"/>
          <w:lang w:val="en-GB" w:eastAsia="ja-JP"/>
        </w:rPr>
        <w:t xml:space="preserve">it is an </w:t>
      </w:r>
      <w:r w:rsidR="001F7E78" w:rsidRPr="009A4D79">
        <w:rPr>
          <w:b/>
          <w:bCs/>
          <w:color w:val="000000" w:themeColor="text1"/>
          <w:lang w:val="en-GB" w:eastAsia="ja-JP"/>
        </w:rPr>
        <w:t>invalid scenario that RAN and PTWs are not coinciding.</w:t>
      </w:r>
    </w:p>
    <w:p w14:paraId="632230F7" w14:textId="0A0224E2" w:rsidR="00A52EE8" w:rsidRDefault="00A52EE8" w:rsidP="00C873C7">
      <w:pPr>
        <w:rPr>
          <w:lang w:val="en-GB" w:eastAsia="ja-JP"/>
        </w:rPr>
      </w:pPr>
    </w:p>
    <w:p w14:paraId="0B2D79D2" w14:textId="77777777" w:rsidR="00C12062" w:rsidRPr="00D972E7" w:rsidRDefault="00C12062" w:rsidP="00C12062">
      <w:pPr>
        <w:rPr>
          <w:b/>
          <w:bCs/>
          <w:color w:val="000000" w:themeColor="text1"/>
          <w:u w:val="single"/>
          <w:lang w:val="en-GB" w:eastAsia="ja-JP"/>
        </w:rPr>
      </w:pPr>
      <w:r w:rsidRPr="00D972E7">
        <w:rPr>
          <w:b/>
          <w:bCs/>
          <w:color w:val="000000" w:themeColor="text1"/>
          <w:u w:val="single"/>
          <w:lang w:val="en-GB" w:eastAsia="ja-JP"/>
        </w:rPr>
        <w:t>Transition requirements</w:t>
      </w:r>
    </w:p>
    <w:p w14:paraId="69F0F868" w14:textId="3920004D" w:rsidR="00905AD7" w:rsidRPr="001E6468" w:rsidRDefault="00BC7C49" w:rsidP="00C12062">
      <w:pPr>
        <w:rPr>
          <w:rFonts w:ascii="Times New Roman" w:hAnsi="Times New Roman" w:cs="Times New Roman"/>
          <w:color w:val="000000" w:themeColor="text1"/>
          <w:sz w:val="22"/>
          <w:lang w:val="en-GB" w:eastAsia="zh-CN"/>
        </w:rPr>
      </w:pPr>
      <w:r w:rsidRPr="001E6468">
        <w:rPr>
          <w:rFonts w:ascii="Times New Roman" w:hAnsi="Times New Roman" w:cs="Times New Roman"/>
          <w:color w:val="000000" w:themeColor="text1"/>
          <w:sz w:val="22"/>
          <w:lang w:val="en-GB" w:eastAsia="zh-CN"/>
        </w:rPr>
        <w:t>The gNB can configure the UE with both Rel-17 INACTIVE eDRX and Rel-18 INACTIVE eDRX which allows the UE to switch to Rel-17 eDRX when the Rel-18 INACTIVE eDRX is not supported</w:t>
      </w:r>
      <w:r>
        <w:rPr>
          <w:rFonts w:ascii="Times New Roman" w:hAnsi="Times New Roman" w:cs="Times New Roman"/>
          <w:color w:val="000000" w:themeColor="text1"/>
          <w:sz w:val="22"/>
          <w:lang w:val="en-GB" w:eastAsia="zh-CN"/>
        </w:rPr>
        <w:t xml:space="preserve"> in a cell</w:t>
      </w:r>
      <w:r w:rsidRPr="001E6468">
        <w:rPr>
          <w:rFonts w:ascii="Times New Roman" w:hAnsi="Times New Roman" w:cs="Times New Roman"/>
          <w:color w:val="000000" w:themeColor="text1"/>
          <w:sz w:val="22"/>
          <w:lang w:val="en-GB" w:eastAsia="zh-CN"/>
        </w:rPr>
        <w:t>.</w:t>
      </w:r>
      <w:r w:rsidR="001A7F3C">
        <w:rPr>
          <w:rFonts w:ascii="Times New Roman" w:hAnsi="Times New Roman" w:cs="Times New Roman"/>
          <w:color w:val="000000" w:themeColor="text1"/>
          <w:sz w:val="22"/>
          <w:lang w:val="en-GB" w:eastAsia="zh-CN"/>
        </w:rPr>
        <w:t xml:space="preserve"> </w:t>
      </w:r>
      <w:r w:rsidR="00C12062" w:rsidRPr="001E6468">
        <w:rPr>
          <w:rFonts w:ascii="Times New Roman" w:hAnsi="Times New Roman" w:cs="Times New Roman"/>
          <w:color w:val="000000" w:themeColor="text1"/>
          <w:sz w:val="22"/>
          <w:lang w:val="en-GB" w:eastAsia="zh-CN"/>
        </w:rPr>
        <w:t>Transition requirements for transition between short INACTIVE eDRX (≤10.24sec) and long INACTIVE eDRX(</w:t>
      </w:r>
      <w:r w:rsidR="00C12062" w:rsidRPr="001E6468">
        <w:rPr>
          <w:rFonts w:ascii="Times New Roman" w:hAnsi="Times New Roman" w:cs="Times New Roman"/>
          <w:color w:val="000000" w:themeColor="text1"/>
          <w:sz w:val="22"/>
          <w:lang w:val="en-GB" w:eastAsia="zh-CN"/>
        </w:rPr>
        <w:sym w:font="Symbol" w:char="F0B3"/>
      </w:r>
      <w:r w:rsidR="00C12062" w:rsidRPr="001E6468">
        <w:rPr>
          <w:rFonts w:ascii="Times New Roman" w:hAnsi="Times New Roman" w:cs="Times New Roman"/>
          <w:color w:val="000000" w:themeColor="text1"/>
          <w:sz w:val="22"/>
          <w:lang w:val="en-GB" w:eastAsia="zh-CN"/>
        </w:rPr>
        <w:t xml:space="preserve">20.48sec) was discussed at last meeting </w:t>
      </w:r>
      <w:r w:rsidR="00905AD7" w:rsidRPr="001E6468">
        <w:rPr>
          <w:rFonts w:ascii="Times New Roman" w:hAnsi="Times New Roman" w:cs="Times New Roman"/>
          <w:color w:val="000000" w:themeColor="text1"/>
          <w:sz w:val="22"/>
          <w:lang w:val="en-GB" w:eastAsia="zh-CN"/>
        </w:rPr>
        <w:t>and following two options were identified [1]:</w:t>
      </w:r>
    </w:p>
    <w:p w14:paraId="4D936A06" w14:textId="77777777" w:rsidR="00905AD7" w:rsidRDefault="00905AD7" w:rsidP="00C12062">
      <w:pPr>
        <w:rPr>
          <w:rFonts w:cs="Arial"/>
          <w:color w:val="000000" w:themeColor="text1"/>
          <w:lang w:val="en-GB" w:eastAsia="zh-CN"/>
        </w:rPr>
      </w:pPr>
    </w:p>
    <w:tbl>
      <w:tblPr>
        <w:tblStyle w:val="TableGrid"/>
        <w:tblW w:w="0" w:type="auto"/>
        <w:tblLook w:val="04A0" w:firstRow="1" w:lastRow="0" w:firstColumn="1" w:lastColumn="0" w:noHBand="0" w:noVBand="1"/>
      </w:tblPr>
      <w:tblGrid>
        <w:gridCol w:w="9629"/>
      </w:tblGrid>
      <w:tr w:rsidR="00907E35" w14:paraId="510D3190" w14:textId="77777777" w:rsidTr="00907E35">
        <w:tc>
          <w:tcPr>
            <w:tcW w:w="9629" w:type="dxa"/>
          </w:tcPr>
          <w:p w14:paraId="65346B04" w14:textId="77777777" w:rsidR="0094412F" w:rsidRDefault="0094412F" w:rsidP="0094412F">
            <w:pPr>
              <w:rPr>
                <w:b/>
                <w:color w:val="0070C0"/>
                <w:u w:val="single"/>
                <w:lang w:eastAsia="ko-KR"/>
              </w:rPr>
            </w:pPr>
            <w:r>
              <w:rPr>
                <w:b/>
                <w:color w:val="0070C0"/>
                <w:u w:val="single"/>
                <w:lang w:eastAsia="ko-KR"/>
              </w:rPr>
              <w:t xml:space="preserve">Transition requirements </w:t>
            </w:r>
          </w:p>
          <w:p w14:paraId="26FA6EEB" w14:textId="77777777" w:rsidR="0094412F" w:rsidRDefault="0094412F" w:rsidP="0094412F">
            <w:pPr>
              <w:pStyle w:val="ListParagraph"/>
              <w:numPr>
                <w:ilvl w:val="1"/>
                <w:numId w:val="35"/>
              </w:numPr>
              <w:spacing w:after="120" w:line="240" w:lineRule="auto"/>
              <w:ind w:left="1440"/>
              <w:rPr>
                <w:rFonts w:eastAsia="SimSun"/>
                <w:color w:val="000000" w:themeColor="text1"/>
                <w:szCs w:val="24"/>
                <w:lang w:eastAsia="zh-CN"/>
              </w:rPr>
            </w:pPr>
            <w:r>
              <w:rPr>
                <w:rFonts w:eastAsia="SimSun"/>
                <w:color w:val="0070C0"/>
                <w:szCs w:val="24"/>
                <w:lang w:eastAsia="zh-CN"/>
              </w:rPr>
              <w:t>Option 1:</w:t>
            </w:r>
            <w:r>
              <w:rPr>
                <w:rFonts w:eastAsia="SimSun"/>
                <w:color w:val="000000" w:themeColor="text1"/>
                <w:szCs w:val="24"/>
                <w:lang w:eastAsia="zh-CN"/>
              </w:rPr>
              <w:t xml:space="preserve"> </w:t>
            </w:r>
            <w:r>
              <w:rPr>
                <w:iCs/>
                <w:color w:val="000000" w:themeColor="text1"/>
              </w:rPr>
              <w:t>RAN4 to define requirement for the transition between short INACTIVE eDRX (≤10.24sec) and long INACTIVE eDRX(</w:t>
            </w:r>
            <w:r>
              <w:rPr>
                <w:iCs/>
              </w:rPr>
              <w:sym w:font="Symbol" w:char="F0B3"/>
            </w:r>
            <w:r>
              <w:rPr>
                <w:iCs/>
                <w:color w:val="000000" w:themeColor="text1"/>
              </w:rPr>
              <w:t>20.48sec).</w:t>
            </w:r>
          </w:p>
          <w:p w14:paraId="5EBE9955" w14:textId="4264F079" w:rsidR="00907E35" w:rsidRPr="0094412F" w:rsidRDefault="0094412F" w:rsidP="00C12062">
            <w:pPr>
              <w:pStyle w:val="ListParagraph"/>
              <w:numPr>
                <w:ilvl w:val="1"/>
                <w:numId w:val="35"/>
              </w:numPr>
              <w:spacing w:after="120" w:line="240" w:lineRule="auto"/>
              <w:ind w:left="1440"/>
              <w:rPr>
                <w:rFonts w:eastAsia="SimSun"/>
                <w:color w:val="000000" w:themeColor="text1"/>
                <w:szCs w:val="24"/>
                <w:lang w:eastAsia="zh-CN"/>
              </w:rPr>
            </w:pPr>
            <w:r>
              <w:rPr>
                <w:rFonts w:eastAsia="SimSun"/>
                <w:color w:val="0070C0"/>
                <w:szCs w:val="24"/>
                <w:lang w:eastAsia="zh-CN"/>
              </w:rPr>
              <w:t xml:space="preserve">Option 2: </w:t>
            </w:r>
            <w:r>
              <w:rPr>
                <w:rFonts w:cs="Arial"/>
                <w:color w:val="000000" w:themeColor="text1"/>
              </w:rPr>
              <w:t>No need to define new transition requirements for transition between short INACTIVE eDRX (≤10.24sec) and long INACTIVE eDRX(</w:t>
            </w:r>
            <w:r>
              <w:sym w:font="Symbol" w:char="F0B3"/>
            </w:r>
            <w:r>
              <w:rPr>
                <w:rFonts w:cs="Arial"/>
                <w:color w:val="000000" w:themeColor="text1"/>
              </w:rPr>
              <w:t>20.48sec).</w:t>
            </w:r>
          </w:p>
        </w:tc>
      </w:tr>
    </w:tbl>
    <w:p w14:paraId="4E0825ED" w14:textId="77777777" w:rsidR="00905AD7" w:rsidRDefault="00905AD7" w:rsidP="00C12062">
      <w:pPr>
        <w:rPr>
          <w:rFonts w:cs="Arial"/>
          <w:color w:val="000000" w:themeColor="text1"/>
          <w:lang w:val="en-GB" w:eastAsia="zh-CN"/>
        </w:rPr>
      </w:pPr>
    </w:p>
    <w:p w14:paraId="261997BA" w14:textId="77777777" w:rsidR="00821447" w:rsidRDefault="00C12062" w:rsidP="00C12062">
      <w:pPr>
        <w:rPr>
          <w:rFonts w:ascii="Times New Roman" w:hAnsi="Times New Roman" w:cs="Times New Roman"/>
          <w:color w:val="000000" w:themeColor="text1"/>
          <w:sz w:val="22"/>
          <w:lang w:val="en-GB" w:eastAsia="zh-CN"/>
        </w:rPr>
      </w:pPr>
      <w:r w:rsidRPr="001E6468">
        <w:rPr>
          <w:rFonts w:ascii="Times New Roman" w:hAnsi="Times New Roman" w:cs="Times New Roman"/>
          <w:color w:val="000000" w:themeColor="text1"/>
          <w:sz w:val="22"/>
          <w:lang w:val="en-GB" w:eastAsia="zh-CN"/>
        </w:rPr>
        <w:lastRenderedPageBreak/>
        <w:t>It is noted tha</w:t>
      </w:r>
      <w:r w:rsidR="00506BE8">
        <w:rPr>
          <w:rFonts w:ascii="Times New Roman" w:hAnsi="Times New Roman" w:cs="Times New Roman"/>
          <w:color w:val="000000" w:themeColor="text1"/>
          <w:sz w:val="22"/>
          <w:lang w:val="en-GB" w:eastAsia="zh-CN"/>
        </w:rPr>
        <w:t>t the legacy eDRX requirements defined in section</w:t>
      </w:r>
      <w:r w:rsidR="00A7480F">
        <w:rPr>
          <w:rFonts w:ascii="Times New Roman" w:hAnsi="Times New Roman" w:cs="Times New Roman"/>
          <w:color w:val="000000" w:themeColor="text1"/>
          <w:sz w:val="22"/>
          <w:lang w:val="en-GB" w:eastAsia="zh-CN"/>
        </w:rPr>
        <w:t xml:space="preserve"> 4.2B.2.2, 4.2B.2.3, 4.2B.2.4 and 4.2B.2.5</w:t>
      </w:r>
      <w:r w:rsidR="00F47C2A">
        <w:rPr>
          <w:rFonts w:ascii="Times New Roman" w:hAnsi="Times New Roman" w:cs="Times New Roman"/>
          <w:color w:val="000000" w:themeColor="text1"/>
          <w:sz w:val="22"/>
          <w:lang w:val="en-GB" w:eastAsia="zh-CN"/>
        </w:rPr>
        <w:t xml:space="preserve"> already contain </w:t>
      </w:r>
      <w:r w:rsidR="00AA169C">
        <w:rPr>
          <w:rFonts w:ascii="Times New Roman" w:hAnsi="Times New Roman" w:cs="Times New Roman"/>
          <w:color w:val="000000" w:themeColor="text1"/>
          <w:sz w:val="22"/>
          <w:lang w:val="en-GB" w:eastAsia="zh-CN"/>
        </w:rPr>
        <w:t xml:space="preserve">general </w:t>
      </w:r>
      <w:r w:rsidR="00F47C2A">
        <w:rPr>
          <w:rFonts w:ascii="Times New Roman" w:hAnsi="Times New Roman" w:cs="Times New Roman"/>
          <w:color w:val="000000" w:themeColor="text1"/>
          <w:sz w:val="22"/>
          <w:lang w:val="en-GB" w:eastAsia="zh-CN"/>
        </w:rPr>
        <w:t xml:space="preserve">requirements covering the UE transitions </w:t>
      </w:r>
      <w:r w:rsidR="00C835E8">
        <w:rPr>
          <w:rFonts w:ascii="Times New Roman" w:hAnsi="Times New Roman" w:cs="Times New Roman"/>
          <w:color w:val="000000" w:themeColor="text1"/>
          <w:sz w:val="22"/>
          <w:lang w:val="en-GB" w:eastAsia="zh-CN"/>
        </w:rPr>
        <w:t xml:space="preserve">containing any of eDRX IDLE cycle, eDRX IDLE </w:t>
      </w:r>
      <w:r w:rsidR="007F699C">
        <w:rPr>
          <w:rFonts w:ascii="Times New Roman" w:hAnsi="Times New Roman" w:cs="Times New Roman"/>
          <w:color w:val="000000" w:themeColor="text1"/>
          <w:sz w:val="22"/>
          <w:lang w:val="en-GB" w:eastAsia="zh-CN"/>
        </w:rPr>
        <w:t xml:space="preserve">length, PTW configuration. In our view, </w:t>
      </w:r>
      <w:r w:rsidR="00AA169C">
        <w:rPr>
          <w:rFonts w:ascii="Times New Roman" w:hAnsi="Times New Roman" w:cs="Times New Roman"/>
          <w:color w:val="000000" w:themeColor="text1"/>
          <w:sz w:val="22"/>
          <w:lang w:val="en-GB" w:eastAsia="zh-CN"/>
        </w:rPr>
        <w:t xml:space="preserve">this general existing requirement already covers the new issue of </w:t>
      </w:r>
      <w:r w:rsidR="007F699C">
        <w:rPr>
          <w:rFonts w:ascii="Times New Roman" w:hAnsi="Times New Roman" w:cs="Times New Roman"/>
          <w:color w:val="000000" w:themeColor="text1"/>
          <w:sz w:val="22"/>
          <w:lang w:val="en-GB" w:eastAsia="zh-CN"/>
        </w:rPr>
        <w:t xml:space="preserve">switching </w:t>
      </w:r>
      <w:r w:rsidR="00782857">
        <w:rPr>
          <w:rFonts w:ascii="Times New Roman" w:hAnsi="Times New Roman" w:cs="Times New Roman"/>
          <w:color w:val="000000" w:themeColor="text1"/>
          <w:sz w:val="22"/>
          <w:lang w:val="en-GB" w:eastAsia="zh-CN"/>
        </w:rPr>
        <w:t>between short eDRX cycles (without PTW) and long eDRX cycles (with PTW)</w:t>
      </w:r>
      <w:r w:rsidR="00176F26">
        <w:rPr>
          <w:rFonts w:ascii="Times New Roman" w:hAnsi="Times New Roman" w:cs="Times New Roman"/>
          <w:color w:val="000000" w:themeColor="text1"/>
          <w:sz w:val="22"/>
          <w:lang w:val="en-GB" w:eastAsia="zh-CN"/>
        </w:rPr>
        <w:t>.</w:t>
      </w:r>
    </w:p>
    <w:p w14:paraId="4E8967C9" w14:textId="694DF74F" w:rsidR="00821447" w:rsidRPr="00775C3B" w:rsidRDefault="00821447" w:rsidP="00821447">
      <w:pPr>
        <w:rPr>
          <w:rFonts w:ascii="Times New Roman" w:hAnsi="Times New Roman" w:cs="Times New Roman"/>
          <w:b/>
          <w:bCs/>
          <w:color w:val="000000" w:themeColor="text1"/>
          <w:sz w:val="22"/>
          <w:lang w:val="en-GB" w:eastAsia="zh-CN"/>
        </w:rPr>
      </w:pPr>
    </w:p>
    <w:tbl>
      <w:tblPr>
        <w:tblStyle w:val="TableGrid"/>
        <w:tblW w:w="0" w:type="auto"/>
        <w:tblLook w:val="04A0" w:firstRow="1" w:lastRow="0" w:firstColumn="1" w:lastColumn="0" w:noHBand="0" w:noVBand="1"/>
      </w:tblPr>
      <w:tblGrid>
        <w:gridCol w:w="9629"/>
      </w:tblGrid>
      <w:tr w:rsidR="00821447" w:rsidRPr="00D972E7" w14:paraId="4D2250A1" w14:textId="77777777" w:rsidTr="00DF1782">
        <w:tc>
          <w:tcPr>
            <w:tcW w:w="9629" w:type="dxa"/>
          </w:tcPr>
          <w:p w14:paraId="085F5A92" w14:textId="77777777" w:rsidR="00821447" w:rsidRPr="00D972E7" w:rsidRDefault="00821447" w:rsidP="00DF1782">
            <w:pPr>
              <w:rPr>
                <w:color w:val="000000" w:themeColor="text1"/>
              </w:rPr>
            </w:pPr>
            <w:r w:rsidRPr="00D972E7">
              <w:rPr>
                <w:color w:val="000000" w:themeColor="text1"/>
              </w:rPr>
              <w:t xml:space="preserve">For any requirement in this section, when the UE transitions between any two states when being configured with </w:t>
            </w:r>
            <w:r w:rsidRPr="00821447">
              <w:rPr>
                <w:color w:val="000000" w:themeColor="text1"/>
                <w:highlight w:val="yellow"/>
              </w:rPr>
              <w:t>eDRX_IDLE, being configured with eDRX_IDLE cycle, changing eDRX_IDLE cycle length, or changing PTW configuration</w:t>
            </w:r>
            <w:r w:rsidRPr="00D972E7">
              <w:rPr>
                <w:color w:val="000000" w:themeColor="text1"/>
              </w:rPr>
              <w:t>,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tc>
      </w:tr>
    </w:tbl>
    <w:p w14:paraId="7D1D22C8" w14:textId="387C162B" w:rsidR="00506BE8" w:rsidRDefault="00506BE8" w:rsidP="00C12062">
      <w:pPr>
        <w:rPr>
          <w:rFonts w:ascii="Times New Roman" w:hAnsi="Times New Roman" w:cs="Times New Roman"/>
          <w:color w:val="000000" w:themeColor="text1"/>
          <w:sz w:val="22"/>
          <w:lang w:eastAsia="zh-CN"/>
        </w:rPr>
      </w:pPr>
    </w:p>
    <w:p w14:paraId="24E23243" w14:textId="54376B29" w:rsidR="00821447" w:rsidRPr="00C41421" w:rsidRDefault="00821447" w:rsidP="00C12062">
      <w:pPr>
        <w:rPr>
          <w:rFonts w:ascii="Times New Roman" w:hAnsi="Times New Roman" w:cs="Times New Roman"/>
          <w:b/>
          <w:bCs/>
          <w:color w:val="000000" w:themeColor="text1"/>
          <w:sz w:val="22"/>
          <w:lang w:eastAsia="zh-CN"/>
        </w:rPr>
      </w:pPr>
      <w:r w:rsidRPr="00C41421">
        <w:rPr>
          <w:rFonts w:ascii="Times New Roman" w:hAnsi="Times New Roman" w:cs="Times New Roman"/>
          <w:b/>
          <w:bCs/>
          <w:color w:val="000000" w:themeColor="text1"/>
          <w:sz w:val="22"/>
          <w:lang w:val="en-GB" w:eastAsia="zh-CN"/>
        </w:rPr>
        <w:t xml:space="preserve">Observation </w:t>
      </w:r>
      <w:r w:rsidR="001334E4">
        <w:rPr>
          <w:rFonts w:ascii="Times New Roman" w:hAnsi="Times New Roman" w:cs="Times New Roman"/>
          <w:b/>
          <w:bCs/>
          <w:color w:val="000000" w:themeColor="text1"/>
          <w:sz w:val="22"/>
          <w:lang w:val="en-GB" w:eastAsia="zh-CN"/>
        </w:rPr>
        <w:t>3</w:t>
      </w:r>
      <w:r w:rsidRPr="00C41421">
        <w:rPr>
          <w:rFonts w:ascii="Times New Roman" w:hAnsi="Times New Roman" w:cs="Times New Roman"/>
          <w:b/>
          <w:bCs/>
          <w:color w:val="000000" w:themeColor="text1"/>
          <w:sz w:val="22"/>
          <w:lang w:val="en-GB" w:eastAsia="zh-CN"/>
        </w:rPr>
        <w:t xml:space="preserve">: Legacy eDRX requirements contain general transition requirements covering changes in eDRX cycle, eDRX cycele length and PTW configuration. </w:t>
      </w:r>
    </w:p>
    <w:p w14:paraId="4334DAC2" w14:textId="72B44B81" w:rsidR="00C12062" w:rsidRPr="00C41421" w:rsidRDefault="00C12062" w:rsidP="00C12062">
      <w:pPr>
        <w:rPr>
          <w:rFonts w:ascii="Times New Roman" w:hAnsi="Times New Roman" w:cs="Times New Roman"/>
          <w:color w:val="000000" w:themeColor="text1"/>
          <w:sz w:val="22"/>
          <w:lang w:val="en-GB" w:eastAsia="zh-CN"/>
        </w:rPr>
      </w:pPr>
      <w:r w:rsidRPr="00C41421">
        <w:rPr>
          <w:rFonts w:ascii="Times New Roman" w:hAnsi="Times New Roman" w:cs="Times New Roman"/>
          <w:color w:val="000000" w:themeColor="text1"/>
          <w:sz w:val="22"/>
          <w:lang w:val="en-GB" w:eastAsia="zh-CN"/>
        </w:rPr>
        <w:t xml:space="preserve">Since the transition </w:t>
      </w:r>
      <w:r w:rsidR="007D7AE6" w:rsidRPr="00C41421">
        <w:rPr>
          <w:rFonts w:ascii="Times New Roman" w:hAnsi="Times New Roman" w:cs="Times New Roman"/>
          <w:color w:val="000000" w:themeColor="text1"/>
          <w:sz w:val="22"/>
          <w:lang w:val="en-GB" w:eastAsia="zh-CN"/>
        </w:rPr>
        <w:t xml:space="preserve">requirements shown above is defined in a generic way that covers transitions </w:t>
      </w:r>
      <w:r w:rsidR="00E86D2B" w:rsidRPr="00C41421">
        <w:rPr>
          <w:rFonts w:ascii="Times New Roman" w:hAnsi="Times New Roman" w:cs="Times New Roman"/>
          <w:color w:val="000000" w:themeColor="text1"/>
          <w:sz w:val="22"/>
          <w:lang w:val="en-GB" w:eastAsia="zh-CN"/>
        </w:rPr>
        <w:t xml:space="preserve">between </w:t>
      </w:r>
      <w:r w:rsidR="007D7AE6" w:rsidRPr="00C41421">
        <w:rPr>
          <w:rFonts w:ascii="Times New Roman" w:hAnsi="Times New Roman" w:cs="Times New Roman"/>
          <w:color w:val="000000" w:themeColor="text1"/>
          <w:sz w:val="22"/>
          <w:lang w:val="en-GB" w:eastAsia="zh-CN"/>
        </w:rPr>
        <w:t xml:space="preserve"> different eDRX cycles, PTW configuration, our view is that these </w:t>
      </w:r>
      <w:r w:rsidRPr="00C41421">
        <w:rPr>
          <w:rFonts w:ascii="Times New Roman" w:hAnsi="Times New Roman" w:cs="Times New Roman"/>
          <w:color w:val="000000" w:themeColor="text1"/>
          <w:sz w:val="22"/>
          <w:lang w:val="en-GB" w:eastAsia="zh-CN"/>
        </w:rPr>
        <w:t>existing requirements</w:t>
      </w:r>
      <w:r w:rsidR="007D7AE6" w:rsidRPr="00C41421">
        <w:rPr>
          <w:rFonts w:ascii="Times New Roman" w:hAnsi="Times New Roman" w:cs="Times New Roman"/>
          <w:color w:val="000000" w:themeColor="text1"/>
          <w:sz w:val="22"/>
          <w:lang w:val="en-GB" w:eastAsia="zh-CN"/>
        </w:rPr>
        <w:t xml:space="preserve"> can apply </w:t>
      </w:r>
      <w:r w:rsidR="0001664D" w:rsidRPr="00C41421">
        <w:rPr>
          <w:rFonts w:ascii="Times New Roman" w:hAnsi="Times New Roman" w:cs="Times New Roman"/>
          <w:color w:val="000000" w:themeColor="text1"/>
          <w:sz w:val="22"/>
          <w:lang w:val="en-GB" w:eastAsia="zh-CN"/>
        </w:rPr>
        <w:t xml:space="preserve">and therefore no need to define </w:t>
      </w:r>
      <w:r w:rsidRPr="00C41421">
        <w:rPr>
          <w:rFonts w:ascii="Times New Roman" w:hAnsi="Times New Roman" w:cs="Times New Roman"/>
          <w:color w:val="000000" w:themeColor="text1"/>
          <w:sz w:val="22"/>
          <w:lang w:val="en-GB" w:eastAsia="zh-CN"/>
        </w:rPr>
        <w:t>new transition requirements.</w:t>
      </w:r>
    </w:p>
    <w:p w14:paraId="5DB91759" w14:textId="77777777" w:rsidR="00C12062" w:rsidRPr="00C41421" w:rsidRDefault="00C12062" w:rsidP="00C12062">
      <w:pPr>
        <w:pStyle w:val="Proposal"/>
        <w:rPr>
          <w:color w:val="000000" w:themeColor="text1"/>
          <w:lang w:val="en-GB" w:eastAsia="ja-JP"/>
        </w:rPr>
      </w:pPr>
      <w:r w:rsidRPr="00C41421">
        <w:rPr>
          <w:rFonts w:cs="Arial"/>
          <w:color w:val="000000" w:themeColor="text1"/>
          <w:lang w:val="en-GB"/>
        </w:rPr>
        <w:t>No need to define new transition requirements for transition between short INACTIVE eDRX (≤10.24sec) and long INACTIVE eDRX(</w:t>
      </w:r>
      <w:r w:rsidRPr="00C41421">
        <w:rPr>
          <w:rFonts w:cs="Arial"/>
          <w:color w:val="000000" w:themeColor="text1"/>
          <w:lang w:val="en-GB"/>
        </w:rPr>
        <w:sym w:font="Symbol" w:char="F0B3"/>
      </w:r>
      <w:r w:rsidRPr="00C41421">
        <w:rPr>
          <w:rFonts w:cs="Arial"/>
          <w:color w:val="000000" w:themeColor="text1"/>
          <w:lang w:val="en-GB"/>
        </w:rPr>
        <w:t>20.48sec).</w:t>
      </w:r>
    </w:p>
    <w:p w14:paraId="416240F3" w14:textId="66B03DFA" w:rsidR="001D083E" w:rsidRPr="009060A0" w:rsidRDefault="00866FD4" w:rsidP="001D083E">
      <w:pPr>
        <w:pStyle w:val="Heading1"/>
      </w:pPr>
      <w:r w:rsidRPr="009060A0">
        <w:t>3</w:t>
      </w:r>
      <w:r w:rsidRPr="009060A0">
        <w:tab/>
      </w:r>
      <w:r w:rsidR="0087669B" w:rsidRPr="009060A0">
        <w:t>Summary</w:t>
      </w:r>
    </w:p>
    <w:p w14:paraId="4B978795" w14:textId="7B503E6F" w:rsidR="00D05053" w:rsidRPr="009060A0" w:rsidRDefault="003D2BC7" w:rsidP="007A0901">
      <w:pPr>
        <w:pStyle w:val="BodyText"/>
        <w:rPr>
          <w:rFonts w:ascii="Times New Roman" w:hAnsi="Times New Roman" w:cs="Times New Roman"/>
          <w:lang w:val="en-GB"/>
        </w:rPr>
      </w:pPr>
      <w:r w:rsidRPr="009060A0">
        <w:rPr>
          <w:rFonts w:ascii="Times New Roman" w:hAnsi="Times New Roman" w:cs="Times New Roman"/>
          <w:lang w:val="en-GB"/>
        </w:rPr>
        <w:t>In this contribution we hav</w:t>
      </w:r>
      <w:r w:rsidR="00704029" w:rsidRPr="009060A0">
        <w:rPr>
          <w:rFonts w:ascii="Times New Roman" w:hAnsi="Times New Roman" w:cs="Times New Roman"/>
          <w:lang w:val="en-GB"/>
        </w:rPr>
        <w:t xml:space="preserve">e discussed the RRM impact of the </w:t>
      </w:r>
      <w:r w:rsidR="005740FA" w:rsidRPr="009060A0">
        <w:rPr>
          <w:rFonts w:ascii="Times New Roman" w:hAnsi="Times New Roman" w:cs="Times New Roman"/>
          <w:lang w:val="en-GB"/>
        </w:rPr>
        <w:t xml:space="preserve">eDRX </w:t>
      </w:r>
      <w:r w:rsidR="00704029" w:rsidRPr="009060A0">
        <w:rPr>
          <w:rFonts w:ascii="Times New Roman" w:hAnsi="Times New Roman" w:cs="Times New Roman"/>
          <w:lang w:val="en-GB"/>
        </w:rPr>
        <w:t>objective</w:t>
      </w:r>
      <w:r w:rsidR="005740FA" w:rsidRPr="009060A0">
        <w:rPr>
          <w:rFonts w:ascii="Times New Roman" w:hAnsi="Times New Roman" w:cs="Times New Roman"/>
          <w:lang w:val="en-GB"/>
        </w:rPr>
        <w:t xml:space="preserve"> and other issues identified at the previous RAN4 meeting for </w:t>
      </w:r>
      <w:r w:rsidR="00704029" w:rsidRPr="009060A0">
        <w:rPr>
          <w:rFonts w:ascii="Times New Roman" w:hAnsi="Times New Roman" w:cs="Times New Roman"/>
          <w:lang w:val="en-GB"/>
        </w:rPr>
        <w:t xml:space="preserve">Rel-18 </w:t>
      </w:r>
      <w:r w:rsidR="005740FA" w:rsidRPr="009060A0">
        <w:rPr>
          <w:rFonts w:ascii="Times New Roman" w:hAnsi="Times New Roman" w:cs="Times New Roman"/>
          <w:lang w:val="en-GB"/>
        </w:rPr>
        <w:t xml:space="preserve">RedCap UEs. </w:t>
      </w:r>
      <w:r w:rsidR="00704029" w:rsidRPr="009060A0">
        <w:rPr>
          <w:rFonts w:ascii="Times New Roman" w:hAnsi="Times New Roman" w:cs="Times New Roman"/>
          <w:lang w:val="en-GB"/>
        </w:rPr>
        <w:t>Based on the discussions, we have made following observations and proposals:</w:t>
      </w:r>
    </w:p>
    <w:p w14:paraId="0B68F086" w14:textId="53DFF8AE" w:rsidR="007A0901" w:rsidRDefault="007A0901" w:rsidP="007A0901">
      <w:pPr>
        <w:pStyle w:val="BodyText"/>
        <w:rPr>
          <w:rFonts w:ascii="Times New Roman" w:hAnsi="Times New Roman" w:cs="Times New Roman"/>
          <w:highlight w:val="yellow"/>
          <w:lang w:val="en-GB"/>
        </w:rPr>
      </w:pPr>
    </w:p>
    <w:p w14:paraId="7CFD233D" w14:textId="77777777" w:rsidR="00B90932" w:rsidRPr="002E7872" w:rsidRDefault="00B90932" w:rsidP="002E7872">
      <w:pPr>
        <w:pStyle w:val="Proposal"/>
        <w:numPr>
          <w:ilvl w:val="0"/>
          <w:numId w:val="47"/>
        </w:numPr>
        <w:rPr>
          <w:color w:val="000000" w:themeColor="text1"/>
          <w:lang w:val="en-GB" w:eastAsia="ja-JP"/>
        </w:rPr>
      </w:pPr>
      <w:r w:rsidRPr="002E7872">
        <w:rPr>
          <w:rFonts w:cs="Arial"/>
          <w:color w:val="000000" w:themeColor="text1"/>
          <w:lang w:val="en-GB"/>
        </w:rPr>
        <w:t>When configured with both IDLE and INACTIVE eDRX configurations larger than 10.24s and when the PTWS are partially overlapping in time:</w:t>
      </w:r>
    </w:p>
    <w:p w14:paraId="163DE7A7" w14:textId="77777777" w:rsidR="00B90932" w:rsidRPr="00984739" w:rsidRDefault="00B90932" w:rsidP="00B90932">
      <w:pPr>
        <w:pStyle w:val="Proposal"/>
        <w:numPr>
          <w:ilvl w:val="5"/>
          <w:numId w:val="35"/>
        </w:numPr>
        <w:rPr>
          <w:color w:val="000000" w:themeColor="text1"/>
          <w:lang w:val="en-GB" w:eastAsia="ja-JP"/>
        </w:rPr>
      </w:pPr>
      <w:r>
        <w:rPr>
          <w:rFonts w:cs="Arial"/>
          <w:color w:val="000000" w:themeColor="text1"/>
          <w:lang w:val="en-GB"/>
        </w:rPr>
        <w:t>Serving cell measurements are based on min(RANPTW, CN PTW),</w:t>
      </w:r>
    </w:p>
    <w:p w14:paraId="5FECBB52" w14:textId="77777777" w:rsidR="00B90932" w:rsidRPr="00984739" w:rsidRDefault="00B90932" w:rsidP="00B90932">
      <w:pPr>
        <w:pStyle w:val="Proposal"/>
        <w:numPr>
          <w:ilvl w:val="5"/>
          <w:numId w:val="35"/>
        </w:numPr>
        <w:rPr>
          <w:color w:val="000000" w:themeColor="text1"/>
          <w:lang w:val="en-GB" w:eastAsia="ja-JP"/>
        </w:rPr>
      </w:pPr>
      <w:r>
        <w:rPr>
          <w:rFonts w:cs="Arial"/>
          <w:color w:val="000000" w:themeColor="text1"/>
          <w:lang w:val="en-GB"/>
        </w:rPr>
        <w:t>Neighbour cell measurements are based on RAN PTW.</w:t>
      </w:r>
    </w:p>
    <w:p w14:paraId="0AF9FE98" w14:textId="77777777" w:rsidR="00CE23D2" w:rsidRPr="000D23D8" w:rsidRDefault="00CE23D2" w:rsidP="000D23D8">
      <w:pPr>
        <w:rPr>
          <w:lang w:val="en-GB" w:eastAsia="ja-JP"/>
        </w:rPr>
      </w:pPr>
    </w:p>
    <w:p w14:paraId="0BD43A76" w14:textId="77777777" w:rsidR="00AB0CA9" w:rsidRDefault="00AB0CA9" w:rsidP="00AB0CA9">
      <w:pPr>
        <w:rPr>
          <w:lang w:val="en-GB" w:eastAsia="ja-JP"/>
        </w:rPr>
      </w:pPr>
    </w:p>
    <w:p w14:paraId="2D19FBC4" w14:textId="6B9C078C" w:rsidR="002E7872" w:rsidRDefault="002E7872" w:rsidP="002E7872">
      <w:pPr>
        <w:rPr>
          <w:b/>
          <w:bCs/>
          <w:color w:val="000000" w:themeColor="text1"/>
          <w:lang w:val="en-GB" w:eastAsia="ja-JP"/>
        </w:rPr>
      </w:pPr>
      <w:r w:rsidRPr="00C72D0C">
        <w:rPr>
          <w:b/>
          <w:bCs/>
          <w:color w:val="000000" w:themeColor="text1"/>
          <w:lang w:val="en-GB" w:eastAsia="ja-JP"/>
        </w:rPr>
        <w:t xml:space="preserve">Observation 1: </w:t>
      </w:r>
      <w:r w:rsidR="00E41557">
        <w:rPr>
          <w:b/>
          <w:bCs/>
          <w:color w:val="000000" w:themeColor="text1"/>
          <w:lang w:val="en-GB" w:eastAsia="ja-JP"/>
        </w:rPr>
        <w:tab/>
      </w:r>
      <w:r w:rsidRPr="00C72D0C">
        <w:rPr>
          <w:b/>
          <w:bCs/>
          <w:color w:val="000000" w:themeColor="text1"/>
          <w:lang w:val="en-GB" w:eastAsia="ja-JP"/>
        </w:rPr>
        <w:t xml:space="preserve">Starting locations of RAN PTW and CN PTWs are always same when RAN and CN paging coincide in the same PH. </w:t>
      </w:r>
    </w:p>
    <w:p w14:paraId="58DC64F8" w14:textId="5BDA6AA3" w:rsidR="002E7872" w:rsidRPr="00C72D0C" w:rsidRDefault="002E7872" w:rsidP="002E7872">
      <w:pPr>
        <w:rPr>
          <w:color w:val="000000" w:themeColor="text1"/>
          <w:lang w:val="en-GB" w:eastAsia="ja-JP"/>
        </w:rPr>
      </w:pPr>
      <w:r w:rsidRPr="00C72D0C">
        <w:rPr>
          <w:b/>
          <w:bCs/>
          <w:color w:val="000000" w:themeColor="text1"/>
          <w:lang w:val="en-GB" w:eastAsia="ja-JP"/>
        </w:rPr>
        <w:t xml:space="preserve">Observation </w:t>
      </w:r>
      <w:r>
        <w:rPr>
          <w:b/>
          <w:bCs/>
          <w:color w:val="000000" w:themeColor="text1"/>
          <w:lang w:val="en-GB" w:eastAsia="ja-JP"/>
        </w:rPr>
        <w:t>2</w:t>
      </w:r>
      <w:r w:rsidRPr="00C72D0C">
        <w:rPr>
          <w:b/>
          <w:bCs/>
          <w:color w:val="000000" w:themeColor="text1"/>
          <w:lang w:val="en-GB" w:eastAsia="ja-JP"/>
        </w:rPr>
        <w:t xml:space="preserve">: </w:t>
      </w:r>
      <w:r w:rsidR="00E41557">
        <w:rPr>
          <w:b/>
          <w:bCs/>
          <w:color w:val="000000" w:themeColor="text1"/>
          <w:lang w:val="en-GB" w:eastAsia="ja-JP"/>
        </w:rPr>
        <w:tab/>
      </w:r>
      <w:r w:rsidRPr="009A4D79">
        <w:rPr>
          <w:b/>
          <w:bCs/>
          <w:color w:val="000000" w:themeColor="text1"/>
          <w:lang w:val="en-GB" w:eastAsia="ja-JP"/>
        </w:rPr>
        <w:t>When the RAN and CN paging coincide in the same PH, it is an invalid scenario that RAN and PTWs are not coinciding.</w:t>
      </w:r>
    </w:p>
    <w:p w14:paraId="32C63C27" w14:textId="77777777" w:rsidR="00FE41E6" w:rsidRDefault="00FE41E6" w:rsidP="00FE41E6">
      <w:pPr>
        <w:rPr>
          <w:rFonts w:ascii="Times New Roman" w:hAnsi="Times New Roman" w:cs="Times New Roman"/>
          <w:b/>
          <w:bCs/>
          <w:color w:val="000000" w:themeColor="text1"/>
          <w:sz w:val="22"/>
          <w:lang w:val="en-GB" w:eastAsia="zh-CN"/>
        </w:rPr>
      </w:pPr>
      <w:r w:rsidRPr="00C41421">
        <w:rPr>
          <w:rFonts w:ascii="Times New Roman" w:hAnsi="Times New Roman" w:cs="Times New Roman"/>
          <w:b/>
          <w:bCs/>
          <w:color w:val="000000" w:themeColor="text1"/>
          <w:sz w:val="22"/>
          <w:lang w:val="en-GB" w:eastAsia="zh-CN"/>
        </w:rPr>
        <w:t xml:space="preserve">Observation </w:t>
      </w:r>
      <w:r>
        <w:rPr>
          <w:rFonts w:ascii="Times New Roman" w:hAnsi="Times New Roman" w:cs="Times New Roman"/>
          <w:b/>
          <w:bCs/>
          <w:color w:val="000000" w:themeColor="text1"/>
          <w:sz w:val="22"/>
          <w:lang w:val="en-GB" w:eastAsia="zh-CN"/>
        </w:rPr>
        <w:t>3</w:t>
      </w:r>
      <w:r w:rsidRPr="00C41421">
        <w:rPr>
          <w:rFonts w:ascii="Times New Roman" w:hAnsi="Times New Roman" w:cs="Times New Roman"/>
          <w:b/>
          <w:bCs/>
          <w:color w:val="000000" w:themeColor="text1"/>
          <w:sz w:val="22"/>
          <w:lang w:val="en-GB" w:eastAsia="zh-CN"/>
        </w:rPr>
        <w:t xml:space="preserve">: Legacy eDRX requirements contain general transition requirements covering changes in eDRX cycle, eDRX cycele length and PTW configuration. </w:t>
      </w:r>
    </w:p>
    <w:p w14:paraId="533D32D9" w14:textId="77777777" w:rsidR="009630B9" w:rsidRPr="00D972E7" w:rsidRDefault="009630B9" w:rsidP="009630B9">
      <w:pPr>
        <w:pStyle w:val="Proposal"/>
        <w:rPr>
          <w:color w:val="000000" w:themeColor="text1"/>
          <w:lang w:val="en-GB" w:eastAsia="ja-JP"/>
        </w:rPr>
      </w:pPr>
      <w:r w:rsidRPr="00D972E7">
        <w:rPr>
          <w:rFonts w:cs="Arial"/>
          <w:color w:val="000000" w:themeColor="text1"/>
          <w:lang w:val="en-GB"/>
        </w:rPr>
        <w:t>No need to define new transition requirements for transition between short INACTIVE eDRX (≤10.24sec) and long INACTIVE eDRX(</w:t>
      </w:r>
      <w:r w:rsidRPr="00D972E7">
        <w:rPr>
          <w:rFonts w:cs="Arial"/>
          <w:color w:val="000000" w:themeColor="text1"/>
          <w:lang w:val="en-GB"/>
        </w:rPr>
        <w:sym w:font="Symbol" w:char="F0B3"/>
      </w:r>
      <w:r w:rsidRPr="00D972E7">
        <w:rPr>
          <w:rFonts w:cs="Arial"/>
          <w:color w:val="000000" w:themeColor="text1"/>
          <w:lang w:val="en-GB"/>
        </w:rPr>
        <w:t>20.48sec).</w:t>
      </w:r>
    </w:p>
    <w:p w14:paraId="6AD39D0F" w14:textId="77777777" w:rsidR="009630B9" w:rsidRPr="009630B9" w:rsidRDefault="009630B9" w:rsidP="00FE41E6">
      <w:pPr>
        <w:rPr>
          <w:rFonts w:ascii="Times New Roman" w:hAnsi="Times New Roman" w:cs="Times New Roman"/>
          <w:b/>
          <w:bCs/>
          <w:color w:val="000000" w:themeColor="text1"/>
          <w:sz w:val="22"/>
          <w:lang w:val="en-GB" w:eastAsia="zh-CN"/>
        </w:rPr>
      </w:pPr>
    </w:p>
    <w:p w14:paraId="1A1A64F9" w14:textId="77777777" w:rsidR="002E7872" w:rsidRPr="00FE41E6" w:rsidRDefault="002E7872" w:rsidP="002E7872">
      <w:pPr>
        <w:rPr>
          <w:lang w:eastAsia="ja-JP"/>
        </w:rPr>
      </w:pPr>
    </w:p>
    <w:p w14:paraId="1C4C104C" w14:textId="77777777" w:rsidR="002E7872" w:rsidRPr="00AB0CA9" w:rsidRDefault="002E7872" w:rsidP="00AB0CA9">
      <w:pPr>
        <w:rPr>
          <w:lang w:val="en-GB" w:eastAsia="ja-JP"/>
        </w:rPr>
      </w:pPr>
    </w:p>
    <w:p w14:paraId="71D79D99" w14:textId="77777777" w:rsidR="00F507D1" w:rsidRPr="00006881" w:rsidRDefault="00F507D1" w:rsidP="00CE0424">
      <w:pPr>
        <w:pStyle w:val="Heading1"/>
      </w:pPr>
      <w:r w:rsidRPr="00006881">
        <w:t>References</w:t>
      </w:r>
    </w:p>
    <w:p w14:paraId="5CB10A31" w14:textId="1AC049A2" w:rsidR="006E337D" w:rsidRPr="00F75CB5" w:rsidRDefault="00B85122" w:rsidP="00357F58">
      <w:pPr>
        <w:pStyle w:val="Reference"/>
        <w:rPr>
          <w:rFonts w:ascii="Times New Roman" w:hAnsi="Times New Roman" w:cs="Times New Roman"/>
          <w:lang w:val="en-GB"/>
        </w:rPr>
      </w:pPr>
      <w:r w:rsidRPr="00064AE5">
        <w:rPr>
          <w:rFonts w:ascii="Times New Roman" w:hAnsi="Times New Roman" w:cs="Times New Roman"/>
          <w:lang w:val="en-GB"/>
        </w:rPr>
        <w:t>R4-2310154</w:t>
      </w:r>
      <w:r w:rsidR="006E337D" w:rsidRPr="00064AE5">
        <w:rPr>
          <w:rFonts w:ascii="Times New Roman" w:hAnsi="Times New Roman" w:cs="Times New Roman"/>
          <w:lang w:val="en-GB"/>
        </w:rPr>
        <w:t>, "WF on R18 RedCap RRM requirements", Ericsson</w:t>
      </w:r>
    </w:p>
    <w:p w14:paraId="62CBB499" w14:textId="2E497FF3" w:rsidR="001300B1" w:rsidRPr="00466000" w:rsidRDefault="00E67E11" w:rsidP="00357F58">
      <w:pPr>
        <w:pStyle w:val="Reference"/>
        <w:rPr>
          <w:rFonts w:ascii="Times New Roman" w:hAnsi="Times New Roman" w:cs="Times New Roman"/>
          <w:lang w:val="en-GB"/>
        </w:rPr>
      </w:pPr>
      <w:r w:rsidRPr="00466000">
        <w:rPr>
          <w:rFonts w:ascii="Times New Roman" w:hAnsi="Times New Roman" w:cs="Times New Roman"/>
          <w:lang w:val="en-GB"/>
        </w:rPr>
        <w:t>R4-2309703</w:t>
      </w:r>
      <w:r w:rsidR="00B01533" w:rsidRPr="00466000">
        <w:rPr>
          <w:rFonts w:ascii="Times New Roman" w:hAnsi="Times New Roman" w:cs="Times New Roman"/>
          <w:lang w:val="en-GB"/>
        </w:rPr>
        <w:t>, “</w:t>
      </w:r>
      <w:r w:rsidR="00AF1B6D" w:rsidRPr="00466000">
        <w:rPr>
          <w:rFonts w:ascii="Times New Roman" w:hAnsi="Times New Roman" w:cs="Times New Roman"/>
          <w:lang w:val="en-GB"/>
        </w:rPr>
        <w:t>Report from eRedCap breakout sessio</w:t>
      </w:r>
      <w:r w:rsidR="00442437" w:rsidRPr="00466000">
        <w:rPr>
          <w:rFonts w:ascii="Times New Roman" w:hAnsi="Times New Roman" w:cs="Times New Roman"/>
          <w:lang w:val="en-GB"/>
        </w:rPr>
        <w:t>n</w:t>
      </w:r>
      <w:r w:rsidR="00B01533" w:rsidRPr="00466000">
        <w:rPr>
          <w:rFonts w:ascii="Times New Roman" w:hAnsi="Times New Roman" w:cs="Times New Roman"/>
          <w:lang w:val="en-GB"/>
        </w:rPr>
        <w:t xml:space="preserve">”, </w:t>
      </w:r>
      <w:r w:rsidR="00454C9E" w:rsidRPr="00466000">
        <w:rPr>
          <w:rFonts w:ascii="Times New Roman" w:hAnsi="Times New Roman" w:cs="Times New Roman"/>
          <w:lang w:val="en-GB"/>
        </w:rPr>
        <w:t>Qualcomm Incorporated</w:t>
      </w:r>
    </w:p>
    <w:p w14:paraId="2E04B02A" w14:textId="77777777" w:rsidR="00975ABB" w:rsidRDefault="00975ABB" w:rsidP="003355CA">
      <w:pPr>
        <w:pStyle w:val="Reference"/>
        <w:numPr>
          <w:ilvl w:val="0"/>
          <w:numId w:val="0"/>
        </w:numPr>
        <w:ind w:left="567"/>
        <w:rPr>
          <w:rFonts w:ascii="Times New Roman" w:hAnsi="Times New Roman" w:cs="Times New Roman"/>
          <w:lang w:val="en-GB"/>
        </w:rPr>
      </w:pPr>
    </w:p>
    <w:sectPr w:rsidR="00975ABB"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383AC" w14:textId="77777777" w:rsidR="00AB42BD" w:rsidRDefault="00AB42BD">
      <w:r>
        <w:separator/>
      </w:r>
    </w:p>
  </w:endnote>
  <w:endnote w:type="continuationSeparator" w:id="0">
    <w:p w14:paraId="01215CE7" w14:textId="77777777" w:rsidR="00AB42BD" w:rsidRDefault="00AB42BD">
      <w:r>
        <w:continuationSeparator/>
      </w:r>
    </w:p>
  </w:endnote>
  <w:endnote w:type="continuationNotice" w:id="1">
    <w:p w14:paraId="274D75F0" w14:textId="77777777" w:rsidR="00AB42BD" w:rsidRDefault="00AB42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D854F3" w:rsidRDefault="00D854F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2BF92" w14:textId="77777777" w:rsidR="00AB42BD" w:rsidRDefault="00AB42BD">
      <w:r>
        <w:separator/>
      </w:r>
    </w:p>
  </w:footnote>
  <w:footnote w:type="continuationSeparator" w:id="0">
    <w:p w14:paraId="30D4D42A" w14:textId="77777777" w:rsidR="00AB42BD" w:rsidRDefault="00AB42BD">
      <w:r>
        <w:continuationSeparator/>
      </w:r>
    </w:p>
  </w:footnote>
  <w:footnote w:type="continuationNotice" w:id="1">
    <w:p w14:paraId="6C46D412" w14:textId="77777777" w:rsidR="00AB42BD" w:rsidRDefault="00AB42B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D854F3" w:rsidRDefault="00D854F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0D011AAE"/>
    <w:multiLevelType w:val="hybridMultilevel"/>
    <w:tmpl w:val="5E96F5F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F067BDF"/>
    <w:multiLevelType w:val="hybridMultilevel"/>
    <w:tmpl w:val="E7BA56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4A1110"/>
    <w:multiLevelType w:val="hybridMultilevel"/>
    <w:tmpl w:val="88EC3E40"/>
    <w:lvl w:ilvl="0" w:tplc="D542F806">
      <w:start w:val="2"/>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20673B2"/>
    <w:multiLevelType w:val="hybridMultilevel"/>
    <w:tmpl w:val="14E4DE28"/>
    <w:lvl w:ilvl="0" w:tplc="1EFE4230">
      <w:start w:val="1"/>
      <w:numFmt w:val="bullet"/>
      <w:lvlText w:val=""/>
      <w:lvlJc w:val="left"/>
      <w:pPr>
        <w:ind w:left="720" w:hanging="360"/>
      </w:pPr>
      <w:rPr>
        <w:rFonts w:ascii="Symbol" w:hAnsi="Symbol" w:hint="default"/>
        <w:lang w:val="en-G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72E3F1A"/>
    <w:multiLevelType w:val="hybridMultilevel"/>
    <w:tmpl w:val="9C7A9034"/>
    <w:lvl w:ilvl="0" w:tplc="075A5BE4">
      <w:start w:val="2"/>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9CA71A5"/>
    <w:multiLevelType w:val="hybridMultilevel"/>
    <w:tmpl w:val="DB3E58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B73482"/>
    <w:multiLevelType w:val="hybridMultilevel"/>
    <w:tmpl w:val="2DC2F4B0"/>
    <w:lvl w:ilvl="0" w:tplc="08090001">
      <w:start w:val="1"/>
      <w:numFmt w:val="bullet"/>
      <w:lvlText w:val=""/>
      <w:lvlJc w:val="left"/>
      <w:pPr>
        <w:ind w:left="930" w:hanging="360"/>
      </w:pPr>
      <w:rPr>
        <w:rFonts w:ascii="Symbol" w:hAnsi="Symbol" w:hint="default"/>
      </w:rPr>
    </w:lvl>
    <w:lvl w:ilvl="1" w:tplc="04190003">
      <w:start w:val="1"/>
      <w:numFmt w:val="bullet"/>
      <w:lvlText w:val="o"/>
      <w:lvlJc w:val="left"/>
      <w:pPr>
        <w:ind w:left="1650" w:hanging="360"/>
      </w:pPr>
      <w:rPr>
        <w:rFonts w:ascii="Courier New" w:hAnsi="Courier New" w:cs="Courier New" w:hint="default"/>
      </w:rPr>
    </w:lvl>
    <w:lvl w:ilvl="2" w:tplc="04190005">
      <w:start w:val="1"/>
      <w:numFmt w:val="bullet"/>
      <w:lvlText w:val=""/>
      <w:lvlJc w:val="left"/>
      <w:pPr>
        <w:ind w:left="2370" w:hanging="360"/>
      </w:pPr>
      <w:rPr>
        <w:rFonts w:ascii="Wingdings" w:hAnsi="Wingdings" w:hint="default"/>
      </w:rPr>
    </w:lvl>
    <w:lvl w:ilvl="3" w:tplc="04190001">
      <w:start w:val="1"/>
      <w:numFmt w:val="bullet"/>
      <w:lvlText w:val=""/>
      <w:lvlJc w:val="left"/>
      <w:pPr>
        <w:ind w:left="3090" w:hanging="360"/>
      </w:pPr>
      <w:rPr>
        <w:rFonts w:ascii="Symbol" w:hAnsi="Symbol" w:hint="default"/>
      </w:rPr>
    </w:lvl>
    <w:lvl w:ilvl="4" w:tplc="04190003">
      <w:start w:val="1"/>
      <w:numFmt w:val="bullet"/>
      <w:lvlText w:val="o"/>
      <w:lvlJc w:val="left"/>
      <w:pPr>
        <w:ind w:left="3810" w:hanging="360"/>
      </w:pPr>
      <w:rPr>
        <w:rFonts w:ascii="Courier New" w:hAnsi="Courier New" w:cs="Courier New" w:hint="default"/>
      </w:rPr>
    </w:lvl>
    <w:lvl w:ilvl="5" w:tplc="C15C7716">
      <w:start w:val="10"/>
      <w:numFmt w:val="bullet"/>
      <w:lvlText w:val="-"/>
      <w:lvlJc w:val="left"/>
      <w:pPr>
        <w:ind w:left="4530" w:hanging="360"/>
      </w:pPr>
      <w:rPr>
        <w:rFonts w:ascii="Arial" w:eastAsiaTheme="minorHAnsi" w:hAnsi="Arial" w:cs="Arial"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3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E1F0A7D"/>
    <w:multiLevelType w:val="hybridMultilevel"/>
    <w:tmpl w:val="2E8C0FA2"/>
    <w:lvl w:ilvl="0" w:tplc="06BEE7B8">
      <w:start w:val="1"/>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C47373A"/>
    <w:multiLevelType w:val="hybridMultilevel"/>
    <w:tmpl w:val="FAE491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702370036">
    <w:abstractNumId w:val="3"/>
  </w:num>
  <w:num w:numId="2" w16cid:durableId="376977427">
    <w:abstractNumId w:val="28"/>
  </w:num>
  <w:num w:numId="3" w16cid:durableId="1149596244">
    <w:abstractNumId w:val="24"/>
  </w:num>
  <w:num w:numId="4" w16cid:durableId="1936667801">
    <w:abstractNumId w:val="25"/>
  </w:num>
  <w:num w:numId="5" w16cid:durableId="1780950949">
    <w:abstractNumId w:val="19"/>
  </w:num>
  <w:num w:numId="6" w16cid:durableId="916745180">
    <w:abstractNumId w:val="27"/>
  </w:num>
  <w:num w:numId="7" w16cid:durableId="160971611">
    <w:abstractNumId w:val="31"/>
  </w:num>
  <w:num w:numId="8" w16cid:durableId="1258247924">
    <w:abstractNumId w:val="21"/>
  </w:num>
  <w:num w:numId="9" w16cid:durableId="584996762">
    <w:abstractNumId w:val="18"/>
  </w:num>
  <w:num w:numId="10" w16cid:durableId="327246571">
    <w:abstractNumId w:val="2"/>
  </w:num>
  <w:num w:numId="11" w16cid:durableId="981009316">
    <w:abstractNumId w:val="1"/>
  </w:num>
  <w:num w:numId="12" w16cid:durableId="1213073939">
    <w:abstractNumId w:val="0"/>
  </w:num>
  <w:num w:numId="13" w16cid:durableId="306781778">
    <w:abstractNumId w:val="29"/>
  </w:num>
  <w:num w:numId="14" w16cid:durableId="333382480">
    <w:abstractNumId w:val="30"/>
  </w:num>
  <w:num w:numId="15" w16cid:durableId="233702226">
    <w:abstractNumId w:val="26"/>
  </w:num>
  <w:num w:numId="16" w16cid:durableId="236092870">
    <w:abstractNumId w:val="34"/>
  </w:num>
  <w:num w:numId="17" w16cid:durableId="1632592871">
    <w:abstractNumId w:val="11"/>
  </w:num>
  <w:num w:numId="18" w16cid:durableId="24258793">
    <w:abstractNumId w:val="16"/>
  </w:num>
  <w:num w:numId="19" w16cid:durableId="1877228364">
    <w:abstractNumId w:val="7"/>
  </w:num>
  <w:num w:numId="20" w16cid:durableId="694582215">
    <w:abstractNumId w:val="40"/>
  </w:num>
  <w:num w:numId="21" w16cid:durableId="707492351">
    <w:abstractNumId w:val="22"/>
  </w:num>
  <w:num w:numId="22" w16cid:durableId="2028944567">
    <w:abstractNumId w:val="38"/>
  </w:num>
  <w:num w:numId="23" w16cid:durableId="350496427">
    <w:abstractNumId w:val="20"/>
  </w:num>
  <w:num w:numId="24" w16cid:durableId="940986845">
    <w:abstractNumId w:val="6"/>
  </w:num>
  <w:num w:numId="25" w16cid:durableId="63248919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14515966">
    <w:abstractNumId w:val="17"/>
  </w:num>
  <w:num w:numId="27" w16cid:durableId="1166897946">
    <w:abstractNumId w:val="37"/>
  </w:num>
  <w:num w:numId="28" w16cid:durableId="1143039595">
    <w:abstractNumId w:val="33"/>
  </w:num>
  <w:num w:numId="29" w16cid:durableId="899437716">
    <w:abstractNumId w:val="41"/>
  </w:num>
  <w:num w:numId="30" w16cid:durableId="1793749578">
    <w:abstractNumId w:val="5"/>
  </w:num>
  <w:num w:numId="31" w16cid:durableId="1672683443">
    <w:abstractNumId w:val="10"/>
  </w:num>
  <w:num w:numId="32" w16cid:durableId="901526347">
    <w:abstractNumId w:val="4"/>
  </w:num>
  <w:num w:numId="33" w16cid:durableId="1884094668">
    <w:abstractNumId w:val="35"/>
  </w:num>
  <w:num w:numId="34" w16cid:durableId="1060977063">
    <w:abstractNumId w:val="15"/>
  </w:num>
  <w:num w:numId="35" w16cid:durableId="1914389749">
    <w:abstractNumId w:val="32"/>
  </w:num>
  <w:num w:numId="36" w16cid:durableId="1689021880">
    <w:abstractNumId w:val="13"/>
  </w:num>
  <w:num w:numId="37" w16cid:durableId="2089451010">
    <w:abstractNumId w:val="28"/>
  </w:num>
  <w:num w:numId="38" w16cid:durableId="1655641581">
    <w:abstractNumId w:val="12"/>
  </w:num>
  <w:num w:numId="39" w16cid:durableId="2021621674">
    <w:abstractNumId w:val="8"/>
  </w:num>
  <w:num w:numId="40" w16cid:durableId="213470852">
    <w:abstractNumId w:val="24"/>
    <w:lvlOverride w:ilvl="0">
      <w:startOverride w:val="1"/>
    </w:lvlOverride>
  </w:num>
  <w:num w:numId="41" w16cid:durableId="1846480370">
    <w:abstractNumId w:val="23"/>
  </w:num>
  <w:num w:numId="42" w16cid:durableId="1641421231">
    <w:abstractNumId w:val="14"/>
  </w:num>
  <w:num w:numId="43" w16cid:durableId="1901867520">
    <w:abstractNumId w:val="9"/>
  </w:num>
  <w:num w:numId="44" w16cid:durableId="893851095">
    <w:abstractNumId w:val="39"/>
  </w:num>
  <w:num w:numId="45" w16cid:durableId="361975145">
    <w:abstractNumId w:val="36"/>
  </w:num>
  <w:num w:numId="46" w16cid:durableId="436296466">
    <w:abstractNumId w:val="24"/>
    <w:lvlOverride w:ilvl="0">
      <w:startOverride w:val="1"/>
    </w:lvlOverride>
  </w:num>
  <w:num w:numId="47" w16cid:durableId="1828402294">
    <w:abstractNumId w:val="2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1A5E"/>
    <w:rsid w:val="00001A64"/>
    <w:rsid w:val="00001FE0"/>
    <w:rsid w:val="00002A37"/>
    <w:rsid w:val="000034C0"/>
    <w:rsid w:val="0000564C"/>
    <w:rsid w:val="00005830"/>
    <w:rsid w:val="00006446"/>
    <w:rsid w:val="00006881"/>
    <w:rsid w:val="00006896"/>
    <w:rsid w:val="00007350"/>
    <w:rsid w:val="000078FB"/>
    <w:rsid w:val="00007CDC"/>
    <w:rsid w:val="00011B28"/>
    <w:rsid w:val="00012A82"/>
    <w:rsid w:val="0001350F"/>
    <w:rsid w:val="00013DC0"/>
    <w:rsid w:val="00014C87"/>
    <w:rsid w:val="00015D15"/>
    <w:rsid w:val="0001664D"/>
    <w:rsid w:val="00020E35"/>
    <w:rsid w:val="00020F7F"/>
    <w:rsid w:val="00022B27"/>
    <w:rsid w:val="00023BF0"/>
    <w:rsid w:val="00024FC1"/>
    <w:rsid w:val="0002564D"/>
    <w:rsid w:val="00025ECA"/>
    <w:rsid w:val="000314EE"/>
    <w:rsid w:val="00031690"/>
    <w:rsid w:val="000325B8"/>
    <w:rsid w:val="00033B6B"/>
    <w:rsid w:val="00034C15"/>
    <w:rsid w:val="00036980"/>
    <w:rsid w:val="00036BA1"/>
    <w:rsid w:val="000370A3"/>
    <w:rsid w:val="00041042"/>
    <w:rsid w:val="000422E2"/>
    <w:rsid w:val="00042701"/>
    <w:rsid w:val="00042F22"/>
    <w:rsid w:val="00043631"/>
    <w:rsid w:val="000443CD"/>
    <w:rsid w:val="000444EF"/>
    <w:rsid w:val="0005022E"/>
    <w:rsid w:val="000515EF"/>
    <w:rsid w:val="00052A07"/>
    <w:rsid w:val="000534E3"/>
    <w:rsid w:val="000542B2"/>
    <w:rsid w:val="0005532C"/>
    <w:rsid w:val="00055CE4"/>
    <w:rsid w:val="0005606A"/>
    <w:rsid w:val="00057117"/>
    <w:rsid w:val="00057563"/>
    <w:rsid w:val="00060BA7"/>
    <w:rsid w:val="000616E7"/>
    <w:rsid w:val="0006487E"/>
    <w:rsid w:val="00064AE5"/>
    <w:rsid w:val="00065E1A"/>
    <w:rsid w:val="000666BF"/>
    <w:rsid w:val="00070721"/>
    <w:rsid w:val="00075792"/>
    <w:rsid w:val="00077E5F"/>
    <w:rsid w:val="0008036A"/>
    <w:rsid w:val="00081AE6"/>
    <w:rsid w:val="000855EB"/>
    <w:rsid w:val="000858C4"/>
    <w:rsid w:val="00085B52"/>
    <w:rsid w:val="00086574"/>
    <w:rsid w:val="000866F2"/>
    <w:rsid w:val="0009009F"/>
    <w:rsid w:val="000902FA"/>
    <w:rsid w:val="00091557"/>
    <w:rsid w:val="000924C1"/>
    <w:rsid w:val="000924F0"/>
    <w:rsid w:val="00092D90"/>
    <w:rsid w:val="00093474"/>
    <w:rsid w:val="0009510F"/>
    <w:rsid w:val="00096896"/>
    <w:rsid w:val="000A0200"/>
    <w:rsid w:val="000A1B7B"/>
    <w:rsid w:val="000A428E"/>
    <w:rsid w:val="000A56F2"/>
    <w:rsid w:val="000A5DA1"/>
    <w:rsid w:val="000A77D5"/>
    <w:rsid w:val="000B0FF3"/>
    <w:rsid w:val="000B1469"/>
    <w:rsid w:val="000B1A0C"/>
    <w:rsid w:val="000B2719"/>
    <w:rsid w:val="000B298F"/>
    <w:rsid w:val="000B35A8"/>
    <w:rsid w:val="000B3A8F"/>
    <w:rsid w:val="000B4596"/>
    <w:rsid w:val="000B4AB9"/>
    <w:rsid w:val="000B58C3"/>
    <w:rsid w:val="000B61E9"/>
    <w:rsid w:val="000B6F82"/>
    <w:rsid w:val="000C0122"/>
    <w:rsid w:val="000C165A"/>
    <w:rsid w:val="000C2E19"/>
    <w:rsid w:val="000C3C72"/>
    <w:rsid w:val="000C4ABC"/>
    <w:rsid w:val="000C4D4B"/>
    <w:rsid w:val="000C6551"/>
    <w:rsid w:val="000D0D07"/>
    <w:rsid w:val="000D23D8"/>
    <w:rsid w:val="000D4797"/>
    <w:rsid w:val="000E0527"/>
    <w:rsid w:val="000E1717"/>
    <w:rsid w:val="000E1E92"/>
    <w:rsid w:val="000E2B11"/>
    <w:rsid w:val="000E36ED"/>
    <w:rsid w:val="000E39E0"/>
    <w:rsid w:val="000E468D"/>
    <w:rsid w:val="000E71CA"/>
    <w:rsid w:val="000E7252"/>
    <w:rsid w:val="000E766D"/>
    <w:rsid w:val="000F010D"/>
    <w:rsid w:val="000F06D6"/>
    <w:rsid w:val="000F0EB1"/>
    <w:rsid w:val="000F1106"/>
    <w:rsid w:val="000F3BE9"/>
    <w:rsid w:val="000F3E3B"/>
    <w:rsid w:val="000F3F6C"/>
    <w:rsid w:val="000F5803"/>
    <w:rsid w:val="000F6DF3"/>
    <w:rsid w:val="000F7BE6"/>
    <w:rsid w:val="001005FF"/>
    <w:rsid w:val="00101653"/>
    <w:rsid w:val="00104973"/>
    <w:rsid w:val="001061BF"/>
    <w:rsid w:val="001062FB"/>
    <w:rsid w:val="001063E6"/>
    <w:rsid w:val="001106F9"/>
    <w:rsid w:val="0011112C"/>
    <w:rsid w:val="001111FE"/>
    <w:rsid w:val="00113092"/>
    <w:rsid w:val="001135CC"/>
    <w:rsid w:val="00113CF4"/>
    <w:rsid w:val="00113DA9"/>
    <w:rsid w:val="00113F6A"/>
    <w:rsid w:val="001153EA"/>
    <w:rsid w:val="00115643"/>
    <w:rsid w:val="001162FE"/>
    <w:rsid w:val="00116765"/>
    <w:rsid w:val="00116A76"/>
    <w:rsid w:val="0011719E"/>
    <w:rsid w:val="0011735B"/>
    <w:rsid w:val="00117ACF"/>
    <w:rsid w:val="001219F5"/>
    <w:rsid w:val="00121A20"/>
    <w:rsid w:val="001232EE"/>
    <w:rsid w:val="001234B8"/>
    <w:rsid w:val="0012377F"/>
    <w:rsid w:val="00123F56"/>
    <w:rsid w:val="00124314"/>
    <w:rsid w:val="0012477D"/>
    <w:rsid w:val="00126B4A"/>
    <w:rsid w:val="0012711E"/>
    <w:rsid w:val="00127C2E"/>
    <w:rsid w:val="001300B1"/>
    <w:rsid w:val="001323F9"/>
    <w:rsid w:val="00132FD0"/>
    <w:rsid w:val="001334E4"/>
    <w:rsid w:val="00133E2E"/>
    <w:rsid w:val="001344C0"/>
    <w:rsid w:val="001346FA"/>
    <w:rsid w:val="00135252"/>
    <w:rsid w:val="00135CDA"/>
    <w:rsid w:val="001365C2"/>
    <w:rsid w:val="001370DE"/>
    <w:rsid w:val="00137419"/>
    <w:rsid w:val="00137AB5"/>
    <w:rsid w:val="00137F0B"/>
    <w:rsid w:val="00141D65"/>
    <w:rsid w:val="001426CC"/>
    <w:rsid w:val="00147569"/>
    <w:rsid w:val="00151E23"/>
    <w:rsid w:val="001526E0"/>
    <w:rsid w:val="00152E60"/>
    <w:rsid w:val="00154929"/>
    <w:rsid w:val="001551B5"/>
    <w:rsid w:val="00155B9D"/>
    <w:rsid w:val="00155CCF"/>
    <w:rsid w:val="00157B63"/>
    <w:rsid w:val="00162657"/>
    <w:rsid w:val="001627BE"/>
    <w:rsid w:val="001656B7"/>
    <w:rsid w:val="001659C1"/>
    <w:rsid w:val="001701F3"/>
    <w:rsid w:val="00170F46"/>
    <w:rsid w:val="001716B5"/>
    <w:rsid w:val="0017332C"/>
    <w:rsid w:val="00173A8E"/>
    <w:rsid w:val="00174E46"/>
    <w:rsid w:val="0017502C"/>
    <w:rsid w:val="001763C3"/>
    <w:rsid w:val="00176F26"/>
    <w:rsid w:val="0018069B"/>
    <w:rsid w:val="0018143F"/>
    <w:rsid w:val="00181B1A"/>
    <w:rsid w:val="00181FF8"/>
    <w:rsid w:val="0018394F"/>
    <w:rsid w:val="0018588D"/>
    <w:rsid w:val="00187B3C"/>
    <w:rsid w:val="00190AC1"/>
    <w:rsid w:val="0019101F"/>
    <w:rsid w:val="001924F1"/>
    <w:rsid w:val="0019341A"/>
    <w:rsid w:val="001943B2"/>
    <w:rsid w:val="0019625F"/>
    <w:rsid w:val="00197DF9"/>
    <w:rsid w:val="001A1547"/>
    <w:rsid w:val="001A1987"/>
    <w:rsid w:val="001A2564"/>
    <w:rsid w:val="001A29FD"/>
    <w:rsid w:val="001A4E6B"/>
    <w:rsid w:val="001A6173"/>
    <w:rsid w:val="001A6CBA"/>
    <w:rsid w:val="001A6DD0"/>
    <w:rsid w:val="001A7F3C"/>
    <w:rsid w:val="001B06F5"/>
    <w:rsid w:val="001B08A8"/>
    <w:rsid w:val="001B0D97"/>
    <w:rsid w:val="001B37C7"/>
    <w:rsid w:val="001B4081"/>
    <w:rsid w:val="001B50B9"/>
    <w:rsid w:val="001B5A5D"/>
    <w:rsid w:val="001B6AD4"/>
    <w:rsid w:val="001B6FE0"/>
    <w:rsid w:val="001C1CE5"/>
    <w:rsid w:val="001C3D2A"/>
    <w:rsid w:val="001C3D8B"/>
    <w:rsid w:val="001D083E"/>
    <w:rsid w:val="001D2989"/>
    <w:rsid w:val="001D3E63"/>
    <w:rsid w:val="001D434C"/>
    <w:rsid w:val="001D51BA"/>
    <w:rsid w:val="001D53E7"/>
    <w:rsid w:val="001D5D83"/>
    <w:rsid w:val="001D6342"/>
    <w:rsid w:val="001D6D53"/>
    <w:rsid w:val="001E58E2"/>
    <w:rsid w:val="001E6468"/>
    <w:rsid w:val="001E67DF"/>
    <w:rsid w:val="001E7AED"/>
    <w:rsid w:val="001F12F5"/>
    <w:rsid w:val="001F15AF"/>
    <w:rsid w:val="001F2543"/>
    <w:rsid w:val="001F3468"/>
    <w:rsid w:val="001F3916"/>
    <w:rsid w:val="001F54C5"/>
    <w:rsid w:val="001F662C"/>
    <w:rsid w:val="001F7074"/>
    <w:rsid w:val="001F7761"/>
    <w:rsid w:val="001F7E78"/>
    <w:rsid w:val="00200490"/>
    <w:rsid w:val="00201F3A"/>
    <w:rsid w:val="00203F96"/>
    <w:rsid w:val="00204823"/>
    <w:rsid w:val="002069B2"/>
    <w:rsid w:val="00207FA3"/>
    <w:rsid w:val="00211F81"/>
    <w:rsid w:val="00213460"/>
    <w:rsid w:val="00213939"/>
    <w:rsid w:val="00214DA8"/>
    <w:rsid w:val="00215423"/>
    <w:rsid w:val="002158FA"/>
    <w:rsid w:val="00220600"/>
    <w:rsid w:val="002224DB"/>
    <w:rsid w:val="002238B3"/>
    <w:rsid w:val="00223946"/>
    <w:rsid w:val="00223FCB"/>
    <w:rsid w:val="002252C3"/>
    <w:rsid w:val="00225A73"/>
    <w:rsid w:val="00225C54"/>
    <w:rsid w:val="00230765"/>
    <w:rsid w:val="00230833"/>
    <w:rsid w:val="00230D18"/>
    <w:rsid w:val="002319E4"/>
    <w:rsid w:val="00231C2A"/>
    <w:rsid w:val="0023368E"/>
    <w:rsid w:val="002336BA"/>
    <w:rsid w:val="0023433D"/>
    <w:rsid w:val="00235632"/>
    <w:rsid w:val="00235872"/>
    <w:rsid w:val="00236E91"/>
    <w:rsid w:val="0024028C"/>
    <w:rsid w:val="00240931"/>
    <w:rsid w:val="0024136B"/>
    <w:rsid w:val="00241559"/>
    <w:rsid w:val="002435B3"/>
    <w:rsid w:val="00243D44"/>
    <w:rsid w:val="002458EB"/>
    <w:rsid w:val="002466EA"/>
    <w:rsid w:val="00247758"/>
    <w:rsid w:val="002500C8"/>
    <w:rsid w:val="00251DBE"/>
    <w:rsid w:val="00255909"/>
    <w:rsid w:val="002563CC"/>
    <w:rsid w:val="00257543"/>
    <w:rsid w:val="00260B21"/>
    <w:rsid w:val="002617E7"/>
    <w:rsid w:val="00261EC2"/>
    <w:rsid w:val="0026267F"/>
    <w:rsid w:val="00264228"/>
    <w:rsid w:val="00264334"/>
    <w:rsid w:val="0026473E"/>
    <w:rsid w:val="00264A1C"/>
    <w:rsid w:val="002652AD"/>
    <w:rsid w:val="00266214"/>
    <w:rsid w:val="00267C83"/>
    <w:rsid w:val="0027144F"/>
    <w:rsid w:val="00271813"/>
    <w:rsid w:val="00271F3A"/>
    <w:rsid w:val="00273278"/>
    <w:rsid w:val="00273630"/>
    <w:rsid w:val="002737F4"/>
    <w:rsid w:val="002744A4"/>
    <w:rsid w:val="002758BC"/>
    <w:rsid w:val="00275D63"/>
    <w:rsid w:val="0027649A"/>
    <w:rsid w:val="00276C04"/>
    <w:rsid w:val="002805F5"/>
    <w:rsid w:val="00280751"/>
    <w:rsid w:val="0028280A"/>
    <w:rsid w:val="00283A24"/>
    <w:rsid w:val="002859ED"/>
    <w:rsid w:val="00286578"/>
    <w:rsid w:val="00286ACD"/>
    <w:rsid w:val="00287838"/>
    <w:rsid w:val="002904CF"/>
    <w:rsid w:val="002907B5"/>
    <w:rsid w:val="00291142"/>
    <w:rsid w:val="0029242C"/>
    <w:rsid w:val="00292AFD"/>
    <w:rsid w:val="00292CD9"/>
    <w:rsid w:val="00292D0F"/>
    <w:rsid w:val="00292EB7"/>
    <w:rsid w:val="00296227"/>
    <w:rsid w:val="00296F44"/>
    <w:rsid w:val="0029777D"/>
    <w:rsid w:val="002979C5"/>
    <w:rsid w:val="002A00EB"/>
    <w:rsid w:val="002A055E"/>
    <w:rsid w:val="002A1626"/>
    <w:rsid w:val="002A1D4E"/>
    <w:rsid w:val="002A2869"/>
    <w:rsid w:val="002A528B"/>
    <w:rsid w:val="002B043E"/>
    <w:rsid w:val="002B0BC6"/>
    <w:rsid w:val="002B1D62"/>
    <w:rsid w:val="002B24D6"/>
    <w:rsid w:val="002B3E99"/>
    <w:rsid w:val="002C1009"/>
    <w:rsid w:val="002C19BC"/>
    <w:rsid w:val="002C41E6"/>
    <w:rsid w:val="002C5936"/>
    <w:rsid w:val="002C6F0B"/>
    <w:rsid w:val="002C6F3F"/>
    <w:rsid w:val="002D071A"/>
    <w:rsid w:val="002D0BFC"/>
    <w:rsid w:val="002D1168"/>
    <w:rsid w:val="002D3122"/>
    <w:rsid w:val="002D34B2"/>
    <w:rsid w:val="002D3FC9"/>
    <w:rsid w:val="002D48B0"/>
    <w:rsid w:val="002D557C"/>
    <w:rsid w:val="002D5B37"/>
    <w:rsid w:val="002D5C98"/>
    <w:rsid w:val="002D7637"/>
    <w:rsid w:val="002D7DC7"/>
    <w:rsid w:val="002E17F2"/>
    <w:rsid w:val="002E437C"/>
    <w:rsid w:val="002E6C5D"/>
    <w:rsid w:val="002E783B"/>
    <w:rsid w:val="002E7872"/>
    <w:rsid w:val="002E7CAE"/>
    <w:rsid w:val="002F13E4"/>
    <w:rsid w:val="002F2771"/>
    <w:rsid w:val="002F37A9"/>
    <w:rsid w:val="002F4C0C"/>
    <w:rsid w:val="003015A7"/>
    <w:rsid w:val="00301CE6"/>
    <w:rsid w:val="0030256B"/>
    <w:rsid w:val="00304812"/>
    <w:rsid w:val="00304E30"/>
    <w:rsid w:val="0030501F"/>
    <w:rsid w:val="003057DB"/>
    <w:rsid w:val="00305D22"/>
    <w:rsid w:val="003063B2"/>
    <w:rsid w:val="003078B6"/>
    <w:rsid w:val="00307BA1"/>
    <w:rsid w:val="0031049F"/>
    <w:rsid w:val="003115B9"/>
    <w:rsid w:val="00311702"/>
    <w:rsid w:val="00311E82"/>
    <w:rsid w:val="00313FD6"/>
    <w:rsid w:val="003143BD"/>
    <w:rsid w:val="00315363"/>
    <w:rsid w:val="00316B8C"/>
    <w:rsid w:val="00317526"/>
    <w:rsid w:val="003203ED"/>
    <w:rsid w:val="003204EB"/>
    <w:rsid w:val="0032064C"/>
    <w:rsid w:val="00322C9F"/>
    <w:rsid w:val="00323ADA"/>
    <w:rsid w:val="00323ED6"/>
    <w:rsid w:val="00324D23"/>
    <w:rsid w:val="00325A1B"/>
    <w:rsid w:val="00326E7C"/>
    <w:rsid w:val="00331325"/>
    <w:rsid w:val="00331751"/>
    <w:rsid w:val="0033267E"/>
    <w:rsid w:val="00333920"/>
    <w:rsid w:val="00333D3D"/>
    <w:rsid w:val="00334579"/>
    <w:rsid w:val="00334885"/>
    <w:rsid w:val="003351D8"/>
    <w:rsid w:val="003355CA"/>
    <w:rsid w:val="00335858"/>
    <w:rsid w:val="00335E4B"/>
    <w:rsid w:val="00336BDA"/>
    <w:rsid w:val="00342BD7"/>
    <w:rsid w:val="00346DB5"/>
    <w:rsid w:val="003474B9"/>
    <w:rsid w:val="0034775E"/>
    <w:rsid w:val="003477B1"/>
    <w:rsid w:val="003523FC"/>
    <w:rsid w:val="00353464"/>
    <w:rsid w:val="003534AA"/>
    <w:rsid w:val="00357333"/>
    <w:rsid w:val="00357380"/>
    <w:rsid w:val="00357F58"/>
    <w:rsid w:val="00360233"/>
    <w:rsid w:val="003602D9"/>
    <w:rsid w:val="003604CE"/>
    <w:rsid w:val="00362819"/>
    <w:rsid w:val="00364E91"/>
    <w:rsid w:val="00366124"/>
    <w:rsid w:val="003705D6"/>
    <w:rsid w:val="00370E47"/>
    <w:rsid w:val="00371DCC"/>
    <w:rsid w:val="00373050"/>
    <w:rsid w:val="003742AC"/>
    <w:rsid w:val="00374675"/>
    <w:rsid w:val="0037563D"/>
    <w:rsid w:val="00377C0A"/>
    <w:rsid w:val="00377CE1"/>
    <w:rsid w:val="00385BF0"/>
    <w:rsid w:val="00392814"/>
    <w:rsid w:val="00392A2A"/>
    <w:rsid w:val="003939FF"/>
    <w:rsid w:val="00397775"/>
    <w:rsid w:val="003A2223"/>
    <w:rsid w:val="003A2A0F"/>
    <w:rsid w:val="003A45A1"/>
    <w:rsid w:val="003A50DB"/>
    <w:rsid w:val="003A5B0A"/>
    <w:rsid w:val="003A611A"/>
    <w:rsid w:val="003A6BAC"/>
    <w:rsid w:val="003A70A4"/>
    <w:rsid w:val="003A7EF3"/>
    <w:rsid w:val="003B1392"/>
    <w:rsid w:val="003B159C"/>
    <w:rsid w:val="003B20B1"/>
    <w:rsid w:val="003B21D1"/>
    <w:rsid w:val="003B230A"/>
    <w:rsid w:val="003B3272"/>
    <w:rsid w:val="003B369F"/>
    <w:rsid w:val="003B36A3"/>
    <w:rsid w:val="003B5881"/>
    <w:rsid w:val="003B5F9F"/>
    <w:rsid w:val="003B64BB"/>
    <w:rsid w:val="003B6D0A"/>
    <w:rsid w:val="003B7369"/>
    <w:rsid w:val="003B7FE5"/>
    <w:rsid w:val="003C0242"/>
    <w:rsid w:val="003C0D0D"/>
    <w:rsid w:val="003C11C8"/>
    <w:rsid w:val="003C2702"/>
    <w:rsid w:val="003C3BB6"/>
    <w:rsid w:val="003C3C04"/>
    <w:rsid w:val="003C5179"/>
    <w:rsid w:val="003C7806"/>
    <w:rsid w:val="003D109F"/>
    <w:rsid w:val="003D2478"/>
    <w:rsid w:val="003D2836"/>
    <w:rsid w:val="003D2BC7"/>
    <w:rsid w:val="003D3C45"/>
    <w:rsid w:val="003D5B1F"/>
    <w:rsid w:val="003D6EEE"/>
    <w:rsid w:val="003D738B"/>
    <w:rsid w:val="003E12B1"/>
    <w:rsid w:val="003E15FA"/>
    <w:rsid w:val="003E1A91"/>
    <w:rsid w:val="003E27C8"/>
    <w:rsid w:val="003E55E4"/>
    <w:rsid w:val="003E74E3"/>
    <w:rsid w:val="003E7C89"/>
    <w:rsid w:val="003F05C7"/>
    <w:rsid w:val="003F2CD4"/>
    <w:rsid w:val="003F2DCA"/>
    <w:rsid w:val="003F467F"/>
    <w:rsid w:val="003F6105"/>
    <w:rsid w:val="003F65E1"/>
    <w:rsid w:val="003F6BBE"/>
    <w:rsid w:val="003F7207"/>
    <w:rsid w:val="004000E8"/>
    <w:rsid w:val="0040011D"/>
    <w:rsid w:val="0040079C"/>
    <w:rsid w:val="00402E2B"/>
    <w:rsid w:val="0040409D"/>
    <w:rsid w:val="0040512B"/>
    <w:rsid w:val="00405CA5"/>
    <w:rsid w:val="004068BF"/>
    <w:rsid w:val="0040726C"/>
    <w:rsid w:val="00407CD3"/>
    <w:rsid w:val="00410134"/>
    <w:rsid w:val="00410B72"/>
    <w:rsid w:val="00410F18"/>
    <w:rsid w:val="0041263E"/>
    <w:rsid w:val="00412954"/>
    <w:rsid w:val="00412E18"/>
    <w:rsid w:val="00413AAC"/>
    <w:rsid w:val="00413E92"/>
    <w:rsid w:val="00415472"/>
    <w:rsid w:val="00420011"/>
    <w:rsid w:val="00421105"/>
    <w:rsid w:val="00422026"/>
    <w:rsid w:val="00422210"/>
    <w:rsid w:val="00422AA4"/>
    <w:rsid w:val="004230E0"/>
    <w:rsid w:val="004242F4"/>
    <w:rsid w:val="00427248"/>
    <w:rsid w:val="00430899"/>
    <w:rsid w:val="0043103A"/>
    <w:rsid w:val="004311D7"/>
    <w:rsid w:val="00431B73"/>
    <w:rsid w:val="00435713"/>
    <w:rsid w:val="00435E60"/>
    <w:rsid w:val="00436A7B"/>
    <w:rsid w:val="0043734D"/>
    <w:rsid w:val="00437447"/>
    <w:rsid w:val="004403FD"/>
    <w:rsid w:val="00441A92"/>
    <w:rsid w:val="00441E75"/>
    <w:rsid w:val="00441FA9"/>
    <w:rsid w:val="00442437"/>
    <w:rsid w:val="004426F7"/>
    <w:rsid w:val="004431DC"/>
    <w:rsid w:val="00444F56"/>
    <w:rsid w:val="00445AC2"/>
    <w:rsid w:val="00446488"/>
    <w:rsid w:val="004464DE"/>
    <w:rsid w:val="00450BEA"/>
    <w:rsid w:val="00451770"/>
    <w:rsid w:val="004517AA"/>
    <w:rsid w:val="00452CAC"/>
    <w:rsid w:val="0045459F"/>
    <w:rsid w:val="00454C9E"/>
    <w:rsid w:val="00457565"/>
    <w:rsid w:val="00457765"/>
    <w:rsid w:val="00457B71"/>
    <w:rsid w:val="00464689"/>
    <w:rsid w:val="00466000"/>
    <w:rsid w:val="004669E2"/>
    <w:rsid w:val="004707E0"/>
    <w:rsid w:val="00470C31"/>
    <w:rsid w:val="0047175E"/>
    <w:rsid w:val="00471DE0"/>
    <w:rsid w:val="00472149"/>
    <w:rsid w:val="004723CC"/>
    <w:rsid w:val="004734D0"/>
    <w:rsid w:val="0047556B"/>
    <w:rsid w:val="00477768"/>
    <w:rsid w:val="004777D1"/>
    <w:rsid w:val="00482C9C"/>
    <w:rsid w:val="00483847"/>
    <w:rsid w:val="00483E9B"/>
    <w:rsid w:val="0048589A"/>
    <w:rsid w:val="004858A2"/>
    <w:rsid w:val="00485A9B"/>
    <w:rsid w:val="004914A7"/>
    <w:rsid w:val="00492BC5"/>
    <w:rsid w:val="00493085"/>
    <w:rsid w:val="00493595"/>
    <w:rsid w:val="00493965"/>
    <w:rsid w:val="004964F1"/>
    <w:rsid w:val="004A08D1"/>
    <w:rsid w:val="004A0C06"/>
    <w:rsid w:val="004A16BC"/>
    <w:rsid w:val="004A2B94"/>
    <w:rsid w:val="004A3284"/>
    <w:rsid w:val="004A4010"/>
    <w:rsid w:val="004A5ECC"/>
    <w:rsid w:val="004B05FA"/>
    <w:rsid w:val="004B27D8"/>
    <w:rsid w:val="004B3672"/>
    <w:rsid w:val="004B56CE"/>
    <w:rsid w:val="004B5C6E"/>
    <w:rsid w:val="004B6120"/>
    <w:rsid w:val="004B6DB0"/>
    <w:rsid w:val="004B6F6A"/>
    <w:rsid w:val="004B7C0C"/>
    <w:rsid w:val="004C0366"/>
    <w:rsid w:val="004C0DC3"/>
    <w:rsid w:val="004C2105"/>
    <w:rsid w:val="004C3898"/>
    <w:rsid w:val="004C3FD6"/>
    <w:rsid w:val="004C48EB"/>
    <w:rsid w:val="004C61E1"/>
    <w:rsid w:val="004C7E37"/>
    <w:rsid w:val="004D0E5F"/>
    <w:rsid w:val="004D27C2"/>
    <w:rsid w:val="004D36B1"/>
    <w:rsid w:val="004D4804"/>
    <w:rsid w:val="004D5E5F"/>
    <w:rsid w:val="004D7EBD"/>
    <w:rsid w:val="004E089D"/>
    <w:rsid w:val="004E2680"/>
    <w:rsid w:val="004E28F9"/>
    <w:rsid w:val="004E462E"/>
    <w:rsid w:val="004E56DC"/>
    <w:rsid w:val="004E5B5E"/>
    <w:rsid w:val="004E76F4"/>
    <w:rsid w:val="004F0B4E"/>
    <w:rsid w:val="004F0B6C"/>
    <w:rsid w:val="004F1D6F"/>
    <w:rsid w:val="004F2078"/>
    <w:rsid w:val="004F3300"/>
    <w:rsid w:val="004F4DA3"/>
    <w:rsid w:val="004F78B3"/>
    <w:rsid w:val="004F7FDC"/>
    <w:rsid w:val="00504EBE"/>
    <w:rsid w:val="00506557"/>
    <w:rsid w:val="0050677A"/>
    <w:rsid w:val="00506BE8"/>
    <w:rsid w:val="005072D0"/>
    <w:rsid w:val="00507EA0"/>
    <w:rsid w:val="005108D8"/>
    <w:rsid w:val="00510F18"/>
    <w:rsid w:val="005116F9"/>
    <w:rsid w:val="0051344E"/>
    <w:rsid w:val="005153A7"/>
    <w:rsid w:val="005159C7"/>
    <w:rsid w:val="00516942"/>
    <w:rsid w:val="00517121"/>
    <w:rsid w:val="005219CF"/>
    <w:rsid w:val="00522636"/>
    <w:rsid w:val="00525062"/>
    <w:rsid w:val="00525158"/>
    <w:rsid w:val="00525835"/>
    <w:rsid w:val="005273DB"/>
    <w:rsid w:val="005279F5"/>
    <w:rsid w:val="00534B59"/>
    <w:rsid w:val="00536759"/>
    <w:rsid w:val="00537895"/>
    <w:rsid w:val="00537C62"/>
    <w:rsid w:val="0054046B"/>
    <w:rsid w:val="00544A9C"/>
    <w:rsid w:val="00544B3C"/>
    <w:rsid w:val="0054548A"/>
    <w:rsid w:val="00546011"/>
    <w:rsid w:val="005462A5"/>
    <w:rsid w:val="005468D4"/>
    <w:rsid w:val="00546970"/>
    <w:rsid w:val="005537C9"/>
    <w:rsid w:val="0055492D"/>
    <w:rsid w:val="00554E19"/>
    <w:rsid w:val="00555C43"/>
    <w:rsid w:val="00557024"/>
    <w:rsid w:val="00557B25"/>
    <w:rsid w:val="0056121F"/>
    <w:rsid w:val="005637E7"/>
    <w:rsid w:val="005654A8"/>
    <w:rsid w:val="0057058C"/>
    <w:rsid w:val="0057146C"/>
    <w:rsid w:val="00572505"/>
    <w:rsid w:val="005740FA"/>
    <w:rsid w:val="005746A1"/>
    <w:rsid w:val="00580665"/>
    <w:rsid w:val="005822FC"/>
    <w:rsid w:val="00582809"/>
    <w:rsid w:val="00582B6A"/>
    <w:rsid w:val="005838C3"/>
    <w:rsid w:val="00587831"/>
    <w:rsid w:val="0058798C"/>
    <w:rsid w:val="005900FA"/>
    <w:rsid w:val="00592470"/>
    <w:rsid w:val="005935A4"/>
    <w:rsid w:val="005948C2"/>
    <w:rsid w:val="00595DCA"/>
    <w:rsid w:val="00596696"/>
    <w:rsid w:val="0059779B"/>
    <w:rsid w:val="005A1F71"/>
    <w:rsid w:val="005A209A"/>
    <w:rsid w:val="005A223B"/>
    <w:rsid w:val="005A33C0"/>
    <w:rsid w:val="005A3E6E"/>
    <w:rsid w:val="005A662D"/>
    <w:rsid w:val="005B02C9"/>
    <w:rsid w:val="005B06D5"/>
    <w:rsid w:val="005B1409"/>
    <w:rsid w:val="005B1E3A"/>
    <w:rsid w:val="005B35D7"/>
    <w:rsid w:val="005B392A"/>
    <w:rsid w:val="005B3AA3"/>
    <w:rsid w:val="005B5FDD"/>
    <w:rsid w:val="005B6F83"/>
    <w:rsid w:val="005C13E8"/>
    <w:rsid w:val="005C5698"/>
    <w:rsid w:val="005C641A"/>
    <w:rsid w:val="005C74FB"/>
    <w:rsid w:val="005C75FF"/>
    <w:rsid w:val="005C7B3A"/>
    <w:rsid w:val="005D1602"/>
    <w:rsid w:val="005D24B5"/>
    <w:rsid w:val="005D26BE"/>
    <w:rsid w:val="005D3CC2"/>
    <w:rsid w:val="005D4F4C"/>
    <w:rsid w:val="005E28FA"/>
    <w:rsid w:val="005E385F"/>
    <w:rsid w:val="005E58C8"/>
    <w:rsid w:val="005E5B81"/>
    <w:rsid w:val="005E696F"/>
    <w:rsid w:val="005F1411"/>
    <w:rsid w:val="005F172D"/>
    <w:rsid w:val="005F2228"/>
    <w:rsid w:val="005F2CB1"/>
    <w:rsid w:val="005F3025"/>
    <w:rsid w:val="005F371C"/>
    <w:rsid w:val="005F618C"/>
    <w:rsid w:val="005F70BD"/>
    <w:rsid w:val="0060283C"/>
    <w:rsid w:val="00603384"/>
    <w:rsid w:val="00603C0A"/>
    <w:rsid w:val="00604F14"/>
    <w:rsid w:val="00606F7C"/>
    <w:rsid w:val="00607A78"/>
    <w:rsid w:val="00607D8D"/>
    <w:rsid w:val="00611476"/>
    <w:rsid w:val="00611B83"/>
    <w:rsid w:val="00613257"/>
    <w:rsid w:val="00613A24"/>
    <w:rsid w:val="00613BA6"/>
    <w:rsid w:val="006146C5"/>
    <w:rsid w:val="00620A71"/>
    <w:rsid w:val="00620C0F"/>
    <w:rsid w:val="00620D80"/>
    <w:rsid w:val="00620FEE"/>
    <w:rsid w:val="006234A6"/>
    <w:rsid w:val="00623C19"/>
    <w:rsid w:val="00623FAB"/>
    <w:rsid w:val="00625443"/>
    <w:rsid w:val="006270D7"/>
    <w:rsid w:val="00630001"/>
    <w:rsid w:val="006307BA"/>
    <w:rsid w:val="006311B3"/>
    <w:rsid w:val="0063284C"/>
    <w:rsid w:val="00633ABB"/>
    <w:rsid w:val="00634449"/>
    <w:rsid w:val="00636398"/>
    <w:rsid w:val="006368D3"/>
    <w:rsid w:val="00636D41"/>
    <w:rsid w:val="006377EC"/>
    <w:rsid w:val="0064151F"/>
    <w:rsid w:val="00641533"/>
    <w:rsid w:val="006416D8"/>
    <w:rsid w:val="0064208D"/>
    <w:rsid w:val="00643475"/>
    <w:rsid w:val="0064396A"/>
    <w:rsid w:val="00644F01"/>
    <w:rsid w:val="00645706"/>
    <w:rsid w:val="0064624E"/>
    <w:rsid w:val="00650AB9"/>
    <w:rsid w:val="006527C5"/>
    <w:rsid w:val="006531DB"/>
    <w:rsid w:val="006545A0"/>
    <w:rsid w:val="006545A9"/>
    <w:rsid w:val="00654B6C"/>
    <w:rsid w:val="00655733"/>
    <w:rsid w:val="00655ACD"/>
    <w:rsid w:val="0065644E"/>
    <w:rsid w:val="00656A92"/>
    <w:rsid w:val="00656DDE"/>
    <w:rsid w:val="006571B3"/>
    <w:rsid w:val="0066011D"/>
    <w:rsid w:val="006607C0"/>
    <w:rsid w:val="00660BF6"/>
    <w:rsid w:val="006613A6"/>
    <w:rsid w:val="00662635"/>
    <w:rsid w:val="006627A2"/>
    <w:rsid w:val="006634E6"/>
    <w:rsid w:val="006655EE"/>
    <w:rsid w:val="00667CF9"/>
    <w:rsid w:val="00667EE7"/>
    <w:rsid w:val="00670922"/>
    <w:rsid w:val="00670BE1"/>
    <w:rsid w:val="0067218F"/>
    <w:rsid w:val="006728A0"/>
    <w:rsid w:val="006741F2"/>
    <w:rsid w:val="00674CC3"/>
    <w:rsid w:val="0067553F"/>
    <w:rsid w:val="00675C72"/>
    <w:rsid w:val="006771F9"/>
    <w:rsid w:val="006776D7"/>
    <w:rsid w:val="006806D8"/>
    <w:rsid w:val="00681003"/>
    <w:rsid w:val="006811F8"/>
    <w:rsid w:val="006817C9"/>
    <w:rsid w:val="006818F3"/>
    <w:rsid w:val="00683ECE"/>
    <w:rsid w:val="00683F36"/>
    <w:rsid w:val="00684AF8"/>
    <w:rsid w:val="0068701C"/>
    <w:rsid w:val="006879A8"/>
    <w:rsid w:val="006910D9"/>
    <w:rsid w:val="00692DCE"/>
    <w:rsid w:val="00694058"/>
    <w:rsid w:val="00694572"/>
    <w:rsid w:val="00695FC2"/>
    <w:rsid w:val="0069601F"/>
    <w:rsid w:val="006965DC"/>
    <w:rsid w:val="00696949"/>
    <w:rsid w:val="00697004"/>
    <w:rsid w:val="00697052"/>
    <w:rsid w:val="00697C58"/>
    <w:rsid w:val="006A2802"/>
    <w:rsid w:val="006A46FB"/>
    <w:rsid w:val="006A4948"/>
    <w:rsid w:val="006A5E28"/>
    <w:rsid w:val="006A697B"/>
    <w:rsid w:val="006A74EB"/>
    <w:rsid w:val="006A7AFF"/>
    <w:rsid w:val="006B1816"/>
    <w:rsid w:val="006B19B9"/>
    <w:rsid w:val="006B2099"/>
    <w:rsid w:val="006B3242"/>
    <w:rsid w:val="006B50CF"/>
    <w:rsid w:val="006B7DAF"/>
    <w:rsid w:val="006C0001"/>
    <w:rsid w:val="006C03B8"/>
    <w:rsid w:val="006C1707"/>
    <w:rsid w:val="006C3FD8"/>
    <w:rsid w:val="006C5AD5"/>
    <w:rsid w:val="006C5EC9"/>
    <w:rsid w:val="006C6059"/>
    <w:rsid w:val="006C7522"/>
    <w:rsid w:val="006D4C49"/>
    <w:rsid w:val="006D6F08"/>
    <w:rsid w:val="006D7F17"/>
    <w:rsid w:val="006D7FEE"/>
    <w:rsid w:val="006E062C"/>
    <w:rsid w:val="006E1C07"/>
    <w:rsid w:val="006E1C82"/>
    <w:rsid w:val="006E26F0"/>
    <w:rsid w:val="006E28B7"/>
    <w:rsid w:val="006E2A9B"/>
    <w:rsid w:val="006E3310"/>
    <w:rsid w:val="006E337D"/>
    <w:rsid w:val="006E4E39"/>
    <w:rsid w:val="006E565E"/>
    <w:rsid w:val="006E673D"/>
    <w:rsid w:val="006E7D3B"/>
    <w:rsid w:val="006F1B70"/>
    <w:rsid w:val="006F23B1"/>
    <w:rsid w:val="006F2953"/>
    <w:rsid w:val="006F2DC0"/>
    <w:rsid w:val="006F341D"/>
    <w:rsid w:val="006F3CDE"/>
    <w:rsid w:val="006F4243"/>
    <w:rsid w:val="006F4385"/>
    <w:rsid w:val="006F47FC"/>
    <w:rsid w:val="006F58D4"/>
    <w:rsid w:val="006F6582"/>
    <w:rsid w:val="0070055A"/>
    <w:rsid w:val="00701DA0"/>
    <w:rsid w:val="00702B45"/>
    <w:rsid w:val="0070346E"/>
    <w:rsid w:val="00704029"/>
    <w:rsid w:val="00704EDB"/>
    <w:rsid w:val="00706101"/>
    <w:rsid w:val="00706247"/>
    <w:rsid w:val="00707072"/>
    <w:rsid w:val="007079BA"/>
    <w:rsid w:val="00707D61"/>
    <w:rsid w:val="00711D88"/>
    <w:rsid w:val="00712287"/>
    <w:rsid w:val="00712772"/>
    <w:rsid w:val="007148D3"/>
    <w:rsid w:val="00715B9A"/>
    <w:rsid w:val="00716808"/>
    <w:rsid w:val="0072023A"/>
    <w:rsid w:val="007206F8"/>
    <w:rsid w:val="00721B32"/>
    <w:rsid w:val="007227EB"/>
    <w:rsid w:val="00722A81"/>
    <w:rsid w:val="007257D0"/>
    <w:rsid w:val="00726344"/>
    <w:rsid w:val="00726EA6"/>
    <w:rsid w:val="00727208"/>
    <w:rsid w:val="00727680"/>
    <w:rsid w:val="00727A35"/>
    <w:rsid w:val="0073065C"/>
    <w:rsid w:val="007307AD"/>
    <w:rsid w:val="0073233D"/>
    <w:rsid w:val="0073458F"/>
    <w:rsid w:val="007348B1"/>
    <w:rsid w:val="00736221"/>
    <w:rsid w:val="007362A6"/>
    <w:rsid w:val="00736D7D"/>
    <w:rsid w:val="007400AB"/>
    <w:rsid w:val="00740E58"/>
    <w:rsid w:val="00742051"/>
    <w:rsid w:val="0074220E"/>
    <w:rsid w:val="00744046"/>
    <w:rsid w:val="007445A0"/>
    <w:rsid w:val="00744DF9"/>
    <w:rsid w:val="0074524B"/>
    <w:rsid w:val="007467E3"/>
    <w:rsid w:val="00747D8B"/>
    <w:rsid w:val="00751228"/>
    <w:rsid w:val="0075250C"/>
    <w:rsid w:val="007546A0"/>
    <w:rsid w:val="00755B8D"/>
    <w:rsid w:val="00756D65"/>
    <w:rsid w:val="007571E1"/>
    <w:rsid w:val="007604B2"/>
    <w:rsid w:val="00762E6A"/>
    <w:rsid w:val="0076342D"/>
    <w:rsid w:val="007643E2"/>
    <w:rsid w:val="00764EE4"/>
    <w:rsid w:val="00765281"/>
    <w:rsid w:val="00766560"/>
    <w:rsid w:val="00766BAD"/>
    <w:rsid w:val="00770371"/>
    <w:rsid w:val="00771DE6"/>
    <w:rsid w:val="007729A2"/>
    <w:rsid w:val="0077359B"/>
    <w:rsid w:val="0077547A"/>
    <w:rsid w:val="007755F2"/>
    <w:rsid w:val="00775C3B"/>
    <w:rsid w:val="00776612"/>
    <w:rsid w:val="00776971"/>
    <w:rsid w:val="007779E4"/>
    <w:rsid w:val="00780298"/>
    <w:rsid w:val="00780A80"/>
    <w:rsid w:val="0078177E"/>
    <w:rsid w:val="00782857"/>
    <w:rsid w:val="0078304C"/>
    <w:rsid w:val="0078355F"/>
    <w:rsid w:val="00783673"/>
    <w:rsid w:val="00783E9F"/>
    <w:rsid w:val="00784B10"/>
    <w:rsid w:val="00785490"/>
    <w:rsid w:val="0078588D"/>
    <w:rsid w:val="0078618F"/>
    <w:rsid w:val="00786D71"/>
    <w:rsid w:val="00787020"/>
    <w:rsid w:val="00791ABD"/>
    <w:rsid w:val="007925EA"/>
    <w:rsid w:val="00793CD8"/>
    <w:rsid w:val="00794D93"/>
    <w:rsid w:val="00795001"/>
    <w:rsid w:val="00795C92"/>
    <w:rsid w:val="00795E36"/>
    <w:rsid w:val="00795F53"/>
    <w:rsid w:val="00796231"/>
    <w:rsid w:val="00796D8B"/>
    <w:rsid w:val="00797C83"/>
    <w:rsid w:val="007A0863"/>
    <w:rsid w:val="007A0901"/>
    <w:rsid w:val="007A1473"/>
    <w:rsid w:val="007A14C7"/>
    <w:rsid w:val="007A14F3"/>
    <w:rsid w:val="007A1CB3"/>
    <w:rsid w:val="007A306F"/>
    <w:rsid w:val="007A43A6"/>
    <w:rsid w:val="007A44B6"/>
    <w:rsid w:val="007A4814"/>
    <w:rsid w:val="007A58A6"/>
    <w:rsid w:val="007A6BB8"/>
    <w:rsid w:val="007A6C48"/>
    <w:rsid w:val="007B09B8"/>
    <w:rsid w:val="007B1879"/>
    <w:rsid w:val="007B3CEC"/>
    <w:rsid w:val="007B3D2D"/>
    <w:rsid w:val="007B50AE"/>
    <w:rsid w:val="007B51DF"/>
    <w:rsid w:val="007B5AAD"/>
    <w:rsid w:val="007B7F51"/>
    <w:rsid w:val="007C05DD"/>
    <w:rsid w:val="007C2169"/>
    <w:rsid w:val="007C3D18"/>
    <w:rsid w:val="007C54C8"/>
    <w:rsid w:val="007C567D"/>
    <w:rsid w:val="007C60BF"/>
    <w:rsid w:val="007C6A07"/>
    <w:rsid w:val="007C75A1"/>
    <w:rsid w:val="007C77A5"/>
    <w:rsid w:val="007D04E5"/>
    <w:rsid w:val="007D0DA6"/>
    <w:rsid w:val="007D2826"/>
    <w:rsid w:val="007D3FDF"/>
    <w:rsid w:val="007D4216"/>
    <w:rsid w:val="007D5901"/>
    <w:rsid w:val="007D7526"/>
    <w:rsid w:val="007D7AE6"/>
    <w:rsid w:val="007E048B"/>
    <w:rsid w:val="007E05B8"/>
    <w:rsid w:val="007E21F4"/>
    <w:rsid w:val="007E22A2"/>
    <w:rsid w:val="007E4610"/>
    <w:rsid w:val="007E4715"/>
    <w:rsid w:val="007E505B"/>
    <w:rsid w:val="007E7091"/>
    <w:rsid w:val="007E7414"/>
    <w:rsid w:val="007F003D"/>
    <w:rsid w:val="007F04AF"/>
    <w:rsid w:val="007F1129"/>
    <w:rsid w:val="007F4B13"/>
    <w:rsid w:val="007F5A71"/>
    <w:rsid w:val="007F63C8"/>
    <w:rsid w:val="007F699C"/>
    <w:rsid w:val="00800059"/>
    <w:rsid w:val="008003C7"/>
    <w:rsid w:val="00803DF4"/>
    <w:rsid w:val="00803FAE"/>
    <w:rsid w:val="008041E8"/>
    <w:rsid w:val="008042E4"/>
    <w:rsid w:val="00805E78"/>
    <w:rsid w:val="0080605F"/>
    <w:rsid w:val="00807444"/>
    <w:rsid w:val="00807786"/>
    <w:rsid w:val="00810F12"/>
    <w:rsid w:val="00811FCB"/>
    <w:rsid w:val="0081275A"/>
    <w:rsid w:val="008158D6"/>
    <w:rsid w:val="00816E65"/>
    <w:rsid w:val="00817196"/>
    <w:rsid w:val="00821447"/>
    <w:rsid w:val="00821869"/>
    <w:rsid w:val="008235DB"/>
    <w:rsid w:val="008238D8"/>
    <w:rsid w:val="00824AB4"/>
    <w:rsid w:val="00825AE9"/>
    <w:rsid w:val="00825C42"/>
    <w:rsid w:val="00825D25"/>
    <w:rsid w:val="008273E9"/>
    <w:rsid w:val="00827D6F"/>
    <w:rsid w:val="00830D05"/>
    <w:rsid w:val="008312EF"/>
    <w:rsid w:val="008358DE"/>
    <w:rsid w:val="00836EB0"/>
    <w:rsid w:val="008376AC"/>
    <w:rsid w:val="00837A3D"/>
    <w:rsid w:val="008444E8"/>
    <w:rsid w:val="00844E80"/>
    <w:rsid w:val="0084627C"/>
    <w:rsid w:val="00846FE7"/>
    <w:rsid w:val="008506AD"/>
    <w:rsid w:val="008506FF"/>
    <w:rsid w:val="0085217D"/>
    <w:rsid w:val="00854D01"/>
    <w:rsid w:val="0085508F"/>
    <w:rsid w:val="0085668E"/>
    <w:rsid w:val="00856911"/>
    <w:rsid w:val="0085732E"/>
    <w:rsid w:val="00861DA0"/>
    <w:rsid w:val="00866FD4"/>
    <w:rsid w:val="00867214"/>
    <w:rsid w:val="008677FD"/>
    <w:rsid w:val="00867E8D"/>
    <w:rsid w:val="008706D4"/>
    <w:rsid w:val="00870F8A"/>
    <w:rsid w:val="008719A4"/>
    <w:rsid w:val="00871D23"/>
    <w:rsid w:val="00874312"/>
    <w:rsid w:val="0087437C"/>
    <w:rsid w:val="00875516"/>
    <w:rsid w:val="00875CD7"/>
    <w:rsid w:val="00876343"/>
    <w:rsid w:val="0087669B"/>
    <w:rsid w:val="00876B4D"/>
    <w:rsid w:val="00876FF1"/>
    <w:rsid w:val="00877F18"/>
    <w:rsid w:val="00880E98"/>
    <w:rsid w:val="008813CE"/>
    <w:rsid w:val="008833EF"/>
    <w:rsid w:val="0088459B"/>
    <w:rsid w:val="008846BE"/>
    <w:rsid w:val="00886677"/>
    <w:rsid w:val="00886D44"/>
    <w:rsid w:val="00887C29"/>
    <w:rsid w:val="00887E53"/>
    <w:rsid w:val="00891BD6"/>
    <w:rsid w:val="00892565"/>
    <w:rsid w:val="008941E3"/>
    <w:rsid w:val="00894A88"/>
    <w:rsid w:val="00894B2A"/>
    <w:rsid w:val="00895386"/>
    <w:rsid w:val="00897E72"/>
    <w:rsid w:val="008A003F"/>
    <w:rsid w:val="008A0515"/>
    <w:rsid w:val="008A0F21"/>
    <w:rsid w:val="008A1BF2"/>
    <w:rsid w:val="008A21FF"/>
    <w:rsid w:val="008A2CE2"/>
    <w:rsid w:val="008A30AC"/>
    <w:rsid w:val="008A44B8"/>
    <w:rsid w:val="008A51A8"/>
    <w:rsid w:val="008A54C7"/>
    <w:rsid w:val="008A64B0"/>
    <w:rsid w:val="008A75C5"/>
    <w:rsid w:val="008A77D8"/>
    <w:rsid w:val="008A7F34"/>
    <w:rsid w:val="008B0483"/>
    <w:rsid w:val="008B0A21"/>
    <w:rsid w:val="008B0D5E"/>
    <w:rsid w:val="008B1134"/>
    <w:rsid w:val="008B120C"/>
    <w:rsid w:val="008B2D95"/>
    <w:rsid w:val="008B3A64"/>
    <w:rsid w:val="008B50B5"/>
    <w:rsid w:val="008B51A0"/>
    <w:rsid w:val="008B5581"/>
    <w:rsid w:val="008B585D"/>
    <w:rsid w:val="008B592A"/>
    <w:rsid w:val="008B5DCE"/>
    <w:rsid w:val="008B7B5C"/>
    <w:rsid w:val="008C011B"/>
    <w:rsid w:val="008C0720"/>
    <w:rsid w:val="008C0C99"/>
    <w:rsid w:val="008C2017"/>
    <w:rsid w:val="008C38A9"/>
    <w:rsid w:val="008C3C2B"/>
    <w:rsid w:val="008C4958"/>
    <w:rsid w:val="008C4BAA"/>
    <w:rsid w:val="008C6AE8"/>
    <w:rsid w:val="008C7573"/>
    <w:rsid w:val="008D00A5"/>
    <w:rsid w:val="008D2DC8"/>
    <w:rsid w:val="008D34F1"/>
    <w:rsid w:val="008D39D8"/>
    <w:rsid w:val="008D3AA7"/>
    <w:rsid w:val="008D484B"/>
    <w:rsid w:val="008D6D1A"/>
    <w:rsid w:val="008E065E"/>
    <w:rsid w:val="008E07E4"/>
    <w:rsid w:val="008E0927"/>
    <w:rsid w:val="008E15E6"/>
    <w:rsid w:val="008E1855"/>
    <w:rsid w:val="008E1909"/>
    <w:rsid w:val="008E22F2"/>
    <w:rsid w:val="008E3066"/>
    <w:rsid w:val="008E49F5"/>
    <w:rsid w:val="008E6325"/>
    <w:rsid w:val="008E6DD3"/>
    <w:rsid w:val="008F1006"/>
    <w:rsid w:val="008F1851"/>
    <w:rsid w:val="008F1C4E"/>
    <w:rsid w:val="008F1EAB"/>
    <w:rsid w:val="008F33DC"/>
    <w:rsid w:val="008F477F"/>
    <w:rsid w:val="008F5EB5"/>
    <w:rsid w:val="008F661D"/>
    <w:rsid w:val="00902350"/>
    <w:rsid w:val="009028F4"/>
    <w:rsid w:val="0090336B"/>
    <w:rsid w:val="009048F1"/>
    <w:rsid w:val="009053AA"/>
    <w:rsid w:val="00905AD7"/>
    <w:rsid w:val="009060A0"/>
    <w:rsid w:val="00906939"/>
    <w:rsid w:val="00907E35"/>
    <w:rsid w:val="00910B7D"/>
    <w:rsid w:val="00911DFB"/>
    <w:rsid w:val="00913516"/>
    <w:rsid w:val="009139D9"/>
    <w:rsid w:val="00914AD8"/>
    <w:rsid w:val="00916079"/>
    <w:rsid w:val="00917CE9"/>
    <w:rsid w:val="009206B0"/>
    <w:rsid w:val="0092075B"/>
    <w:rsid w:val="00920BF2"/>
    <w:rsid w:val="00921243"/>
    <w:rsid w:val="00922010"/>
    <w:rsid w:val="00923EBA"/>
    <w:rsid w:val="0092578B"/>
    <w:rsid w:val="00927AB7"/>
    <w:rsid w:val="00927B80"/>
    <w:rsid w:val="00931BD9"/>
    <w:rsid w:val="00932BE1"/>
    <w:rsid w:val="00932E1F"/>
    <w:rsid w:val="00933F2F"/>
    <w:rsid w:val="00934D29"/>
    <w:rsid w:val="00935674"/>
    <w:rsid w:val="009368F3"/>
    <w:rsid w:val="00937322"/>
    <w:rsid w:val="00940635"/>
    <w:rsid w:val="00941636"/>
    <w:rsid w:val="009423CC"/>
    <w:rsid w:val="0094287F"/>
    <w:rsid w:val="00943742"/>
    <w:rsid w:val="0094412F"/>
    <w:rsid w:val="00945255"/>
    <w:rsid w:val="009452F6"/>
    <w:rsid w:val="00945C05"/>
    <w:rsid w:val="00946945"/>
    <w:rsid w:val="009473DB"/>
    <w:rsid w:val="00947713"/>
    <w:rsid w:val="009505AF"/>
    <w:rsid w:val="00950DC4"/>
    <w:rsid w:val="00950DE7"/>
    <w:rsid w:val="00953920"/>
    <w:rsid w:val="00953D47"/>
    <w:rsid w:val="00954CA7"/>
    <w:rsid w:val="00955059"/>
    <w:rsid w:val="0095681E"/>
    <w:rsid w:val="00956A4A"/>
    <w:rsid w:val="009572D4"/>
    <w:rsid w:val="0096031E"/>
    <w:rsid w:val="009612C2"/>
    <w:rsid w:val="00961921"/>
    <w:rsid w:val="00961EF3"/>
    <w:rsid w:val="009630B9"/>
    <w:rsid w:val="00963FB9"/>
    <w:rsid w:val="0096430A"/>
    <w:rsid w:val="0096554B"/>
    <w:rsid w:val="0096584A"/>
    <w:rsid w:val="009714C1"/>
    <w:rsid w:val="00971F08"/>
    <w:rsid w:val="00972A71"/>
    <w:rsid w:val="00975ABB"/>
    <w:rsid w:val="0097603D"/>
    <w:rsid w:val="00976949"/>
    <w:rsid w:val="00980477"/>
    <w:rsid w:val="009815C0"/>
    <w:rsid w:val="009826DE"/>
    <w:rsid w:val="009840B9"/>
    <w:rsid w:val="00984739"/>
    <w:rsid w:val="00985253"/>
    <w:rsid w:val="009853B3"/>
    <w:rsid w:val="00987508"/>
    <w:rsid w:val="00990284"/>
    <w:rsid w:val="00990475"/>
    <w:rsid w:val="00990630"/>
    <w:rsid w:val="00991761"/>
    <w:rsid w:val="00993425"/>
    <w:rsid w:val="00994DCA"/>
    <w:rsid w:val="009960EC"/>
    <w:rsid w:val="00996DAD"/>
    <w:rsid w:val="009970DD"/>
    <w:rsid w:val="009A052F"/>
    <w:rsid w:val="009A0FBA"/>
    <w:rsid w:val="009A1601"/>
    <w:rsid w:val="009A1AD0"/>
    <w:rsid w:val="009A23A1"/>
    <w:rsid w:val="009A3BB6"/>
    <w:rsid w:val="009A414D"/>
    <w:rsid w:val="009A462D"/>
    <w:rsid w:val="009A4D79"/>
    <w:rsid w:val="009A5CBA"/>
    <w:rsid w:val="009A5D25"/>
    <w:rsid w:val="009B0FC2"/>
    <w:rsid w:val="009B1F30"/>
    <w:rsid w:val="009B3AC2"/>
    <w:rsid w:val="009B3D60"/>
    <w:rsid w:val="009B4DF4"/>
    <w:rsid w:val="009B564E"/>
    <w:rsid w:val="009B5795"/>
    <w:rsid w:val="009B7E87"/>
    <w:rsid w:val="009C0169"/>
    <w:rsid w:val="009C052A"/>
    <w:rsid w:val="009C057D"/>
    <w:rsid w:val="009C1D3C"/>
    <w:rsid w:val="009C3E03"/>
    <w:rsid w:val="009C403E"/>
    <w:rsid w:val="009C458A"/>
    <w:rsid w:val="009C7D9A"/>
    <w:rsid w:val="009C7FEA"/>
    <w:rsid w:val="009D0FB7"/>
    <w:rsid w:val="009D3E49"/>
    <w:rsid w:val="009D4FF0"/>
    <w:rsid w:val="009D703C"/>
    <w:rsid w:val="009D718F"/>
    <w:rsid w:val="009D7699"/>
    <w:rsid w:val="009D7C0C"/>
    <w:rsid w:val="009E068F"/>
    <w:rsid w:val="009E13E0"/>
    <w:rsid w:val="009E14E0"/>
    <w:rsid w:val="009E35DB"/>
    <w:rsid w:val="009E47A3"/>
    <w:rsid w:val="009E675C"/>
    <w:rsid w:val="009E7A41"/>
    <w:rsid w:val="009F08F3"/>
    <w:rsid w:val="009F0DA0"/>
    <w:rsid w:val="009F344F"/>
    <w:rsid w:val="009F5120"/>
    <w:rsid w:val="009F5D2B"/>
    <w:rsid w:val="00A00BC8"/>
    <w:rsid w:val="00A01341"/>
    <w:rsid w:val="00A031D8"/>
    <w:rsid w:val="00A048A8"/>
    <w:rsid w:val="00A04F49"/>
    <w:rsid w:val="00A06596"/>
    <w:rsid w:val="00A11415"/>
    <w:rsid w:val="00A11FD5"/>
    <w:rsid w:val="00A127F1"/>
    <w:rsid w:val="00A13E54"/>
    <w:rsid w:val="00A143E8"/>
    <w:rsid w:val="00A14BA0"/>
    <w:rsid w:val="00A14DC1"/>
    <w:rsid w:val="00A1671A"/>
    <w:rsid w:val="00A17CA3"/>
    <w:rsid w:val="00A17F63"/>
    <w:rsid w:val="00A20152"/>
    <w:rsid w:val="00A2193B"/>
    <w:rsid w:val="00A22E7F"/>
    <w:rsid w:val="00A22FCC"/>
    <w:rsid w:val="00A232F1"/>
    <w:rsid w:val="00A2351A"/>
    <w:rsid w:val="00A2635B"/>
    <w:rsid w:val="00A264A9"/>
    <w:rsid w:val="00A26DCF"/>
    <w:rsid w:val="00A27785"/>
    <w:rsid w:val="00A30187"/>
    <w:rsid w:val="00A30A1A"/>
    <w:rsid w:val="00A31B3C"/>
    <w:rsid w:val="00A335AC"/>
    <w:rsid w:val="00A3448A"/>
    <w:rsid w:val="00A34873"/>
    <w:rsid w:val="00A35E65"/>
    <w:rsid w:val="00A36297"/>
    <w:rsid w:val="00A40F09"/>
    <w:rsid w:val="00A41E2B"/>
    <w:rsid w:val="00A42062"/>
    <w:rsid w:val="00A456BA"/>
    <w:rsid w:val="00A45B74"/>
    <w:rsid w:val="00A45D92"/>
    <w:rsid w:val="00A45F5C"/>
    <w:rsid w:val="00A47DA0"/>
    <w:rsid w:val="00A51976"/>
    <w:rsid w:val="00A52E1D"/>
    <w:rsid w:val="00A52EE8"/>
    <w:rsid w:val="00A537C8"/>
    <w:rsid w:val="00A56A17"/>
    <w:rsid w:val="00A61499"/>
    <w:rsid w:val="00A62A77"/>
    <w:rsid w:val="00A63483"/>
    <w:rsid w:val="00A657D7"/>
    <w:rsid w:val="00A660AC"/>
    <w:rsid w:val="00A67E6C"/>
    <w:rsid w:val="00A71B99"/>
    <w:rsid w:val="00A721E1"/>
    <w:rsid w:val="00A72974"/>
    <w:rsid w:val="00A739D0"/>
    <w:rsid w:val="00A7480F"/>
    <w:rsid w:val="00A74D5C"/>
    <w:rsid w:val="00A761D4"/>
    <w:rsid w:val="00A76A90"/>
    <w:rsid w:val="00A77162"/>
    <w:rsid w:val="00A77EC4"/>
    <w:rsid w:val="00A849FA"/>
    <w:rsid w:val="00A85AAE"/>
    <w:rsid w:val="00A8681C"/>
    <w:rsid w:val="00A90B82"/>
    <w:rsid w:val="00A90FEA"/>
    <w:rsid w:val="00A92879"/>
    <w:rsid w:val="00A9442A"/>
    <w:rsid w:val="00A94679"/>
    <w:rsid w:val="00A94C86"/>
    <w:rsid w:val="00A9664A"/>
    <w:rsid w:val="00A96995"/>
    <w:rsid w:val="00AA016F"/>
    <w:rsid w:val="00AA169C"/>
    <w:rsid w:val="00AA1ED6"/>
    <w:rsid w:val="00AA51D6"/>
    <w:rsid w:val="00AA63B1"/>
    <w:rsid w:val="00AB0371"/>
    <w:rsid w:val="00AB0BC8"/>
    <w:rsid w:val="00AB0CA9"/>
    <w:rsid w:val="00AB0D92"/>
    <w:rsid w:val="00AB11CA"/>
    <w:rsid w:val="00AB14D9"/>
    <w:rsid w:val="00AB2C9E"/>
    <w:rsid w:val="00AB42BD"/>
    <w:rsid w:val="00AB4819"/>
    <w:rsid w:val="00AB4AB8"/>
    <w:rsid w:val="00AB5139"/>
    <w:rsid w:val="00AB53D0"/>
    <w:rsid w:val="00AB655E"/>
    <w:rsid w:val="00AB7109"/>
    <w:rsid w:val="00AC007F"/>
    <w:rsid w:val="00AC03F0"/>
    <w:rsid w:val="00AC0403"/>
    <w:rsid w:val="00AC2ECD"/>
    <w:rsid w:val="00AC3119"/>
    <w:rsid w:val="00AC39CC"/>
    <w:rsid w:val="00AC49FB"/>
    <w:rsid w:val="00AC5A10"/>
    <w:rsid w:val="00AD0894"/>
    <w:rsid w:val="00AD0AA3"/>
    <w:rsid w:val="00AD0C49"/>
    <w:rsid w:val="00AD1CBE"/>
    <w:rsid w:val="00AD2407"/>
    <w:rsid w:val="00AD287C"/>
    <w:rsid w:val="00AD2ED0"/>
    <w:rsid w:val="00AD3F94"/>
    <w:rsid w:val="00AD4A5A"/>
    <w:rsid w:val="00AD7769"/>
    <w:rsid w:val="00AE10D6"/>
    <w:rsid w:val="00AE27AC"/>
    <w:rsid w:val="00AE2E9C"/>
    <w:rsid w:val="00AE40E0"/>
    <w:rsid w:val="00AE42E7"/>
    <w:rsid w:val="00AE4DBA"/>
    <w:rsid w:val="00AE4F07"/>
    <w:rsid w:val="00AE566A"/>
    <w:rsid w:val="00AE6BF5"/>
    <w:rsid w:val="00AE744E"/>
    <w:rsid w:val="00AF1B6D"/>
    <w:rsid w:val="00AF1C5D"/>
    <w:rsid w:val="00AF2A3E"/>
    <w:rsid w:val="00AF42D7"/>
    <w:rsid w:val="00AF68B3"/>
    <w:rsid w:val="00B006FE"/>
    <w:rsid w:val="00B007CB"/>
    <w:rsid w:val="00B00C82"/>
    <w:rsid w:val="00B01533"/>
    <w:rsid w:val="00B01E23"/>
    <w:rsid w:val="00B02AA9"/>
    <w:rsid w:val="00B02FA3"/>
    <w:rsid w:val="00B05084"/>
    <w:rsid w:val="00B11DE1"/>
    <w:rsid w:val="00B1235A"/>
    <w:rsid w:val="00B136E8"/>
    <w:rsid w:val="00B148F5"/>
    <w:rsid w:val="00B15320"/>
    <w:rsid w:val="00B1560F"/>
    <w:rsid w:val="00B157F9"/>
    <w:rsid w:val="00B15D82"/>
    <w:rsid w:val="00B169C4"/>
    <w:rsid w:val="00B1712B"/>
    <w:rsid w:val="00B1747B"/>
    <w:rsid w:val="00B1785D"/>
    <w:rsid w:val="00B20256"/>
    <w:rsid w:val="00B20D09"/>
    <w:rsid w:val="00B22605"/>
    <w:rsid w:val="00B24255"/>
    <w:rsid w:val="00B25268"/>
    <w:rsid w:val="00B25C37"/>
    <w:rsid w:val="00B273AB"/>
    <w:rsid w:val="00B2763F"/>
    <w:rsid w:val="00B27AAC"/>
    <w:rsid w:val="00B30929"/>
    <w:rsid w:val="00B34034"/>
    <w:rsid w:val="00B34375"/>
    <w:rsid w:val="00B34429"/>
    <w:rsid w:val="00B353D0"/>
    <w:rsid w:val="00B362E4"/>
    <w:rsid w:val="00B36410"/>
    <w:rsid w:val="00B372AA"/>
    <w:rsid w:val="00B37F8D"/>
    <w:rsid w:val="00B40445"/>
    <w:rsid w:val="00B409E0"/>
    <w:rsid w:val="00B40CAE"/>
    <w:rsid w:val="00B40E0B"/>
    <w:rsid w:val="00B414AF"/>
    <w:rsid w:val="00B4171C"/>
    <w:rsid w:val="00B41888"/>
    <w:rsid w:val="00B4488B"/>
    <w:rsid w:val="00B44C49"/>
    <w:rsid w:val="00B45A52"/>
    <w:rsid w:val="00B46175"/>
    <w:rsid w:val="00B46B17"/>
    <w:rsid w:val="00B548B7"/>
    <w:rsid w:val="00B55617"/>
    <w:rsid w:val="00B57CCB"/>
    <w:rsid w:val="00B57DE1"/>
    <w:rsid w:val="00B57E46"/>
    <w:rsid w:val="00B6237D"/>
    <w:rsid w:val="00B64514"/>
    <w:rsid w:val="00B664C7"/>
    <w:rsid w:val="00B67B87"/>
    <w:rsid w:val="00B71356"/>
    <w:rsid w:val="00B713D8"/>
    <w:rsid w:val="00B727CA"/>
    <w:rsid w:val="00B739F6"/>
    <w:rsid w:val="00B77206"/>
    <w:rsid w:val="00B80599"/>
    <w:rsid w:val="00B80AA4"/>
    <w:rsid w:val="00B80F09"/>
    <w:rsid w:val="00B81A6C"/>
    <w:rsid w:val="00B85122"/>
    <w:rsid w:val="00B85DE5"/>
    <w:rsid w:val="00B86AA0"/>
    <w:rsid w:val="00B90932"/>
    <w:rsid w:val="00B90F73"/>
    <w:rsid w:val="00B913C3"/>
    <w:rsid w:val="00B91FD0"/>
    <w:rsid w:val="00B93B59"/>
    <w:rsid w:val="00B9406A"/>
    <w:rsid w:val="00B941B9"/>
    <w:rsid w:val="00B94D9F"/>
    <w:rsid w:val="00BA11AF"/>
    <w:rsid w:val="00BA1562"/>
    <w:rsid w:val="00BA2280"/>
    <w:rsid w:val="00BA2A08"/>
    <w:rsid w:val="00BA515D"/>
    <w:rsid w:val="00BA56D2"/>
    <w:rsid w:val="00BA590D"/>
    <w:rsid w:val="00BA658E"/>
    <w:rsid w:val="00BA76E0"/>
    <w:rsid w:val="00BA7B76"/>
    <w:rsid w:val="00BB0A01"/>
    <w:rsid w:val="00BB0E10"/>
    <w:rsid w:val="00BB2A25"/>
    <w:rsid w:val="00BB2AF8"/>
    <w:rsid w:val="00BB302E"/>
    <w:rsid w:val="00BB4510"/>
    <w:rsid w:val="00BB4CDA"/>
    <w:rsid w:val="00BB51E9"/>
    <w:rsid w:val="00BB548B"/>
    <w:rsid w:val="00BB5965"/>
    <w:rsid w:val="00BB7EC2"/>
    <w:rsid w:val="00BC00D6"/>
    <w:rsid w:val="00BC0FDC"/>
    <w:rsid w:val="00BC16CF"/>
    <w:rsid w:val="00BC1B88"/>
    <w:rsid w:val="00BC3053"/>
    <w:rsid w:val="00BC4D2E"/>
    <w:rsid w:val="00BC5A0F"/>
    <w:rsid w:val="00BC6438"/>
    <w:rsid w:val="00BC7C49"/>
    <w:rsid w:val="00BD1B8B"/>
    <w:rsid w:val="00BD27E7"/>
    <w:rsid w:val="00BD2BB6"/>
    <w:rsid w:val="00BD48AC"/>
    <w:rsid w:val="00BD4C49"/>
    <w:rsid w:val="00BD5A8D"/>
    <w:rsid w:val="00BD5F1A"/>
    <w:rsid w:val="00BE0198"/>
    <w:rsid w:val="00BE0549"/>
    <w:rsid w:val="00BE0CC7"/>
    <w:rsid w:val="00BE1234"/>
    <w:rsid w:val="00BE2647"/>
    <w:rsid w:val="00BE2FA6"/>
    <w:rsid w:val="00BE333F"/>
    <w:rsid w:val="00BE46CC"/>
    <w:rsid w:val="00BE4E7B"/>
    <w:rsid w:val="00BE7406"/>
    <w:rsid w:val="00BE7603"/>
    <w:rsid w:val="00BF10AD"/>
    <w:rsid w:val="00BF3279"/>
    <w:rsid w:val="00BF3B8E"/>
    <w:rsid w:val="00BF5E9D"/>
    <w:rsid w:val="00BF60C3"/>
    <w:rsid w:val="00BF6C79"/>
    <w:rsid w:val="00BF74C7"/>
    <w:rsid w:val="00BF770D"/>
    <w:rsid w:val="00C00084"/>
    <w:rsid w:val="00C015F1"/>
    <w:rsid w:val="00C01A55"/>
    <w:rsid w:val="00C01C0C"/>
    <w:rsid w:val="00C01EE9"/>
    <w:rsid w:val="00C01F33"/>
    <w:rsid w:val="00C028D3"/>
    <w:rsid w:val="00C02A8F"/>
    <w:rsid w:val="00C02A9D"/>
    <w:rsid w:val="00C02CC6"/>
    <w:rsid w:val="00C040F7"/>
    <w:rsid w:val="00C044AB"/>
    <w:rsid w:val="00C0473C"/>
    <w:rsid w:val="00C04E91"/>
    <w:rsid w:val="00C0563F"/>
    <w:rsid w:val="00C05706"/>
    <w:rsid w:val="00C06636"/>
    <w:rsid w:val="00C07377"/>
    <w:rsid w:val="00C10478"/>
    <w:rsid w:val="00C11963"/>
    <w:rsid w:val="00C1199C"/>
    <w:rsid w:val="00C11B89"/>
    <w:rsid w:val="00C12062"/>
    <w:rsid w:val="00C12107"/>
    <w:rsid w:val="00C14209"/>
    <w:rsid w:val="00C145C1"/>
    <w:rsid w:val="00C14D4B"/>
    <w:rsid w:val="00C154BB"/>
    <w:rsid w:val="00C15F8C"/>
    <w:rsid w:val="00C16B01"/>
    <w:rsid w:val="00C17372"/>
    <w:rsid w:val="00C173B1"/>
    <w:rsid w:val="00C2074F"/>
    <w:rsid w:val="00C24D71"/>
    <w:rsid w:val="00C27558"/>
    <w:rsid w:val="00C279B5"/>
    <w:rsid w:val="00C27C45"/>
    <w:rsid w:val="00C31324"/>
    <w:rsid w:val="00C326A4"/>
    <w:rsid w:val="00C33FD8"/>
    <w:rsid w:val="00C37127"/>
    <w:rsid w:val="00C3719D"/>
    <w:rsid w:val="00C37CB2"/>
    <w:rsid w:val="00C41421"/>
    <w:rsid w:val="00C430A2"/>
    <w:rsid w:val="00C43339"/>
    <w:rsid w:val="00C44E83"/>
    <w:rsid w:val="00C44F81"/>
    <w:rsid w:val="00C45A75"/>
    <w:rsid w:val="00C45B88"/>
    <w:rsid w:val="00C46E6A"/>
    <w:rsid w:val="00C473A5"/>
    <w:rsid w:val="00C50F09"/>
    <w:rsid w:val="00C52105"/>
    <w:rsid w:val="00C5235E"/>
    <w:rsid w:val="00C53824"/>
    <w:rsid w:val="00C54843"/>
    <w:rsid w:val="00C54995"/>
    <w:rsid w:val="00C54D41"/>
    <w:rsid w:val="00C55240"/>
    <w:rsid w:val="00C557AC"/>
    <w:rsid w:val="00C601A3"/>
    <w:rsid w:val="00C6042E"/>
    <w:rsid w:val="00C60783"/>
    <w:rsid w:val="00C61D0A"/>
    <w:rsid w:val="00C62841"/>
    <w:rsid w:val="00C62B2B"/>
    <w:rsid w:val="00C64672"/>
    <w:rsid w:val="00C66780"/>
    <w:rsid w:val="00C70697"/>
    <w:rsid w:val="00C71B74"/>
    <w:rsid w:val="00C72093"/>
    <w:rsid w:val="00C72D0C"/>
    <w:rsid w:val="00C72EF4"/>
    <w:rsid w:val="00C73A35"/>
    <w:rsid w:val="00C744FE"/>
    <w:rsid w:val="00C74BED"/>
    <w:rsid w:val="00C75D2F"/>
    <w:rsid w:val="00C767BE"/>
    <w:rsid w:val="00C76E3C"/>
    <w:rsid w:val="00C76E7D"/>
    <w:rsid w:val="00C77ABA"/>
    <w:rsid w:val="00C81568"/>
    <w:rsid w:val="00C8170F"/>
    <w:rsid w:val="00C8176F"/>
    <w:rsid w:val="00C81975"/>
    <w:rsid w:val="00C81F04"/>
    <w:rsid w:val="00C835A8"/>
    <w:rsid w:val="00C835E8"/>
    <w:rsid w:val="00C873C7"/>
    <w:rsid w:val="00C9027A"/>
    <w:rsid w:val="00C9068E"/>
    <w:rsid w:val="00C91B64"/>
    <w:rsid w:val="00C93814"/>
    <w:rsid w:val="00C93C4B"/>
    <w:rsid w:val="00C941BC"/>
    <w:rsid w:val="00C944AB"/>
    <w:rsid w:val="00C9466D"/>
    <w:rsid w:val="00C9483B"/>
    <w:rsid w:val="00C951A3"/>
    <w:rsid w:val="00C95386"/>
    <w:rsid w:val="00C95B40"/>
    <w:rsid w:val="00C95F70"/>
    <w:rsid w:val="00CA0717"/>
    <w:rsid w:val="00CA1ECF"/>
    <w:rsid w:val="00CA1ED8"/>
    <w:rsid w:val="00CA3F94"/>
    <w:rsid w:val="00CA4A75"/>
    <w:rsid w:val="00CA554E"/>
    <w:rsid w:val="00CA656D"/>
    <w:rsid w:val="00CA6C48"/>
    <w:rsid w:val="00CA7771"/>
    <w:rsid w:val="00CA77C0"/>
    <w:rsid w:val="00CB0749"/>
    <w:rsid w:val="00CB09B8"/>
    <w:rsid w:val="00CB14BD"/>
    <w:rsid w:val="00CB1B75"/>
    <w:rsid w:val="00CB1F63"/>
    <w:rsid w:val="00CB3B9F"/>
    <w:rsid w:val="00CB5E84"/>
    <w:rsid w:val="00CB7170"/>
    <w:rsid w:val="00CB7346"/>
    <w:rsid w:val="00CB73AA"/>
    <w:rsid w:val="00CB7817"/>
    <w:rsid w:val="00CB7AE6"/>
    <w:rsid w:val="00CB7F92"/>
    <w:rsid w:val="00CC040E"/>
    <w:rsid w:val="00CC078B"/>
    <w:rsid w:val="00CC111F"/>
    <w:rsid w:val="00CC2011"/>
    <w:rsid w:val="00CC3BC6"/>
    <w:rsid w:val="00CC3EA0"/>
    <w:rsid w:val="00CC4AF3"/>
    <w:rsid w:val="00CC4E84"/>
    <w:rsid w:val="00CC5952"/>
    <w:rsid w:val="00CC6376"/>
    <w:rsid w:val="00CC7B45"/>
    <w:rsid w:val="00CD1188"/>
    <w:rsid w:val="00CD2ED1"/>
    <w:rsid w:val="00CD337B"/>
    <w:rsid w:val="00CD40CF"/>
    <w:rsid w:val="00CD5709"/>
    <w:rsid w:val="00CD6E97"/>
    <w:rsid w:val="00CE00C7"/>
    <w:rsid w:val="00CE027E"/>
    <w:rsid w:val="00CE0424"/>
    <w:rsid w:val="00CE23D2"/>
    <w:rsid w:val="00CE2E75"/>
    <w:rsid w:val="00CE7561"/>
    <w:rsid w:val="00CF00C9"/>
    <w:rsid w:val="00CF0E17"/>
    <w:rsid w:val="00CF1354"/>
    <w:rsid w:val="00CF3B1F"/>
    <w:rsid w:val="00CF3B3D"/>
    <w:rsid w:val="00CF3BF6"/>
    <w:rsid w:val="00CF5D3D"/>
    <w:rsid w:val="00CF625B"/>
    <w:rsid w:val="00CF687E"/>
    <w:rsid w:val="00D007FE"/>
    <w:rsid w:val="00D00B3F"/>
    <w:rsid w:val="00D0241C"/>
    <w:rsid w:val="00D026F5"/>
    <w:rsid w:val="00D02778"/>
    <w:rsid w:val="00D0349B"/>
    <w:rsid w:val="00D05053"/>
    <w:rsid w:val="00D05068"/>
    <w:rsid w:val="00D06CCF"/>
    <w:rsid w:val="00D10249"/>
    <w:rsid w:val="00D10AFE"/>
    <w:rsid w:val="00D1106A"/>
    <w:rsid w:val="00D111C4"/>
    <w:rsid w:val="00D115C3"/>
    <w:rsid w:val="00D11855"/>
    <w:rsid w:val="00D11897"/>
    <w:rsid w:val="00D13135"/>
    <w:rsid w:val="00D13983"/>
    <w:rsid w:val="00D13D76"/>
    <w:rsid w:val="00D13E4E"/>
    <w:rsid w:val="00D15C6F"/>
    <w:rsid w:val="00D20931"/>
    <w:rsid w:val="00D2204D"/>
    <w:rsid w:val="00D239A7"/>
    <w:rsid w:val="00D23ADC"/>
    <w:rsid w:val="00D23CA5"/>
    <w:rsid w:val="00D23F47"/>
    <w:rsid w:val="00D26441"/>
    <w:rsid w:val="00D3002D"/>
    <w:rsid w:val="00D30E13"/>
    <w:rsid w:val="00D347E2"/>
    <w:rsid w:val="00D35EBA"/>
    <w:rsid w:val="00D36E71"/>
    <w:rsid w:val="00D36FF7"/>
    <w:rsid w:val="00D37D87"/>
    <w:rsid w:val="00D4029D"/>
    <w:rsid w:val="00D40B33"/>
    <w:rsid w:val="00D41A95"/>
    <w:rsid w:val="00D4279F"/>
    <w:rsid w:val="00D4318F"/>
    <w:rsid w:val="00D438BF"/>
    <w:rsid w:val="00D440F8"/>
    <w:rsid w:val="00D443AD"/>
    <w:rsid w:val="00D454AD"/>
    <w:rsid w:val="00D45663"/>
    <w:rsid w:val="00D5195F"/>
    <w:rsid w:val="00D52397"/>
    <w:rsid w:val="00D53416"/>
    <w:rsid w:val="00D53854"/>
    <w:rsid w:val="00D546FF"/>
    <w:rsid w:val="00D55AD5"/>
    <w:rsid w:val="00D576CA"/>
    <w:rsid w:val="00D61505"/>
    <w:rsid w:val="00D61AF5"/>
    <w:rsid w:val="00D62602"/>
    <w:rsid w:val="00D652B5"/>
    <w:rsid w:val="00D66155"/>
    <w:rsid w:val="00D67BB2"/>
    <w:rsid w:val="00D708B0"/>
    <w:rsid w:val="00D71970"/>
    <w:rsid w:val="00D725D5"/>
    <w:rsid w:val="00D72C6A"/>
    <w:rsid w:val="00D7686B"/>
    <w:rsid w:val="00D77B1D"/>
    <w:rsid w:val="00D77B7B"/>
    <w:rsid w:val="00D8021F"/>
    <w:rsid w:val="00D80383"/>
    <w:rsid w:val="00D823C6"/>
    <w:rsid w:val="00D82DEA"/>
    <w:rsid w:val="00D8327F"/>
    <w:rsid w:val="00D83A7F"/>
    <w:rsid w:val="00D854F3"/>
    <w:rsid w:val="00D86CA3"/>
    <w:rsid w:val="00D871CE"/>
    <w:rsid w:val="00D9196D"/>
    <w:rsid w:val="00D92982"/>
    <w:rsid w:val="00D93DD9"/>
    <w:rsid w:val="00D93F10"/>
    <w:rsid w:val="00D93FBF"/>
    <w:rsid w:val="00D972E7"/>
    <w:rsid w:val="00D97F48"/>
    <w:rsid w:val="00DA0A89"/>
    <w:rsid w:val="00DA1FAC"/>
    <w:rsid w:val="00DA22AF"/>
    <w:rsid w:val="00DA293B"/>
    <w:rsid w:val="00DA305E"/>
    <w:rsid w:val="00DA39F4"/>
    <w:rsid w:val="00DA5417"/>
    <w:rsid w:val="00DA56E8"/>
    <w:rsid w:val="00DA62F8"/>
    <w:rsid w:val="00DA6BE1"/>
    <w:rsid w:val="00DA78A7"/>
    <w:rsid w:val="00DB0A9F"/>
    <w:rsid w:val="00DB2BE9"/>
    <w:rsid w:val="00DB377D"/>
    <w:rsid w:val="00DB39E3"/>
    <w:rsid w:val="00DB5636"/>
    <w:rsid w:val="00DB594F"/>
    <w:rsid w:val="00DB6DCD"/>
    <w:rsid w:val="00DB7D69"/>
    <w:rsid w:val="00DC25E0"/>
    <w:rsid w:val="00DC2D36"/>
    <w:rsid w:val="00DC4E5A"/>
    <w:rsid w:val="00DC5019"/>
    <w:rsid w:val="00DC53EF"/>
    <w:rsid w:val="00DC54B6"/>
    <w:rsid w:val="00DC755D"/>
    <w:rsid w:val="00DD0DA8"/>
    <w:rsid w:val="00DD0F3C"/>
    <w:rsid w:val="00DD2ED9"/>
    <w:rsid w:val="00DD4EB7"/>
    <w:rsid w:val="00DD56D4"/>
    <w:rsid w:val="00DD7112"/>
    <w:rsid w:val="00DE136D"/>
    <w:rsid w:val="00DE1955"/>
    <w:rsid w:val="00DE5608"/>
    <w:rsid w:val="00DE58D0"/>
    <w:rsid w:val="00DE6025"/>
    <w:rsid w:val="00DE654F"/>
    <w:rsid w:val="00DF0B6E"/>
    <w:rsid w:val="00DF15E0"/>
    <w:rsid w:val="00DF1782"/>
    <w:rsid w:val="00DF2804"/>
    <w:rsid w:val="00DF37A0"/>
    <w:rsid w:val="00DF3AB3"/>
    <w:rsid w:val="00DF5147"/>
    <w:rsid w:val="00DF61B8"/>
    <w:rsid w:val="00DF69F0"/>
    <w:rsid w:val="00DF72E3"/>
    <w:rsid w:val="00DF7F71"/>
    <w:rsid w:val="00E01E09"/>
    <w:rsid w:val="00E055B0"/>
    <w:rsid w:val="00E06BF2"/>
    <w:rsid w:val="00E110E7"/>
    <w:rsid w:val="00E11B20"/>
    <w:rsid w:val="00E12531"/>
    <w:rsid w:val="00E140D1"/>
    <w:rsid w:val="00E15761"/>
    <w:rsid w:val="00E16AAE"/>
    <w:rsid w:val="00E17FA2"/>
    <w:rsid w:val="00E20CD3"/>
    <w:rsid w:val="00E22330"/>
    <w:rsid w:val="00E22687"/>
    <w:rsid w:val="00E25314"/>
    <w:rsid w:val="00E25CB8"/>
    <w:rsid w:val="00E270E8"/>
    <w:rsid w:val="00E275D7"/>
    <w:rsid w:val="00E27E1E"/>
    <w:rsid w:val="00E30B5A"/>
    <w:rsid w:val="00E3123D"/>
    <w:rsid w:val="00E31461"/>
    <w:rsid w:val="00E31D43"/>
    <w:rsid w:val="00E32608"/>
    <w:rsid w:val="00E33AA6"/>
    <w:rsid w:val="00E34188"/>
    <w:rsid w:val="00E34B6E"/>
    <w:rsid w:val="00E35559"/>
    <w:rsid w:val="00E371CF"/>
    <w:rsid w:val="00E3723A"/>
    <w:rsid w:val="00E37553"/>
    <w:rsid w:val="00E37860"/>
    <w:rsid w:val="00E41557"/>
    <w:rsid w:val="00E42348"/>
    <w:rsid w:val="00E42A45"/>
    <w:rsid w:val="00E446F1"/>
    <w:rsid w:val="00E450CA"/>
    <w:rsid w:val="00E46886"/>
    <w:rsid w:val="00E47AEF"/>
    <w:rsid w:val="00E47C33"/>
    <w:rsid w:val="00E50582"/>
    <w:rsid w:val="00E51226"/>
    <w:rsid w:val="00E51D65"/>
    <w:rsid w:val="00E527AC"/>
    <w:rsid w:val="00E53B75"/>
    <w:rsid w:val="00E53ED5"/>
    <w:rsid w:val="00E54E3B"/>
    <w:rsid w:val="00E57565"/>
    <w:rsid w:val="00E5757F"/>
    <w:rsid w:val="00E57BE0"/>
    <w:rsid w:val="00E62598"/>
    <w:rsid w:val="00E63838"/>
    <w:rsid w:val="00E63911"/>
    <w:rsid w:val="00E64434"/>
    <w:rsid w:val="00E646E8"/>
    <w:rsid w:val="00E6491C"/>
    <w:rsid w:val="00E64E3C"/>
    <w:rsid w:val="00E66D48"/>
    <w:rsid w:val="00E67C51"/>
    <w:rsid w:val="00E67D96"/>
    <w:rsid w:val="00E67E11"/>
    <w:rsid w:val="00E7031A"/>
    <w:rsid w:val="00E70DD3"/>
    <w:rsid w:val="00E7116F"/>
    <w:rsid w:val="00E72EFC"/>
    <w:rsid w:val="00E755B1"/>
    <w:rsid w:val="00E758EC"/>
    <w:rsid w:val="00E80D7F"/>
    <w:rsid w:val="00E820DE"/>
    <w:rsid w:val="00E8234C"/>
    <w:rsid w:val="00E82DCE"/>
    <w:rsid w:val="00E83AA9"/>
    <w:rsid w:val="00E858DA"/>
    <w:rsid w:val="00E85928"/>
    <w:rsid w:val="00E86D2B"/>
    <w:rsid w:val="00E87822"/>
    <w:rsid w:val="00E90395"/>
    <w:rsid w:val="00E90E49"/>
    <w:rsid w:val="00E917F9"/>
    <w:rsid w:val="00E9291C"/>
    <w:rsid w:val="00E93739"/>
    <w:rsid w:val="00E93FFE"/>
    <w:rsid w:val="00E94BE3"/>
    <w:rsid w:val="00E94D50"/>
    <w:rsid w:val="00E94F8A"/>
    <w:rsid w:val="00E96E87"/>
    <w:rsid w:val="00EA1953"/>
    <w:rsid w:val="00EA2637"/>
    <w:rsid w:val="00EA2ECC"/>
    <w:rsid w:val="00EA3E14"/>
    <w:rsid w:val="00EA6AF4"/>
    <w:rsid w:val="00EA6FEF"/>
    <w:rsid w:val="00EA772D"/>
    <w:rsid w:val="00EA7A41"/>
    <w:rsid w:val="00EB0659"/>
    <w:rsid w:val="00EB077B"/>
    <w:rsid w:val="00EB0A4A"/>
    <w:rsid w:val="00EB4EA2"/>
    <w:rsid w:val="00EB7148"/>
    <w:rsid w:val="00EB7A45"/>
    <w:rsid w:val="00EC1E9B"/>
    <w:rsid w:val="00EC24D5"/>
    <w:rsid w:val="00EC27C6"/>
    <w:rsid w:val="00EC2CC2"/>
    <w:rsid w:val="00EC3866"/>
    <w:rsid w:val="00EC38A8"/>
    <w:rsid w:val="00EC3CB1"/>
    <w:rsid w:val="00EC4207"/>
    <w:rsid w:val="00EC4EC5"/>
    <w:rsid w:val="00EC5653"/>
    <w:rsid w:val="00EC5709"/>
    <w:rsid w:val="00EC5789"/>
    <w:rsid w:val="00EC6087"/>
    <w:rsid w:val="00EC71CE"/>
    <w:rsid w:val="00ED1006"/>
    <w:rsid w:val="00ED58D2"/>
    <w:rsid w:val="00EE32ED"/>
    <w:rsid w:val="00EE4652"/>
    <w:rsid w:val="00EE532C"/>
    <w:rsid w:val="00EE634E"/>
    <w:rsid w:val="00EE7B28"/>
    <w:rsid w:val="00EF18FE"/>
    <w:rsid w:val="00EF3BB0"/>
    <w:rsid w:val="00EF451F"/>
    <w:rsid w:val="00EF5355"/>
    <w:rsid w:val="00EF5787"/>
    <w:rsid w:val="00EF60D0"/>
    <w:rsid w:val="00EF78EA"/>
    <w:rsid w:val="00F01B61"/>
    <w:rsid w:val="00F02640"/>
    <w:rsid w:val="00F0337B"/>
    <w:rsid w:val="00F0528D"/>
    <w:rsid w:val="00F06BE2"/>
    <w:rsid w:val="00F06C67"/>
    <w:rsid w:val="00F06DFD"/>
    <w:rsid w:val="00F071D1"/>
    <w:rsid w:val="00F0720A"/>
    <w:rsid w:val="00F07533"/>
    <w:rsid w:val="00F10629"/>
    <w:rsid w:val="00F10B65"/>
    <w:rsid w:val="00F12040"/>
    <w:rsid w:val="00F13791"/>
    <w:rsid w:val="00F13F84"/>
    <w:rsid w:val="00F14D95"/>
    <w:rsid w:val="00F15FA5"/>
    <w:rsid w:val="00F209B7"/>
    <w:rsid w:val="00F2376F"/>
    <w:rsid w:val="00F243D8"/>
    <w:rsid w:val="00F25CA8"/>
    <w:rsid w:val="00F25EB6"/>
    <w:rsid w:val="00F2658F"/>
    <w:rsid w:val="00F3079E"/>
    <w:rsid w:val="00F30828"/>
    <w:rsid w:val="00F30EC8"/>
    <w:rsid w:val="00F313D6"/>
    <w:rsid w:val="00F32227"/>
    <w:rsid w:val="00F33E87"/>
    <w:rsid w:val="00F33F70"/>
    <w:rsid w:val="00F35DEA"/>
    <w:rsid w:val="00F40B79"/>
    <w:rsid w:val="00F40F0C"/>
    <w:rsid w:val="00F417EC"/>
    <w:rsid w:val="00F429BC"/>
    <w:rsid w:val="00F47636"/>
    <w:rsid w:val="00F4766C"/>
    <w:rsid w:val="00F47C2A"/>
    <w:rsid w:val="00F47F21"/>
    <w:rsid w:val="00F5060E"/>
    <w:rsid w:val="00F507D1"/>
    <w:rsid w:val="00F50DB6"/>
    <w:rsid w:val="00F51695"/>
    <w:rsid w:val="00F519CE"/>
    <w:rsid w:val="00F51ADA"/>
    <w:rsid w:val="00F56C69"/>
    <w:rsid w:val="00F57D88"/>
    <w:rsid w:val="00F57E15"/>
    <w:rsid w:val="00F60203"/>
    <w:rsid w:val="00F607C5"/>
    <w:rsid w:val="00F60DEA"/>
    <w:rsid w:val="00F61EE5"/>
    <w:rsid w:val="00F61FFB"/>
    <w:rsid w:val="00F622C8"/>
    <w:rsid w:val="00F6302A"/>
    <w:rsid w:val="00F63681"/>
    <w:rsid w:val="00F63950"/>
    <w:rsid w:val="00F6477A"/>
    <w:rsid w:val="00F64AA1"/>
    <w:rsid w:val="00F64C2B"/>
    <w:rsid w:val="00F651BE"/>
    <w:rsid w:val="00F6545C"/>
    <w:rsid w:val="00F67085"/>
    <w:rsid w:val="00F67F08"/>
    <w:rsid w:val="00F67F53"/>
    <w:rsid w:val="00F703BE"/>
    <w:rsid w:val="00F71F69"/>
    <w:rsid w:val="00F72696"/>
    <w:rsid w:val="00F72B72"/>
    <w:rsid w:val="00F7319A"/>
    <w:rsid w:val="00F74BB9"/>
    <w:rsid w:val="00F75582"/>
    <w:rsid w:val="00F75CB5"/>
    <w:rsid w:val="00F76BAF"/>
    <w:rsid w:val="00F76C0F"/>
    <w:rsid w:val="00F76EFA"/>
    <w:rsid w:val="00F7716B"/>
    <w:rsid w:val="00F804BE"/>
    <w:rsid w:val="00F81401"/>
    <w:rsid w:val="00F817CE"/>
    <w:rsid w:val="00F81A18"/>
    <w:rsid w:val="00F81EA3"/>
    <w:rsid w:val="00F8344C"/>
    <w:rsid w:val="00F8456C"/>
    <w:rsid w:val="00F84B3D"/>
    <w:rsid w:val="00F8523A"/>
    <w:rsid w:val="00F859D8"/>
    <w:rsid w:val="00F868F5"/>
    <w:rsid w:val="00F9056A"/>
    <w:rsid w:val="00F90F8D"/>
    <w:rsid w:val="00F92782"/>
    <w:rsid w:val="00F93848"/>
    <w:rsid w:val="00F93AA9"/>
    <w:rsid w:val="00F96985"/>
    <w:rsid w:val="00F96AEE"/>
    <w:rsid w:val="00F97838"/>
    <w:rsid w:val="00F97C06"/>
    <w:rsid w:val="00FA0C6D"/>
    <w:rsid w:val="00FA18A7"/>
    <w:rsid w:val="00FA20CD"/>
    <w:rsid w:val="00FA2BB3"/>
    <w:rsid w:val="00FA3527"/>
    <w:rsid w:val="00FA389D"/>
    <w:rsid w:val="00FA3C3D"/>
    <w:rsid w:val="00FA4708"/>
    <w:rsid w:val="00FA5A24"/>
    <w:rsid w:val="00FB03CC"/>
    <w:rsid w:val="00FB3855"/>
    <w:rsid w:val="00FB3CA1"/>
    <w:rsid w:val="00FB4C80"/>
    <w:rsid w:val="00FB6A6A"/>
    <w:rsid w:val="00FB7653"/>
    <w:rsid w:val="00FC0338"/>
    <w:rsid w:val="00FC3B37"/>
    <w:rsid w:val="00FC5E1C"/>
    <w:rsid w:val="00FC738E"/>
    <w:rsid w:val="00FC7429"/>
    <w:rsid w:val="00FC795E"/>
    <w:rsid w:val="00FD038A"/>
    <w:rsid w:val="00FD07F6"/>
    <w:rsid w:val="00FD1B05"/>
    <w:rsid w:val="00FD1CAD"/>
    <w:rsid w:val="00FD1EC8"/>
    <w:rsid w:val="00FD3995"/>
    <w:rsid w:val="00FD47ED"/>
    <w:rsid w:val="00FD7236"/>
    <w:rsid w:val="00FD74DB"/>
    <w:rsid w:val="00FD7660"/>
    <w:rsid w:val="00FE0655"/>
    <w:rsid w:val="00FE2365"/>
    <w:rsid w:val="00FE29E1"/>
    <w:rsid w:val="00FE2F41"/>
    <w:rsid w:val="00FE37D7"/>
    <w:rsid w:val="00FE41E6"/>
    <w:rsid w:val="00FE4C7B"/>
    <w:rsid w:val="00FE7336"/>
    <w:rsid w:val="00FE787C"/>
    <w:rsid w:val="00FF15B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3D655920-D150-4FF4-A87B-931DE160C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ing 2 3GPP,Head2A,2,UNDERRUBRIK 1-2,h2 Char"/>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h2 Char1,DO NOT USE_h2 Char,h21 Char,Heading 2 3GPP Char,Head2A Char,2 Char,UNDERRUBRIK 1-2 Char,h2 Char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SGS Table Basic 1"/>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231C2A"/>
    <w:rPr>
      <w:color w:val="605E5C"/>
      <w:shd w:val="clear" w:color="auto" w:fill="E1DFDD"/>
    </w:rPr>
  </w:style>
  <w:style w:type="paragraph" w:styleId="Revision">
    <w:name w:val="Revision"/>
    <w:hidden/>
    <w:uiPriority w:val="99"/>
    <w:semiHidden/>
    <w:rsid w:val="000902FA"/>
    <w:rPr>
      <w:rFonts w:ascii="Arial" w:eastAsiaTheme="minorHAnsi" w:hAnsi="Arial" w:cstheme="minorBidi"/>
      <w:szCs w:val="22"/>
      <w:lang w:val="en-US" w:eastAsia="en-US"/>
    </w:rPr>
  </w:style>
  <w:style w:type="character" w:styleId="Mention">
    <w:name w:val="Mention"/>
    <w:basedOn w:val="DefaultParagraphFont"/>
    <w:uiPriority w:val="99"/>
    <w:unhideWhenUsed/>
    <w:rsid w:val="00BB548B"/>
    <w:rPr>
      <w:color w:val="2B579A"/>
      <w:shd w:val="clear" w:color="auto" w:fill="E1DFDD"/>
    </w:rPr>
  </w:style>
  <w:style w:type="character" w:customStyle="1" w:styleId="TACChar">
    <w:name w:val="TAC Char"/>
    <w:link w:val="TAC"/>
    <w:qFormat/>
    <w:rsid w:val="00D30E13"/>
    <w:rPr>
      <w:rFonts w:ascii="Arial" w:eastAsiaTheme="minorHAnsi" w:hAnsi="Arial" w:cstheme="minorBidi"/>
      <w:sz w:val="18"/>
      <w:szCs w:val="22"/>
      <w:lang w:val="x-none" w:eastAsia="x-none"/>
    </w:rPr>
  </w:style>
  <w:style w:type="character" w:customStyle="1" w:styleId="TANChar">
    <w:name w:val="TAN Char"/>
    <w:link w:val="TAN"/>
    <w:qFormat/>
    <w:rsid w:val="0024136B"/>
    <w:rPr>
      <w:rFonts w:ascii="Arial" w:eastAsiaTheme="minorHAnsi" w:hAnsi="Arial" w:cstheme="minorBidi"/>
      <w:sz w:val="18"/>
      <w:szCs w:val="22"/>
      <w:lang w:val="x-none" w:eastAsia="x-none"/>
    </w:rPr>
  </w:style>
  <w:style w:type="character" w:customStyle="1" w:styleId="B1Char">
    <w:name w:val="B1 Char"/>
    <w:qFormat/>
    <w:rsid w:val="004858A2"/>
    <w:rPr>
      <w:rFonts w:eastAsia="Times New Roman"/>
      <w:lang w:eastAsia="en-GB"/>
    </w:rPr>
  </w:style>
  <w:style w:type="paragraph" w:customStyle="1" w:styleId="Agreement">
    <w:name w:val="Agreement"/>
    <w:basedOn w:val="Normal"/>
    <w:next w:val="Doc-text2"/>
    <w:uiPriority w:val="99"/>
    <w:qFormat/>
    <w:rsid w:val="001300B1"/>
    <w:pPr>
      <w:numPr>
        <w:numId w:val="44"/>
      </w:numPr>
      <w:spacing w:before="60" w:after="0" w:line="240" w:lineRule="auto"/>
    </w:pPr>
    <w:rPr>
      <w:rFonts w:eastAsia="MS Mincho" w:cs="Times New Roman"/>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28335">
      <w:bodyDiv w:val="1"/>
      <w:marLeft w:val="0"/>
      <w:marRight w:val="0"/>
      <w:marTop w:val="0"/>
      <w:marBottom w:val="0"/>
      <w:divBdr>
        <w:top w:val="none" w:sz="0" w:space="0" w:color="auto"/>
        <w:left w:val="none" w:sz="0" w:space="0" w:color="auto"/>
        <w:bottom w:val="none" w:sz="0" w:space="0" w:color="auto"/>
        <w:right w:val="none" w:sz="0" w:space="0" w:color="auto"/>
      </w:divBdr>
    </w:div>
    <w:div w:id="178930417">
      <w:bodyDiv w:val="1"/>
      <w:marLeft w:val="0"/>
      <w:marRight w:val="0"/>
      <w:marTop w:val="0"/>
      <w:marBottom w:val="0"/>
      <w:divBdr>
        <w:top w:val="none" w:sz="0" w:space="0" w:color="auto"/>
        <w:left w:val="none" w:sz="0" w:space="0" w:color="auto"/>
        <w:bottom w:val="none" w:sz="0" w:space="0" w:color="auto"/>
        <w:right w:val="none" w:sz="0" w:space="0" w:color="auto"/>
      </w:divBdr>
    </w:div>
    <w:div w:id="234899155">
      <w:bodyDiv w:val="1"/>
      <w:marLeft w:val="0"/>
      <w:marRight w:val="0"/>
      <w:marTop w:val="0"/>
      <w:marBottom w:val="0"/>
      <w:divBdr>
        <w:top w:val="none" w:sz="0" w:space="0" w:color="auto"/>
        <w:left w:val="none" w:sz="0" w:space="0" w:color="auto"/>
        <w:bottom w:val="none" w:sz="0" w:space="0" w:color="auto"/>
        <w:right w:val="none" w:sz="0" w:space="0" w:color="auto"/>
      </w:divBdr>
    </w:div>
    <w:div w:id="281769510">
      <w:bodyDiv w:val="1"/>
      <w:marLeft w:val="0"/>
      <w:marRight w:val="0"/>
      <w:marTop w:val="0"/>
      <w:marBottom w:val="0"/>
      <w:divBdr>
        <w:top w:val="none" w:sz="0" w:space="0" w:color="auto"/>
        <w:left w:val="none" w:sz="0" w:space="0" w:color="auto"/>
        <w:bottom w:val="none" w:sz="0" w:space="0" w:color="auto"/>
        <w:right w:val="none" w:sz="0" w:space="0" w:color="auto"/>
      </w:divBdr>
    </w:div>
    <w:div w:id="300383302">
      <w:bodyDiv w:val="1"/>
      <w:marLeft w:val="0"/>
      <w:marRight w:val="0"/>
      <w:marTop w:val="0"/>
      <w:marBottom w:val="0"/>
      <w:divBdr>
        <w:top w:val="none" w:sz="0" w:space="0" w:color="auto"/>
        <w:left w:val="none" w:sz="0" w:space="0" w:color="auto"/>
        <w:bottom w:val="none" w:sz="0" w:space="0" w:color="auto"/>
        <w:right w:val="none" w:sz="0" w:space="0" w:color="auto"/>
      </w:divBdr>
    </w:div>
    <w:div w:id="308560588">
      <w:bodyDiv w:val="1"/>
      <w:marLeft w:val="0"/>
      <w:marRight w:val="0"/>
      <w:marTop w:val="0"/>
      <w:marBottom w:val="0"/>
      <w:divBdr>
        <w:top w:val="none" w:sz="0" w:space="0" w:color="auto"/>
        <w:left w:val="none" w:sz="0" w:space="0" w:color="auto"/>
        <w:bottom w:val="none" w:sz="0" w:space="0" w:color="auto"/>
        <w:right w:val="none" w:sz="0" w:space="0" w:color="auto"/>
      </w:divBdr>
    </w:div>
    <w:div w:id="466706432">
      <w:bodyDiv w:val="1"/>
      <w:marLeft w:val="0"/>
      <w:marRight w:val="0"/>
      <w:marTop w:val="0"/>
      <w:marBottom w:val="0"/>
      <w:divBdr>
        <w:top w:val="none" w:sz="0" w:space="0" w:color="auto"/>
        <w:left w:val="none" w:sz="0" w:space="0" w:color="auto"/>
        <w:bottom w:val="none" w:sz="0" w:space="0" w:color="auto"/>
        <w:right w:val="none" w:sz="0" w:space="0" w:color="auto"/>
      </w:divBdr>
      <w:divsChild>
        <w:div w:id="920990197">
          <w:marLeft w:val="1627"/>
          <w:marRight w:val="0"/>
          <w:marTop w:val="86"/>
          <w:marBottom w:val="0"/>
          <w:divBdr>
            <w:top w:val="none" w:sz="0" w:space="0" w:color="auto"/>
            <w:left w:val="none" w:sz="0" w:space="0" w:color="auto"/>
            <w:bottom w:val="none" w:sz="0" w:space="0" w:color="auto"/>
            <w:right w:val="none" w:sz="0" w:space="0" w:color="auto"/>
          </w:divBdr>
        </w:div>
      </w:divsChild>
    </w:div>
    <w:div w:id="511838684">
      <w:bodyDiv w:val="1"/>
      <w:marLeft w:val="0"/>
      <w:marRight w:val="0"/>
      <w:marTop w:val="0"/>
      <w:marBottom w:val="0"/>
      <w:divBdr>
        <w:top w:val="none" w:sz="0" w:space="0" w:color="auto"/>
        <w:left w:val="none" w:sz="0" w:space="0" w:color="auto"/>
        <w:bottom w:val="none" w:sz="0" w:space="0" w:color="auto"/>
        <w:right w:val="none" w:sz="0" w:space="0" w:color="auto"/>
      </w:divBdr>
    </w:div>
    <w:div w:id="537813451">
      <w:bodyDiv w:val="1"/>
      <w:marLeft w:val="0"/>
      <w:marRight w:val="0"/>
      <w:marTop w:val="0"/>
      <w:marBottom w:val="0"/>
      <w:divBdr>
        <w:top w:val="none" w:sz="0" w:space="0" w:color="auto"/>
        <w:left w:val="none" w:sz="0" w:space="0" w:color="auto"/>
        <w:bottom w:val="none" w:sz="0" w:space="0" w:color="auto"/>
        <w:right w:val="none" w:sz="0" w:space="0" w:color="auto"/>
      </w:divBdr>
    </w:div>
    <w:div w:id="537862284">
      <w:bodyDiv w:val="1"/>
      <w:marLeft w:val="0"/>
      <w:marRight w:val="0"/>
      <w:marTop w:val="0"/>
      <w:marBottom w:val="0"/>
      <w:divBdr>
        <w:top w:val="none" w:sz="0" w:space="0" w:color="auto"/>
        <w:left w:val="none" w:sz="0" w:space="0" w:color="auto"/>
        <w:bottom w:val="none" w:sz="0" w:space="0" w:color="auto"/>
        <w:right w:val="none" w:sz="0" w:space="0" w:color="auto"/>
      </w:divBdr>
    </w:div>
    <w:div w:id="617108730">
      <w:bodyDiv w:val="1"/>
      <w:marLeft w:val="0"/>
      <w:marRight w:val="0"/>
      <w:marTop w:val="0"/>
      <w:marBottom w:val="0"/>
      <w:divBdr>
        <w:top w:val="none" w:sz="0" w:space="0" w:color="auto"/>
        <w:left w:val="none" w:sz="0" w:space="0" w:color="auto"/>
        <w:bottom w:val="none" w:sz="0" w:space="0" w:color="auto"/>
        <w:right w:val="none" w:sz="0" w:space="0" w:color="auto"/>
      </w:divBdr>
    </w:div>
    <w:div w:id="738291222">
      <w:bodyDiv w:val="1"/>
      <w:marLeft w:val="0"/>
      <w:marRight w:val="0"/>
      <w:marTop w:val="0"/>
      <w:marBottom w:val="0"/>
      <w:divBdr>
        <w:top w:val="none" w:sz="0" w:space="0" w:color="auto"/>
        <w:left w:val="none" w:sz="0" w:space="0" w:color="auto"/>
        <w:bottom w:val="none" w:sz="0" w:space="0" w:color="auto"/>
        <w:right w:val="none" w:sz="0" w:space="0" w:color="auto"/>
      </w:divBdr>
    </w:div>
    <w:div w:id="741367216">
      <w:bodyDiv w:val="1"/>
      <w:marLeft w:val="0"/>
      <w:marRight w:val="0"/>
      <w:marTop w:val="0"/>
      <w:marBottom w:val="0"/>
      <w:divBdr>
        <w:top w:val="none" w:sz="0" w:space="0" w:color="auto"/>
        <w:left w:val="none" w:sz="0" w:space="0" w:color="auto"/>
        <w:bottom w:val="none" w:sz="0" w:space="0" w:color="auto"/>
        <w:right w:val="none" w:sz="0" w:space="0" w:color="auto"/>
      </w:divBdr>
    </w:div>
    <w:div w:id="846287134">
      <w:bodyDiv w:val="1"/>
      <w:marLeft w:val="0"/>
      <w:marRight w:val="0"/>
      <w:marTop w:val="0"/>
      <w:marBottom w:val="0"/>
      <w:divBdr>
        <w:top w:val="none" w:sz="0" w:space="0" w:color="auto"/>
        <w:left w:val="none" w:sz="0" w:space="0" w:color="auto"/>
        <w:bottom w:val="none" w:sz="0" w:space="0" w:color="auto"/>
        <w:right w:val="none" w:sz="0" w:space="0" w:color="auto"/>
      </w:divBdr>
    </w:div>
    <w:div w:id="913586792">
      <w:bodyDiv w:val="1"/>
      <w:marLeft w:val="0"/>
      <w:marRight w:val="0"/>
      <w:marTop w:val="0"/>
      <w:marBottom w:val="0"/>
      <w:divBdr>
        <w:top w:val="none" w:sz="0" w:space="0" w:color="auto"/>
        <w:left w:val="none" w:sz="0" w:space="0" w:color="auto"/>
        <w:bottom w:val="none" w:sz="0" w:space="0" w:color="auto"/>
        <w:right w:val="none" w:sz="0" w:space="0" w:color="auto"/>
      </w:divBdr>
    </w:div>
    <w:div w:id="1004547972">
      <w:bodyDiv w:val="1"/>
      <w:marLeft w:val="0"/>
      <w:marRight w:val="0"/>
      <w:marTop w:val="0"/>
      <w:marBottom w:val="0"/>
      <w:divBdr>
        <w:top w:val="none" w:sz="0" w:space="0" w:color="auto"/>
        <w:left w:val="none" w:sz="0" w:space="0" w:color="auto"/>
        <w:bottom w:val="none" w:sz="0" w:space="0" w:color="auto"/>
        <w:right w:val="none" w:sz="0" w:space="0" w:color="auto"/>
      </w:divBdr>
    </w:div>
    <w:div w:id="1259411732">
      <w:bodyDiv w:val="1"/>
      <w:marLeft w:val="0"/>
      <w:marRight w:val="0"/>
      <w:marTop w:val="0"/>
      <w:marBottom w:val="0"/>
      <w:divBdr>
        <w:top w:val="none" w:sz="0" w:space="0" w:color="auto"/>
        <w:left w:val="none" w:sz="0" w:space="0" w:color="auto"/>
        <w:bottom w:val="none" w:sz="0" w:space="0" w:color="auto"/>
        <w:right w:val="none" w:sz="0" w:space="0" w:color="auto"/>
      </w:divBdr>
    </w:div>
    <w:div w:id="1387796269">
      <w:bodyDiv w:val="1"/>
      <w:marLeft w:val="0"/>
      <w:marRight w:val="0"/>
      <w:marTop w:val="0"/>
      <w:marBottom w:val="0"/>
      <w:divBdr>
        <w:top w:val="none" w:sz="0" w:space="0" w:color="auto"/>
        <w:left w:val="none" w:sz="0" w:space="0" w:color="auto"/>
        <w:bottom w:val="none" w:sz="0" w:space="0" w:color="auto"/>
        <w:right w:val="none" w:sz="0" w:space="0" w:color="auto"/>
      </w:divBdr>
    </w:div>
    <w:div w:id="1512918200">
      <w:bodyDiv w:val="1"/>
      <w:marLeft w:val="0"/>
      <w:marRight w:val="0"/>
      <w:marTop w:val="0"/>
      <w:marBottom w:val="0"/>
      <w:divBdr>
        <w:top w:val="none" w:sz="0" w:space="0" w:color="auto"/>
        <w:left w:val="none" w:sz="0" w:space="0" w:color="auto"/>
        <w:bottom w:val="none" w:sz="0" w:space="0" w:color="auto"/>
        <w:right w:val="none" w:sz="0" w:space="0" w:color="auto"/>
      </w:divBdr>
    </w:div>
    <w:div w:id="1664774344">
      <w:bodyDiv w:val="1"/>
      <w:marLeft w:val="0"/>
      <w:marRight w:val="0"/>
      <w:marTop w:val="0"/>
      <w:marBottom w:val="0"/>
      <w:divBdr>
        <w:top w:val="none" w:sz="0" w:space="0" w:color="auto"/>
        <w:left w:val="none" w:sz="0" w:space="0" w:color="auto"/>
        <w:bottom w:val="none" w:sz="0" w:space="0" w:color="auto"/>
        <w:right w:val="none" w:sz="0" w:space="0" w:color="auto"/>
      </w:divBdr>
    </w:div>
    <w:div w:id="1768381179">
      <w:bodyDiv w:val="1"/>
      <w:marLeft w:val="0"/>
      <w:marRight w:val="0"/>
      <w:marTop w:val="0"/>
      <w:marBottom w:val="0"/>
      <w:divBdr>
        <w:top w:val="none" w:sz="0" w:space="0" w:color="auto"/>
        <w:left w:val="none" w:sz="0" w:space="0" w:color="auto"/>
        <w:bottom w:val="none" w:sz="0" w:space="0" w:color="auto"/>
        <w:right w:val="none" w:sz="0" w:space="0" w:color="auto"/>
      </w:divBdr>
    </w:div>
    <w:div w:id="1774740348">
      <w:bodyDiv w:val="1"/>
      <w:marLeft w:val="0"/>
      <w:marRight w:val="0"/>
      <w:marTop w:val="0"/>
      <w:marBottom w:val="0"/>
      <w:divBdr>
        <w:top w:val="none" w:sz="0" w:space="0" w:color="auto"/>
        <w:left w:val="none" w:sz="0" w:space="0" w:color="auto"/>
        <w:bottom w:val="none" w:sz="0" w:space="0" w:color="auto"/>
        <w:right w:val="none" w:sz="0" w:space="0" w:color="auto"/>
      </w:divBdr>
    </w:div>
    <w:div w:id="1920485544">
      <w:bodyDiv w:val="1"/>
      <w:marLeft w:val="0"/>
      <w:marRight w:val="0"/>
      <w:marTop w:val="0"/>
      <w:marBottom w:val="0"/>
      <w:divBdr>
        <w:top w:val="none" w:sz="0" w:space="0" w:color="auto"/>
        <w:left w:val="none" w:sz="0" w:space="0" w:color="auto"/>
        <w:bottom w:val="none" w:sz="0" w:space="0" w:color="auto"/>
        <w:right w:val="none" w:sz="0" w:space="0" w:color="auto"/>
      </w:divBdr>
    </w:div>
    <w:div w:id="198138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254C4E1E-4119-4771-AA60-92700C27B16D}">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669223E6-09E7-438B-9233-92C06ACA85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1085</Words>
  <Characters>6190</Characters>
  <Application>Microsoft Office Word</Application>
  <DocSecurity>2</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7261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Santhan T</cp:lastModifiedBy>
  <cp:revision>2</cp:revision>
  <cp:lastPrinted>2008-01-31T07:09:00Z</cp:lastPrinted>
  <dcterms:created xsi:type="dcterms:W3CDTF">2023-08-11T19:38:00Z</dcterms:created>
  <dcterms:modified xsi:type="dcterms:W3CDTF">2023-08-11T19:38:00Z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