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283776"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B02B63">
        <w:rPr>
          <w:rFonts w:cs="Arial"/>
          <w:sz w:val="24"/>
          <w:szCs w:val="24"/>
        </w:rPr>
        <w:t>10</w:t>
      </w:r>
      <w:r w:rsidR="00970995">
        <w:rPr>
          <w:rFonts w:cs="Arial"/>
          <w:sz w:val="24"/>
          <w:szCs w:val="24"/>
        </w:rPr>
        <w:t>8</w:t>
      </w:r>
      <w:r w:rsidR="007A793C" w:rsidRPr="004A029C">
        <w:rPr>
          <w:rFonts w:cs="Arial"/>
          <w:sz w:val="24"/>
          <w:szCs w:val="24"/>
        </w:rPr>
        <w:tab/>
      </w:r>
      <w:r w:rsidR="003A71FE" w:rsidRPr="003A71FE">
        <w:rPr>
          <w:rFonts w:cs="Arial"/>
          <w:sz w:val="24"/>
          <w:szCs w:val="24"/>
        </w:rPr>
        <w:t>R4-2312407</w:t>
      </w:r>
    </w:p>
    <w:p w:rsidR="00D03278" w:rsidRPr="00376830" w:rsidRDefault="00D03278" w:rsidP="00D03278">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0995">
        <w:rPr>
          <w:rFonts w:ascii="Arial" w:hAnsi="Arial"/>
          <w:sz w:val="24"/>
          <w:lang w:val="en-US"/>
        </w:rPr>
        <w:t>6.8.3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70995"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B02B63">
        <w:rPr>
          <w:rFonts w:eastAsiaTheme="minorEastAsia" w:hint="eastAsia"/>
          <w:lang w:val="en-US" w:eastAsia="zh-CN"/>
        </w:rPr>
        <w:t>The</w:t>
      </w:r>
      <w:r w:rsidR="00B02B63">
        <w:rPr>
          <w:rFonts w:eastAsiaTheme="minorEastAsia"/>
          <w:lang w:val="en-US" w:eastAsia="zh-CN"/>
        </w:rPr>
        <w:t xml:space="preserve"> core requirements have been completed with some left issues to be discussed in maintenance stage [3]. </w:t>
      </w:r>
      <w:r w:rsidR="009C1A89">
        <w:rPr>
          <w:rFonts w:eastAsiaTheme="minorEastAsia"/>
          <w:lang w:val="en-US" w:eastAsia="zh-CN"/>
        </w:rPr>
        <w:t>In this contribution,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160573" w:rsidRDefault="00160573" w:rsidP="00160573">
      <w:pPr>
        <w:pStyle w:val="Heading2"/>
        <w:rPr>
          <w:lang w:val="en-US" w:eastAsia="zh-CN"/>
        </w:rPr>
      </w:pPr>
      <w:r>
        <w:rPr>
          <w:lang w:val="en-US" w:eastAsia="zh-CN"/>
        </w:rPr>
        <w:t>2.</w:t>
      </w:r>
      <w:r w:rsidR="00EE5757">
        <w:rPr>
          <w:lang w:val="en-US" w:eastAsia="zh-CN"/>
        </w:rPr>
        <w:t>1</w:t>
      </w:r>
      <w:r>
        <w:rPr>
          <w:lang w:val="en-US" w:eastAsia="zh-CN"/>
        </w:rPr>
        <w:t xml:space="preserve"> measurement relaxation for NGSO</w:t>
      </w:r>
    </w:p>
    <w:p w:rsidR="00793795" w:rsidRDefault="00793795" w:rsidP="00793795">
      <w:pPr>
        <w:rPr>
          <w:lang w:val="en-US" w:eastAsia="zh-CN"/>
        </w:rPr>
      </w:pPr>
      <w:r>
        <w:rPr>
          <w:lang w:val="en-US" w:eastAsia="zh-CN"/>
        </w:rPr>
        <w:t xml:space="preserve">For measurement relaxation for both serving cell and neighbor cell, the status </w:t>
      </w:r>
      <w:r w:rsidR="00037E80">
        <w:rPr>
          <w:lang w:val="en-US" w:eastAsia="zh-CN"/>
        </w:rPr>
        <w:t>is</w:t>
      </w:r>
      <w:r>
        <w:rPr>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793795" w:rsidTr="00793795">
        <w:tc>
          <w:tcPr>
            <w:tcW w:w="9562" w:type="dxa"/>
          </w:tcPr>
          <w:p w:rsidR="00970995" w:rsidRPr="00970995" w:rsidRDefault="00970995" w:rsidP="00970995">
            <w:pPr>
              <w:keepNext/>
              <w:keepLines/>
              <w:spacing w:before="120"/>
              <w:outlineLvl w:val="3"/>
              <w:rPr>
                <w:rFonts w:ascii="Arial" w:eastAsia="宋体" w:hAnsi="Arial"/>
                <w:sz w:val="24"/>
                <w:szCs w:val="18"/>
                <w:lang w:val="sv-SE" w:eastAsia="zh-CN"/>
              </w:rPr>
            </w:pPr>
            <w:r w:rsidRPr="00970995">
              <w:rPr>
                <w:rFonts w:ascii="Arial" w:eastAsia="宋体" w:hAnsi="Arial"/>
                <w:sz w:val="24"/>
                <w:szCs w:val="18"/>
                <w:lang w:val="sv-SE" w:eastAsia="zh-CN"/>
              </w:rPr>
              <w:t xml:space="preserve">Issue 1-1: NGSO, </w:t>
            </w:r>
            <w:r w:rsidRPr="00970995">
              <w:rPr>
                <w:rFonts w:ascii="Arial" w:eastAsia="宋体" w:hAnsi="Arial"/>
                <w:sz w:val="24"/>
                <w:szCs w:val="18"/>
                <w:u w:val="single"/>
                <w:lang w:val="sv-SE" w:eastAsia="zh-CN"/>
              </w:rPr>
              <w:t>serving cell</w:t>
            </w:r>
            <w:r w:rsidRPr="00970995">
              <w:rPr>
                <w:rFonts w:ascii="Arial" w:eastAsia="宋体" w:hAnsi="Arial"/>
                <w:sz w:val="24"/>
                <w:szCs w:val="18"/>
                <w:lang w:val="sv-SE" w:eastAsia="zh-CN"/>
              </w:rPr>
              <w:t xml:space="preserve"> measurement </w:t>
            </w:r>
          </w:p>
          <w:p w:rsidR="00970995" w:rsidRPr="00970995" w:rsidRDefault="00970995" w:rsidP="00970995">
            <w:r w:rsidRPr="00970995">
              <w:rPr>
                <w:rFonts w:hint="eastAsia"/>
              </w:rPr>
              <w:t>FFS</w:t>
            </w:r>
          </w:p>
          <w:p w:rsidR="00970995" w:rsidRPr="00970995" w:rsidRDefault="00970995" w:rsidP="00970995">
            <w:pPr>
              <w:numPr>
                <w:ilvl w:val="0"/>
                <w:numId w:val="7"/>
              </w:numPr>
              <w:overflowPunct w:val="0"/>
              <w:autoSpaceDE w:val="0"/>
              <w:autoSpaceDN w:val="0"/>
              <w:adjustRightInd w:val="0"/>
              <w:textAlignment w:val="baseline"/>
            </w:pPr>
            <w:r w:rsidRPr="00970995">
              <w:rPr>
                <w:rFonts w:eastAsia="PMingLiU"/>
                <w:b/>
                <w:bCs/>
                <w:lang w:val="en-US" w:eastAsia="zh-TW"/>
              </w:rPr>
              <w:t>Proposal 1</w:t>
            </w:r>
            <w:r w:rsidRPr="00970995">
              <w:t>: In addition to the existing serving cell relaxation conditions, add following conditions for IoT NTN (</w:t>
            </w:r>
            <w:proofErr w:type="spellStart"/>
            <w:r w:rsidRPr="00970995">
              <w:t>eMTC</w:t>
            </w:r>
            <w:proofErr w:type="spellEnd"/>
            <w:r w:rsidRPr="00970995">
              <w:t xml:space="preserve"> and NB-IoT): The time span to T-service is longer than k, where k = 4 DRX cycle if not configured with </w:t>
            </w:r>
            <w:proofErr w:type="spellStart"/>
            <w:r w:rsidRPr="00970995">
              <w:t>eDRX_IDLE</w:t>
            </w:r>
            <w:proofErr w:type="spellEnd"/>
            <w:r w:rsidRPr="00970995">
              <w:t xml:space="preserve"> cycle, and k = 1 </w:t>
            </w:r>
            <w:proofErr w:type="spellStart"/>
            <w:r w:rsidRPr="00970995">
              <w:t>eDRX</w:t>
            </w:r>
            <w:proofErr w:type="spellEnd"/>
            <w:r w:rsidRPr="00970995">
              <w:t xml:space="preserve"> cycle if configured with </w:t>
            </w:r>
            <w:proofErr w:type="spellStart"/>
            <w:r w:rsidRPr="00970995">
              <w:t>eDRX_IDLE</w:t>
            </w:r>
            <w:proofErr w:type="spellEnd"/>
            <w:r w:rsidRPr="00970995">
              <w:t xml:space="preserve"> cycle. </w:t>
            </w:r>
          </w:p>
          <w:p w:rsidR="00970995" w:rsidRPr="00970995" w:rsidRDefault="00970995" w:rsidP="00970995">
            <w:pPr>
              <w:numPr>
                <w:ilvl w:val="0"/>
                <w:numId w:val="7"/>
              </w:numPr>
              <w:spacing w:after="200"/>
            </w:pPr>
            <w:bookmarkStart w:id="0" w:name="_Toc135061228"/>
            <w:r w:rsidRPr="00970995">
              <w:rPr>
                <w:b/>
                <w:bCs/>
              </w:rPr>
              <w:t>Proposal 2:</w:t>
            </w:r>
            <w:r w:rsidRPr="00970995">
              <w:t xml:space="preserve"> When the UE has reached measurement relaxation, and t-service is configured</w:t>
            </w:r>
            <w:r w:rsidRPr="00970995">
              <w:rPr>
                <w:u w:val="single"/>
              </w:rPr>
              <w:t>, the UE might perform cell selection procedure</w:t>
            </w:r>
            <w:r w:rsidRPr="00970995">
              <w:t xml:space="preserve"> instead of cell reselection procedure, when the time span to T-service is smaller than k, where k = 2 DRX cycle if not configured with </w:t>
            </w:r>
            <w:proofErr w:type="spellStart"/>
            <w:r w:rsidRPr="00970995">
              <w:t>eDRX_IDLE</w:t>
            </w:r>
            <w:proofErr w:type="spellEnd"/>
            <w:r w:rsidRPr="00970995">
              <w:t xml:space="preserve"> cycle, and k = 1 </w:t>
            </w:r>
            <w:proofErr w:type="spellStart"/>
            <w:r w:rsidRPr="00970995">
              <w:t>eDRX</w:t>
            </w:r>
            <w:proofErr w:type="spellEnd"/>
            <w:r w:rsidRPr="00970995">
              <w:t xml:space="preserve"> cycle if configured with </w:t>
            </w:r>
            <w:proofErr w:type="spellStart"/>
            <w:r w:rsidRPr="00970995">
              <w:t>eDRX_IDLE</w:t>
            </w:r>
            <w:proofErr w:type="spellEnd"/>
            <w:r w:rsidRPr="00970995">
              <w:t xml:space="preserve"> cycle.</w:t>
            </w:r>
            <w:bookmarkEnd w:id="0"/>
            <w:r w:rsidRPr="00970995">
              <w:t xml:space="preserve"> </w:t>
            </w:r>
          </w:p>
          <w:p w:rsidR="00970995" w:rsidRPr="00970995" w:rsidRDefault="00970995" w:rsidP="00970995">
            <w:pPr>
              <w:numPr>
                <w:ilvl w:val="0"/>
                <w:numId w:val="7"/>
              </w:numPr>
              <w:spacing w:after="200"/>
              <w:rPr>
                <w:rFonts w:eastAsia="PMingLiU"/>
                <w:bCs/>
                <w:iCs/>
                <w:noProof/>
                <w:szCs w:val="18"/>
                <w:lang w:val="en-US"/>
              </w:rPr>
            </w:pPr>
            <w:bookmarkStart w:id="1" w:name="_Toc135061227"/>
            <w:r w:rsidRPr="00970995">
              <w:rPr>
                <w:b/>
                <w:bCs/>
              </w:rPr>
              <w:t>Proposal 3:</w:t>
            </w:r>
            <w:r w:rsidRPr="00970995">
              <w:t xml:space="preserve"> </w:t>
            </w:r>
            <w:r w:rsidRPr="00970995">
              <w:rPr>
                <w:rFonts w:eastAsia="PMingLiU"/>
                <w:bCs/>
                <w:iCs/>
                <w:noProof/>
                <w:szCs w:val="18"/>
                <w:lang w:val="en-US"/>
              </w:rPr>
              <w:t>After Ttrigger UE is allowed to skip serving cell measurements and measurements of neighbor cells associated to the same serving satellite.</w:t>
            </w:r>
            <w:bookmarkEnd w:id="1"/>
          </w:p>
          <w:p w:rsidR="00793795" w:rsidRPr="00970995" w:rsidRDefault="00793795" w:rsidP="00793795">
            <w:pPr>
              <w:rPr>
                <w:lang w:val="en-US" w:eastAsia="zh-CN"/>
              </w:rPr>
            </w:pPr>
          </w:p>
        </w:tc>
      </w:tr>
    </w:tbl>
    <w:p w:rsidR="00793795" w:rsidRDefault="00793795" w:rsidP="00793795">
      <w:pPr>
        <w:rPr>
          <w:lang w:val="en-US" w:eastAsia="zh-CN"/>
        </w:rPr>
      </w:pPr>
    </w:p>
    <w:p w:rsidR="00AF7D16" w:rsidRDefault="0013350B" w:rsidP="00793795">
      <w:pPr>
        <w:rPr>
          <w:lang w:val="en-US" w:eastAsia="zh-CN"/>
        </w:rPr>
      </w:pPr>
      <w:r>
        <w:rPr>
          <w:lang w:val="en-US" w:eastAsia="zh-CN"/>
        </w:rPr>
        <w:t>The problem of current conditions for cell measurement relaxation for serving cell and neighbor cell will lead to very poor performance as UE may start neighbor cell measurement and evaluate serving cell for cell reselection long after t-Service. We illustrate the case in following Fig. 1.</w:t>
      </w:r>
    </w:p>
    <w:p w:rsidR="0013350B" w:rsidRDefault="0013350B" w:rsidP="00793795">
      <w:pPr>
        <w:rPr>
          <w:lang w:val="en-US" w:eastAsia="zh-CN"/>
        </w:rPr>
      </w:pPr>
      <w:r>
        <w:rPr>
          <w:noProof/>
        </w:rPr>
        <w:lastRenderedPageBreak/>
        <w:drawing>
          <wp:inline distT="0" distB="0" distL="0" distR="0" wp14:anchorId="66D0FA0D" wp14:editId="7A15BE7A">
            <wp:extent cx="5274310" cy="34378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437890"/>
                    </a:xfrm>
                    <a:prstGeom prst="rect">
                      <a:avLst/>
                    </a:prstGeom>
                  </pic:spPr>
                </pic:pic>
              </a:graphicData>
            </a:graphic>
          </wp:inline>
        </w:drawing>
      </w:r>
    </w:p>
    <w:p w:rsidR="00B02B63" w:rsidRDefault="0013350B" w:rsidP="00970995">
      <w:pPr>
        <w:jc w:val="center"/>
        <w:rPr>
          <w:lang w:val="en-US" w:eastAsia="zh-CN"/>
        </w:rPr>
      </w:pPr>
      <w:r>
        <w:rPr>
          <w:lang w:val="en-US" w:eastAsia="zh-CN"/>
        </w:rPr>
        <w:t>Fig. 1 Serving cell and neighbor cell measurement relaxation for IoT NTN.</w:t>
      </w:r>
    </w:p>
    <w:p w:rsidR="004A516B" w:rsidRDefault="004A516B" w:rsidP="004A516B">
      <w:pPr>
        <w:jc w:val="both"/>
      </w:pPr>
      <w:r>
        <w:rPr>
          <w:lang w:val="en-US" w:eastAsia="zh-CN"/>
        </w:rPr>
        <w:t xml:space="preserve">Due to the nature of NTN, the change </w:t>
      </w:r>
      <w:r w:rsidRPr="004A516B">
        <w:rPr>
          <w:lang w:val="en-US" w:eastAsia="zh-CN"/>
        </w:rPr>
        <w:t>of RSRP of NGSO may not be significant</w:t>
      </w:r>
      <w:r>
        <w:rPr>
          <w:lang w:val="en-US" w:eastAsia="zh-CN"/>
        </w:rPr>
        <w:t>.</w:t>
      </w:r>
      <w:r w:rsidRPr="004A516B">
        <w:rPr>
          <w:lang w:val="en-US" w:eastAsia="zh-CN"/>
        </w:rPr>
        <w:t xml:space="preserve"> </w:t>
      </w:r>
      <w:r>
        <w:rPr>
          <w:lang w:val="en-US" w:eastAsia="zh-CN"/>
        </w:rPr>
        <w:t>I</w:t>
      </w:r>
      <w:r w:rsidRPr="004A516B">
        <w:rPr>
          <w:lang w:val="en-US" w:eastAsia="zh-CN"/>
        </w:rPr>
        <w:t>t will lead to the result that: UE may easily enter relaxation mode, but it is hard to exit relaxation mode even the cell is going to stop serving the UE</w:t>
      </w:r>
      <w:r>
        <w:rPr>
          <w:lang w:val="en-US" w:eastAsia="zh-CN"/>
        </w:rPr>
        <w:t xml:space="preserve">. As shown in the upper part of the figure, </w:t>
      </w:r>
      <w:r>
        <w:t>UE will most likely enter relaxation at point A (N*DRX for serving and no measurement for neighbour cell). Based on the reason explained above, even approaching or after t-</w:t>
      </w:r>
      <w:proofErr w:type="spellStart"/>
      <w:r>
        <w:t>servie</w:t>
      </w:r>
      <w:proofErr w:type="spellEnd"/>
      <w:r>
        <w:t>, UE is still in relaxation mode. UE may realize that relaxed monitoring criteria is not met at point C. Only from this point, UE starts measure serving cell in normal manner and start neighbour cell measurement.  It could be observed that it will introduce unnecessary delay for cell re-selection.</w:t>
      </w:r>
    </w:p>
    <w:p w:rsidR="004A516B" w:rsidRDefault="004A516B" w:rsidP="004A516B">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970995" w:rsidRDefault="00970995" w:rsidP="004A516B">
      <w:pPr>
        <w:jc w:val="both"/>
      </w:pPr>
      <w:r>
        <w:t xml:space="preserve">Based on the discussion in RAN4#107 meeting for IoT NTN enhancement, for neighbour cell measurement, it is already clarified that UE shall exit relaxed neighbour cell measurement </w:t>
      </w:r>
      <w:proofErr w:type="spellStart"/>
      <w:r>
        <w:t>T</w:t>
      </w:r>
      <w:r w:rsidRPr="00970995">
        <w:rPr>
          <w:vertAlign w:val="subscript"/>
        </w:rPr>
        <w:t>trigger</w:t>
      </w:r>
      <w:proofErr w:type="spellEnd"/>
      <w:r>
        <w:t xml:space="preserve"> before t-service [4].</w:t>
      </w:r>
    </w:p>
    <w:tbl>
      <w:tblPr>
        <w:tblStyle w:val="TableGrid"/>
        <w:tblW w:w="0" w:type="auto"/>
        <w:tblLook w:val="04A0" w:firstRow="1" w:lastRow="0" w:firstColumn="1" w:lastColumn="0" w:noHBand="0" w:noVBand="1"/>
      </w:tblPr>
      <w:tblGrid>
        <w:gridCol w:w="9562"/>
      </w:tblGrid>
      <w:tr w:rsidR="00970995" w:rsidTr="00970995">
        <w:tc>
          <w:tcPr>
            <w:tcW w:w="9562" w:type="dxa"/>
          </w:tcPr>
          <w:p w:rsidR="00970995" w:rsidRPr="00970995" w:rsidRDefault="00970995" w:rsidP="00970995">
            <w:pPr>
              <w:keepNext/>
              <w:keepLines/>
              <w:spacing w:before="120"/>
              <w:outlineLvl w:val="3"/>
              <w:rPr>
                <w:rFonts w:ascii="Arial" w:eastAsia="宋体" w:hAnsi="Arial"/>
                <w:sz w:val="24"/>
                <w:szCs w:val="18"/>
                <w:lang w:val="sv-SE" w:eastAsia="zh-CN"/>
              </w:rPr>
            </w:pPr>
            <w:r w:rsidRPr="00970995">
              <w:rPr>
                <w:rFonts w:ascii="Arial" w:eastAsia="宋体" w:hAnsi="Arial"/>
                <w:sz w:val="24"/>
                <w:szCs w:val="18"/>
                <w:lang w:val="sv-SE" w:eastAsia="zh-CN"/>
              </w:rPr>
              <w:t>Issue 2-2: Requirements appliacability for time-based neighbour cell measurements</w:t>
            </w:r>
          </w:p>
          <w:p w:rsidR="00970995" w:rsidRPr="00970995" w:rsidRDefault="00970995" w:rsidP="00970995">
            <w:pPr>
              <w:numPr>
                <w:ilvl w:val="0"/>
                <w:numId w:val="26"/>
              </w:numPr>
              <w:overflowPunct w:val="0"/>
              <w:autoSpaceDE w:val="0"/>
              <w:autoSpaceDN w:val="0"/>
              <w:adjustRightInd w:val="0"/>
              <w:spacing w:after="120" w:line="252" w:lineRule="auto"/>
              <w:ind w:left="644"/>
              <w:textAlignment w:val="baseline"/>
              <w:rPr>
                <w:rFonts w:eastAsia="宋体"/>
                <w:bCs/>
                <w:szCs w:val="24"/>
                <w:highlight w:val="green"/>
                <w:lang w:val="en-US" w:eastAsia="zh-CN"/>
              </w:rPr>
            </w:pPr>
            <w:r w:rsidRPr="00970995">
              <w:rPr>
                <w:rFonts w:eastAsia="宋体"/>
                <w:bCs/>
                <w:szCs w:val="24"/>
                <w:highlight w:val="green"/>
                <w:lang w:val="en-US" w:eastAsia="zh-CN"/>
              </w:rPr>
              <w:t>Agreements</w:t>
            </w:r>
          </w:p>
          <w:p w:rsidR="00970995" w:rsidRPr="00533FF7" w:rsidRDefault="00970995" w:rsidP="00533FF7">
            <w:pPr>
              <w:numPr>
                <w:ilvl w:val="1"/>
                <w:numId w:val="26"/>
              </w:numPr>
              <w:overflowPunct w:val="0"/>
              <w:autoSpaceDE w:val="0"/>
              <w:autoSpaceDN w:val="0"/>
              <w:adjustRightInd w:val="0"/>
              <w:spacing w:after="120" w:line="252" w:lineRule="auto"/>
              <w:textAlignment w:val="baseline"/>
              <w:rPr>
                <w:rFonts w:eastAsia="宋体"/>
                <w:bCs/>
                <w:szCs w:val="24"/>
                <w:highlight w:val="green"/>
                <w:lang w:val="en-US" w:eastAsia="zh-CN"/>
              </w:rPr>
            </w:pPr>
            <w:r w:rsidRPr="00970995">
              <w:rPr>
                <w:rFonts w:eastAsia="Times New Roman"/>
                <w:noProof/>
                <w:szCs w:val="24"/>
                <w:highlight w:val="green"/>
                <w:lang w:val="en-US" w:eastAsia="en-GB"/>
              </w:rPr>
              <w:t xml:space="preserve">UE shall be able to detect, measure, and evaluate neighbour cells before </w:t>
            </w:r>
            <w:r w:rsidRPr="00970995">
              <w:rPr>
                <w:rFonts w:eastAsia="Yu Mincho" w:cs="v4.2.0"/>
                <w:i/>
                <w:iCs/>
                <w:szCs w:val="24"/>
                <w:highlight w:val="green"/>
                <w:lang w:val="en-US" w:eastAsia="en-GB"/>
              </w:rPr>
              <w:t>t-Service</w:t>
            </w:r>
            <w:r w:rsidRPr="00970995">
              <w:rPr>
                <w:rFonts w:eastAsia="Yu Mincho" w:cs="v4.2.0"/>
                <w:szCs w:val="24"/>
                <w:highlight w:val="green"/>
                <w:lang w:val="en-US" w:eastAsia="en-GB"/>
              </w:rPr>
              <w:t xml:space="preserve"> is reached, and the </w:t>
            </w:r>
            <w:r w:rsidRPr="00970995">
              <w:rPr>
                <w:rFonts w:eastAsia="Yu Mincho" w:cs="v4.2.0"/>
                <w:szCs w:val="24"/>
                <w:highlight w:val="green"/>
                <w:u w:val="single"/>
                <w:lang w:val="en-US" w:eastAsia="en-GB"/>
              </w:rPr>
              <w:t xml:space="preserve">relaxed </w:t>
            </w:r>
            <w:proofErr w:type="spellStart"/>
            <w:r w:rsidRPr="00970995">
              <w:rPr>
                <w:rFonts w:eastAsia="Yu Mincho" w:cs="v4.2.0"/>
                <w:szCs w:val="24"/>
                <w:highlight w:val="green"/>
                <w:u w:val="single"/>
                <w:lang w:val="en-US" w:eastAsia="en-GB"/>
              </w:rPr>
              <w:t>neighbour</w:t>
            </w:r>
            <w:proofErr w:type="spellEnd"/>
            <w:r w:rsidRPr="00970995">
              <w:rPr>
                <w:rFonts w:eastAsia="Yu Mincho" w:cs="v4.2.0"/>
                <w:szCs w:val="24"/>
                <w:highlight w:val="green"/>
                <w:u w:val="single"/>
                <w:lang w:val="en-US" w:eastAsia="en-GB"/>
              </w:rPr>
              <w:t xml:space="preserve"> cell measurement</w:t>
            </w:r>
            <w:r w:rsidRPr="00970995">
              <w:rPr>
                <w:rFonts w:eastAsia="Yu Mincho" w:cs="v4.2.0"/>
                <w:szCs w:val="24"/>
                <w:highlight w:val="green"/>
                <w:lang w:val="en-US" w:eastAsia="en-GB"/>
              </w:rPr>
              <w:t xml:space="preserve"> is only allowed when </w:t>
            </w:r>
            <w:r w:rsidRPr="00970995">
              <w:rPr>
                <w:rFonts w:eastAsia="Times New Roman"/>
                <w:szCs w:val="24"/>
                <w:highlight w:val="green"/>
                <w:lang w:val="en-US" w:eastAsia="zh-CN"/>
              </w:rPr>
              <w:t xml:space="preserve">the relaxed monitoring criteria defined in clause 5.2.4.12 [1] are fulfilled and the time span to </w:t>
            </w:r>
            <w:r w:rsidRPr="00970995">
              <w:rPr>
                <w:rFonts w:eastAsia="Times New Roman"/>
                <w:noProof/>
                <w:szCs w:val="24"/>
                <w:highlight w:val="green"/>
                <w:lang w:val="en-US" w:eastAsia="en-GB"/>
              </w:rPr>
              <w:t xml:space="preserve">before </w:t>
            </w:r>
            <w:r w:rsidRPr="00970995">
              <w:rPr>
                <w:rFonts w:eastAsia="Yu Mincho" w:cs="v4.2.0"/>
                <w:i/>
                <w:iCs/>
                <w:szCs w:val="24"/>
                <w:highlight w:val="green"/>
                <w:lang w:val="en-US" w:eastAsia="en-GB"/>
              </w:rPr>
              <w:t>t-</w:t>
            </w:r>
            <w:proofErr w:type="spellStart"/>
            <w:r w:rsidRPr="00970995">
              <w:rPr>
                <w:rFonts w:eastAsia="Yu Mincho" w:cs="v4.2.0"/>
                <w:i/>
                <w:iCs/>
                <w:szCs w:val="24"/>
                <w:highlight w:val="green"/>
                <w:lang w:val="en-US" w:eastAsia="en-GB"/>
              </w:rPr>
              <w:t>Servic</w:t>
            </w:r>
            <w:proofErr w:type="spellEnd"/>
            <w:r w:rsidRPr="00970995">
              <w:rPr>
                <w:rFonts w:eastAsia="Yu Mincho" w:cs="v4.2.0"/>
                <w:i/>
                <w:iCs/>
                <w:szCs w:val="24"/>
                <w:highlight w:val="green"/>
                <w:lang w:val="en-US" w:eastAsia="en-GB"/>
              </w:rPr>
              <w:t xml:space="preserve"> </w:t>
            </w:r>
            <w:r w:rsidRPr="00970995">
              <w:rPr>
                <w:rFonts w:eastAsia="Yu Mincho" w:cs="v4.2.0"/>
                <w:iCs/>
                <w:szCs w:val="24"/>
                <w:highlight w:val="green"/>
                <w:lang w:val="en-US" w:eastAsia="en-GB"/>
              </w:rPr>
              <w:t xml:space="preserve">is longer than </w:t>
            </w:r>
            <w:r w:rsidRPr="00970995">
              <w:rPr>
                <w:rFonts w:eastAsia="Times New Roman"/>
                <w:noProof/>
                <w:szCs w:val="24"/>
                <w:highlight w:val="green"/>
                <w:lang w:val="en-US" w:eastAsia="zh-CN"/>
              </w:rPr>
              <w:t>T</w:t>
            </w:r>
            <w:r w:rsidRPr="00970995">
              <w:rPr>
                <w:rFonts w:eastAsia="Times New Roman"/>
                <w:noProof/>
                <w:szCs w:val="24"/>
                <w:highlight w:val="green"/>
                <w:vertAlign w:val="subscript"/>
                <w:lang w:val="en-US" w:eastAsia="zh-CN"/>
              </w:rPr>
              <w:t>trigger</w:t>
            </w:r>
          </w:p>
        </w:tc>
      </w:tr>
    </w:tbl>
    <w:p w:rsidR="00970995" w:rsidRDefault="00970995" w:rsidP="004A516B">
      <w:pPr>
        <w:jc w:val="both"/>
      </w:pPr>
    </w:p>
    <w:p w:rsidR="00533FF7" w:rsidRDefault="00533FF7" w:rsidP="004A516B">
      <w:pPr>
        <w:jc w:val="both"/>
      </w:pPr>
      <w:r>
        <w:t xml:space="preserve">Thus, the only problem is whether to fasten the serving cell measurement before t-service. </w:t>
      </w:r>
    </w:p>
    <w:p w:rsidR="00533FF7" w:rsidRPr="00533FF7" w:rsidRDefault="00533FF7" w:rsidP="004A516B">
      <w:pPr>
        <w:jc w:val="both"/>
        <w:rPr>
          <w:b/>
        </w:rPr>
      </w:pPr>
      <w:r w:rsidRPr="00533FF7">
        <w:rPr>
          <w:b/>
        </w:rPr>
        <w:t xml:space="preserve">Observation 2: It </w:t>
      </w:r>
      <w:r w:rsidR="00CF1BAA">
        <w:rPr>
          <w:b/>
        </w:rPr>
        <w:t>has been</w:t>
      </w:r>
      <w:r w:rsidRPr="00533FF7">
        <w:rPr>
          <w:b/>
        </w:rPr>
        <w:t xml:space="preserve"> agreed in IoT NTN </w:t>
      </w:r>
      <w:proofErr w:type="spellStart"/>
      <w:r w:rsidRPr="00533FF7">
        <w:rPr>
          <w:b/>
        </w:rPr>
        <w:t>enh</w:t>
      </w:r>
      <w:proofErr w:type="spellEnd"/>
      <w:r w:rsidRPr="00533FF7">
        <w:rPr>
          <w:b/>
        </w:rPr>
        <w:t xml:space="preserve"> that UE shall exit neighbour cell relaxation measurement before t-Service.</w:t>
      </w:r>
    </w:p>
    <w:p w:rsidR="00CF1BAA" w:rsidRDefault="00533FF7" w:rsidP="004A516B">
      <w:pPr>
        <w:jc w:val="both"/>
      </w:pPr>
      <w:r>
        <w:t>For serving cell measurement, our original think that since the</w:t>
      </w:r>
      <w:r w:rsidR="00CF1BAA">
        <w:t xml:space="preserve"> cell reselection is performed based on both serving cell condition and neighbour cell conditions, it makes no sense to only allow one of the procedures to be relaxed</w:t>
      </w:r>
      <w:r>
        <w:t>.</w:t>
      </w:r>
      <w:r w:rsidR="00CF1BAA">
        <w:t xml:space="preserve"> For instance, if neighbour cell is measured in normal manner without relaxation, if UE is measuring serving cell in relaxed mode, it will still cause delay for cell reselection and it will not have any power saving gain since UE is already performing measurement every DRX. </w:t>
      </w:r>
    </w:p>
    <w:p w:rsidR="00533FF7" w:rsidRDefault="00CF1BAA" w:rsidP="004A516B">
      <w:pPr>
        <w:jc w:val="both"/>
      </w:pPr>
      <w:r>
        <w:t>However, based on the discussion in last meeting, companies raised a valuable point that the measurement opportunities for serving cell measurement and neighbour cell measurement shall be shared by different NGSO satellites. If UE performs neighbour cell more frequently, UE may take longer time to measure neighbour cell.</w:t>
      </w:r>
    </w:p>
    <w:p w:rsidR="00CF1BAA" w:rsidRDefault="00CF1BAA" w:rsidP="004A516B">
      <w:pPr>
        <w:jc w:val="both"/>
        <w:rPr>
          <w:b/>
        </w:rPr>
      </w:pPr>
      <w:r w:rsidRPr="00CF1BAA">
        <w:rPr>
          <w:b/>
        </w:rPr>
        <w:lastRenderedPageBreak/>
        <w:t>Observation 3: Measurement opportunities for serving cell measurement and neighbour cell measurement shall be shared by different NGSO satellites.</w:t>
      </w:r>
    </w:p>
    <w:p w:rsidR="00CF1BAA" w:rsidRDefault="001452C9" w:rsidP="004A516B">
      <w:pPr>
        <w:jc w:val="both"/>
      </w:pPr>
      <w:r w:rsidRPr="001452C9">
        <w:t>Thus,</w:t>
      </w:r>
      <w:r>
        <w:t xml:space="preserve"> we provide our analysis on this issue for Rel-17 IoT NTN and Rel-18 IoT NTN UE since neighbour cell ephemeris information is not available for Rel-17 UE.</w:t>
      </w:r>
    </w:p>
    <w:p w:rsidR="001452C9" w:rsidRPr="004405D4" w:rsidRDefault="001452C9" w:rsidP="004A516B">
      <w:pPr>
        <w:jc w:val="both"/>
        <w:rPr>
          <w:b/>
          <w:u w:val="single"/>
        </w:rPr>
      </w:pPr>
      <w:r w:rsidRPr="004405D4">
        <w:rPr>
          <w:b/>
          <w:u w:val="single"/>
        </w:rPr>
        <w:t>Rel-17 IoT NTN UE</w:t>
      </w:r>
    </w:p>
    <w:p w:rsidR="001452C9" w:rsidRDefault="001452C9" w:rsidP="004A516B">
      <w:pPr>
        <w:jc w:val="both"/>
      </w:pPr>
      <w:r>
        <w:t>For Rel-17 IoT NTN UE, since neighbour cell ephemeris information is not available, based on previous RAN4 discussion, following cases are valid.</w:t>
      </w:r>
    </w:p>
    <w:tbl>
      <w:tblPr>
        <w:tblStyle w:val="TableGrid"/>
        <w:tblW w:w="0" w:type="auto"/>
        <w:tblLook w:val="04A0" w:firstRow="1" w:lastRow="0" w:firstColumn="1" w:lastColumn="0" w:noHBand="0" w:noVBand="1"/>
      </w:tblPr>
      <w:tblGrid>
        <w:gridCol w:w="1615"/>
        <w:gridCol w:w="6930"/>
      </w:tblGrid>
      <w:tr w:rsidR="001452C9" w:rsidTr="001452C9">
        <w:tc>
          <w:tcPr>
            <w:tcW w:w="1615" w:type="dxa"/>
            <w:vAlign w:val="center"/>
          </w:tcPr>
          <w:p w:rsidR="001452C9" w:rsidRDefault="001452C9" w:rsidP="001452C9">
            <w:pPr>
              <w:spacing w:before="120" w:after="120"/>
              <w:jc w:val="center"/>
            </w:pPr>
            <w:r>
              <w:t>Case 1</w:t>
            </w:r>
          </w:p>
        </w:tc>
        <w:tc>
          <w:tcPr>
            <w:tcW w:w="6930" w:type="dxa"/>
            <w:vAlign w:val="center"/>
          </w:tcPr>
          <w:p w:rsidR="001452C9" w:rsidRDefault="001452C9" w:rsidP="001452C9">
            <w:pPr>
              <w:spacing w:before="120" w:after="120"/>
              <w:jc w:val="both"/>
            </w:pPr>
            <w:r>
              <w:t xml:space="preserve">GEO serving + </w:t>
            </w:r>
            <w:r w:rsidR="0099022B">
              <w:t xml:space="preserve">intra-frequency </w:t>
            </w:r>
            <w:r>
              <w:t xml:space="preserve">GEO neighbour </w:t>
            </w:r>
          </w:p>
        </w:tc>
      </w:tr>
      <w:tr w:rsidR="001452C9" w:rsidTr="001452C9">
        <w:tc>
          <w:tcPr>
            <w:tcW w:w="1615" w:type="dxa"/>
            <w:vAlign w:val="center"/>
          </w:tcPr>
          <w:p w:rsidR="001452C9" w:rsidRDefault="001452C9" w:rsidP="001452C9">
            <w:pPr>
              <w:spacing w:before="120" w:after="120"/>
              <w:jc w:val="center"/>
            </w:pPr>
            <w:r>
              <w:t>Case 2</w:t>
            </w:r>
          </w:p>
        </w:tc>
        <w:tc>
          <w:tcPr>
            <w:tcW w:w="6930" w:type="dxa"/>
            <w:vAlign w:val="center"/>
          </w:tcPr>
          <w:p w:rsidR="001452C9" w:rsidRDefault="001452C9" w:rsidP="001452C9">
            <w:pPr>
              <w:spacing w:before="120" w:after="120"/>
              <w:jc w:val="both"/>
            </w:pPr>
            <w:r>
              <w:t xml:space="preserve">NGSO serving + </w:t>
            </w:r>
            <w:r w:rsidR="0099022B">
              <w:t xml:space="preserve">NGSO neighbour cell </w:t>
            </w:r>
          </w:p>
        </w:tc>
      </w:tr>
    </w:tbl>
    <w:p w:rsidR="001452C9" w:rsidRDefault="001452C9" w:rsidP="004A516B">
      <w:pPr>
        <w:jc w:val="both"/>
      </w:pPr>
    </w:p>
    <w:p w:rsidR="001452C9" w:rsidRDefault="006F1484" w:rsidP="004A516B">
      <w:pPr>
        <w:jc w:val="both"/>
      </w:pPr>
      <w:r>
        <w:t xml:space="preserve">For case 1, the requirements are same as TN and there is no need to add extra cell relaxation conditions. For case 2, </w:t>
      </w:r>
      <w:r w:rsidR="00384847">
        <w:t xml:space="preserve">since the neighbour cell </w:t>
      </w:r>
      <w:r w:rsidR="005C7FC3">
        <w:t>ephemeris information is not available in Rel-17, there is no requirements for neighbour cell measurement and only serving cell measurement can apply. Thus, for Rel-17 IoT NTN</w:t>
      </w:r>
      <w:r w:rsidR="00FE2D6E">
        <w:t>,</w:t>
      </w:r>
      <w:r w:rsidR="00BA3882">
        <w:t xml:space="preserve"> there is no need to allow relaxed serving cell measurement for more neighbour cell measurement opportunities.</w:t>
      </w:r>
    </w:p>
    <w:p w:rsidR="00BA3882" w:rsidRPr="004405D4" w:rsidRDefault="00BA3882" w:rsidP="004A516B">
      <w:pPr>
        <w:jc w:val="both"/>
        <w:rPr>
          <w:b/>
        </w:rPr>
      </w:pPr>
      <w:r w:rsidRPr="004405D4">
        <w:rPr>
          <w:b/>
        </w:rPr>
        <w:t xml:space="preserve">Observation 4: </w:t>
      </w:r>
      <w:r w:rsidR="004405D4" w:rsidRPr="004405D4">
        <w:rPr>
          <w:b/>
        </w:rPr>
        <w:t>For Rel-17 IoT NTN where neighbour cell ephemeris information is not available, UE shall exceed relaxed serving cell measurement before t-Service.</w:t>
      </w:r>
    </w:p>
    <w:p w:rsidR="001452C9" w:rsidRPr="004405D4" w:rsidRDefault="001452C9" w:rsidP="004A516B">
      <w:pPr>
        <w:jc w:val="both"/>
        <w:rPr>
          <w:b/>
          <w:u w:val="single"/>
        </w:rPr>
      </w:pPr>
      <w:r w:rsidRPr="004405D4">
        <w:rPr>
          <w:b/>
          <w:u w:val="single"/>
        </w:rPr>
        <w:t>Rel-18 IoT NTN UE</w:t>
      </w:r>
    </w:p>
    <w:p w:rsidR="001452C9" w:rsidRPr="004405D4" w:rsidRDefault="004405D4" w:rsidP="004A516B">
      <w:pPr>
        <w:jc w:val="both"/>
      </w:pPr>
      <w:r>
        <w:t xml:space="preserve">For Rel-18 IoT NTN UE where neighbour cell ephemeris information is available. </w:t>
      </w:r>
      <w:r w:rsidR="00F671E4">
        <w:t>The sharing among serving cell measurement and neighbour cell measurement shall be considered.</w:t>
      </w:r>
      <w:r w:rsidR="00EA64DE">
        <w:t xml:space="preserve"> According to the agreement on number of satellites that UE is required to monitor across frequency layers, we consider following cases to identify whether there is </w:t>
      </w:r>
      <w:r w:rsidR="00C71E06">
        <w:t>impacts of serving cell relaxation on neighbour cell measurement delay.</w:t>
      </w:r>
    </w:p>
    <w:tbl>
      <w:tblPr>
        <w:tblStyle w:val="TableGrid"/>
        <w:tblW w:w="0" w:type="auto"/>
        <w:tblLook w:val="04A0" w:firstRow="1" w:lastRow="0" w:firstColumn="1" w:lastColumn="0" w:noHBand="0" w:noVBand="1"/>
      </w:tblPr>
      <w:tblGrid>
        <w:gridCol w:w="870"/>
        <w:gridCol w:w="2160"/>
        <w:gridCol w:w="1440"/>
        <w:gridCol w:w="3600"/>
      </w:tblGrid>
      <w:tr w:rsidR="00EA64DE" w:rsidRPr="00B21A67" w:rsidTr="00895FCE">
        <w:tc>
          <w:tcPr>
            <w:tcW w:w="870" w:type="dxa"/>
          </w:tcPr>
          <w:p w:rsidR="00EA64DE" w:rsidRPr="00C71E06" w:rsidRDefault="00EA64DE" w:rsidP="00895FCE">
            <w:pPr>
              <w:tabs>
                <w:tab w:val="left" w:pos="790"/>
              </w:tabs>
              <w:rPr>
                <w:b/>
                <w:sz w:val="18"/>
              </w:rPr>
            </w:pPr>
            <w:r w:rsidRPr="00C71E06">
              <w:rPr>
                <w:rFonts w:hint="eastAsia"/>
                <w:b/>
                <w:sz w:val="18"/>
              </w:rPr>
              <w:t>Case</w:t>
            </w:r>
          </w:p>
        </w:tc>
        <w:tc>
          <w:tcPr>
            <w:tcW w:w="2160" w:type="dxa"/>
          </w:tcPr>
          <w:p w:rsidR="00EA64DE" w:rsidRPr="00C71E06" w:rsidRDefault="00EA64DE" w:rsidP="00895FCE">
            <w:pPr>
              <w:tabs>
                <w:tab w:val="left" w:pos="790"/>
              </w:tabs>
              <w:rPr>
                <w:b/>
                <w:sz w:val="18"/>
              </w:rPr>
            </w:pPr>
            <w:r w:rsidRPr="00C71E06">
              <w:rPr>
                <w:b/>
                <w:sz w:val="18"/>
              </w:rPr>
              <w:t>NGSO1</w:t>
            </w:r>
          </w:p>
        </w:tc>
        <w:tc>
          <w:tcPr>
            <w:tcW w:w="1440" w:type="dxa"/>
          </w:tcPr>
          <w:p w:rsidR="00EA64DE" w:rsidRPr="00C71E06" w:rsidRDefault="00EA64DE" w:rsidP="00895FCE">
            <w:pPr>
              <w:tabs>
                <w:tab w:val="left" w:pos="790"/>
              </w:tabs>
              <w:rPr>
                <w:b/>
                <w:sz w:val="18"/>
              </w:rPr>
            </w:pPr>
            <w:r w:rsidRPr="00C71E06">
              <w:rPr>
                <w:b/>
                <w:sz w:val="18"/>
              </w:rPr>
              <w:t>N</w:t>
            </w:r>
            <w:r w:rsidR="00216A70">
              <w:rPr>
                <w:b/>
                <w:sz w:val="18"/>
              </w:rPr>
              <w:t>GS</w:t>
            </w:r>
            <w:r w:rsidRPr="00C71E06">
              <w:rPr>
                <w:b/>
                <w:sz w:val="18"/>
              </w:rPr>
              <w:t>O2</w:t>
            </w:r>
          </w:p>
        </w:tc>
        <w:tc>
          <w:tcPr>
            <w:tcW w:w="3600" w:type="dxa"/>
          </w:tcPr>
          <w:p w:rsidR="00EA64DE" w:rsidRPr="00C71E06" w:rsidRDefault="00EA64DE" w:rsidP="00895FCE">
            <w:pPr>
              <w:tabs>
                <w:tab w:val="left" w:pos="790"/>
              </w:tabs>
              <w:rPr>
                <w:b/>
                <w:sz w:val="18"/>
              </w:rPr>
            </w:pPr>
            <w:r w:rsidRPr="00C71E06">
              <w:rPr>
                <w:b/>
                <w:sz w:val="18"/>
              </w:rPr>
              <w:t xml:space="preserve">Impact of serving cell relaxation on neighbour cell delay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1</w:t>
            </w:r>
          </w:p>
        </w:tc>
        <w:tc>
          <w:tcPr>
            <w:tcW w:w="2160" w:type="dxa"/>
          </w:tcPr>
          <w:p w:rsidR="00EA64DE" w:rsidRPr="00B21A67" w:rsidRDefault="00EA64DE" w:rsidP="00895FCE">
            <w:pPr>
              <w:tabs>
                <w:tab w:val="left" w:pos="790"/>
              </w:tabs>
              <w:rPr>
                <w:sz w:val="18"/>
              </w:rPr>
            </w:pPr>
            <w:r w:rsidRPr="00B21A67">
              <w:rPr>
                <w:sz w:val="18"/>
              </w:rPr>
              <w:t xml:space="preserve">Serving + intra neighbour </w:t>
            </w:r>
          </w:p>
        </w:tc>
        <w:tc>
          <w:tcPr>
            <w:tcW w:w="1440" w:type="dxa"/>
          </w:tcPr>
          <w:p w:rsidR="00EA64DE" w:rsidRPr="00B21A67" w:rsidRDefault="00EA64DE" w:rsidP="00895FCE">
            <w:pPr>
              <w:tabs>
                <w:tab w:val="left" w:pos="790"/>
              </w:tabs>
              <w:rPr>
                <w:sz w:val="18"/>
              </w:rPr>
            </w:pPr>
            <w:r w:rsidRPr="00B21A67">
              <w:rPr>
                <w:sz w:val="18"/>
              </w:rPr>
              <w:t xml:space="preserve">intra neighbour </w:t>
            </w:r>
          </w:p>
        </w:tc>
        <w:tc>
          <w:tcPr>
            <w:tcW w:w="3600" w:type="dxa"/>
          </w:tcPr>
          <w:p w:rsidR="00EA64DE" w:rsidRPr="00B21A67" w:rsidRDefault="00EA64DE" w:rsidP="00895FCE">
            <w:pPr>
              <w:tabs>
                <w:tab w:val="left" w:pos="790"/>
              </w:tabs>
              <w:rPr>
                <w:sz w:val="18"/>
              </w:rPr>
            </w:pPr>
            <w:r w:rsidRPr="00B21A67">
              <w:rPr>
                <w:rFonts w:hint="eastAsia"/>
                <w:sz w:val="18"/>
              </w:rPr>
              <w:t>NO</w:t>
            </w:r>
            <w:r w:rsidRPr="00B21A67">
              <w:rPr>
                <w:sz w:val="18"/>
              </w:rPr>
              <w:t>, neighbour cell from NGSO 1 is already measured every DRX.</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2</w:t>
            </w:r>
          </w:p>
        </w:tc>
        <w:tc>
          <w:tcPr>
            <w:tcW w:w="2160" w:type="dxa"/>
          </w:tcPr>
          <w:p w:rsidR="00EA64DE" w:rsidRPr="00B21A67" w:rsidRDefault="00EA64DE" w:rsidP="00895FCE">
            <w:pPr>
              <w:tabs>
                <w:tab w:val="left" w:pos="790"/>
              </w:tabs>
              <w:rPr>
                <w:sz w:val="18"/>
              </w:rPr>
            </w:pPr>
            <w:r w:rsidRPr="00B21A67">
              <w:rPr>
                <w:sz w:val="18"/>
              </w:rPr>
              <w:t xml:space="preserve">Serving + intra neighbour </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rFonts w:hint="eastAsia"/>
                <w:sz w:val="18"/>
              </w:rPr>
              <w:t>NO</w:t>
            </w:r>
            <w:r w:rsidRPr="00B21A67">
              <w:rPr>
                <w:sz w:val="18"/>
              </w:rPr>
              <w:t>, neighbour cell from NGSO 1 is already measured every DRX.</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3</w:t>
            </w:r>
          </w:p>
        </w:tc>
        <w:tc>
          <w:tcPr>
            <w:tcW w:w="2160" w:type="dxa"/>
          </w:tcPr>
          <w:p w:rsidR="00EA64DE" w:rsidRPr="00B21A67" w:rsidRDefault="00EA64DE" w:rsidP="00895FCE">
            <w:pPr>
              <w:tabs>
                <w:tab w:val="left" w:pos="790"/>
              </w:tabs>
              <w:rPr>
                <w:sz w:val="18"/>
              </w:rPr>
            </w:pPr>
            <w:r w:rsidRPr="00B21A67">
              <w:rPr>
                <w:sz w:val="18"/>
              </w:rPr>
              <w:t xml:space="preserve">Serving + inter neighbour </w:t>
            </w:r>
          </w:p>
        </w:tc>
        <w:tc>
          <w:tcPr>
            <w:tcW w:w="1440" w:type="dxa"/>
          </w:tcPr>
          <w:p w:rsidR="00EA64DE" w:rsidRPr="00B21A67" w:rsidRDefault="00EA64DE" w:rsidP="00895FCE">
            <w:pPr>
              <w:tabs>
                <w:tab w:val="left" w:pos="790"/>
              </w:tabs>
              <w:rPr>
                <w:sz w:val="18"/>
              </w:rPr>
            </w:pPr>
            <w:r w:rsidRPr="00B21A67">
              <w:rPr>
                <w:sz w:val="18"/>
              </w:rPr>
              <w:t>intra neighbour</w:t>
            </w:r>
          </w:p>
        </w:tc>
        <w:tc>
          <w:tcPr>
            <w:tcW w:w="3600" w:type="dxa"/>
          </w:tcPr>
          <w:p w:rsidR="00EA64DE" w:rsidRPr="00B21A67" w:rsidRDefault="00EA64DE" w:rsidP="00895FCE">
            <w:pPr>
              <w:tabs>
                <w:tab w:val="left" w:pos="790"/>
              </w:tabs>
              <w:rPr>
                <w:sz w:val="18"/>
              </w:rPr>
            </w:pPr>
            <w:r w:rsidRPr="00B21A67">
              <w:rPr>
                <w:sz w:val="18"/>
              </w:rPr>
              <w:t xml:space="preserve">Intra delay could be shorter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4</w:t>
            </w:r>
          </w:p>
        </w:tc>
        <w:tc>
          <w:tcPr>
            <w:tcW w:w="2160" w:type="dxa"/>
          </w:tcPr>
          <w:p w:rsidR="00EA64DE" w:rsidRPr="00B21A67" w:rsidRDefault="00EA64DE" w:rsidP="00895FCE">
            <w:pPr>
              <w:tabs>
                <w:tab w:val="left" w:pos="790"/>
              </w:tabs>
              <w:rPr>
                <w:sz w:val="18"/>
              </w:rPr>
            </w:pPr>
            <w:r w:rsidRPr="00B21A67">
              <w:rPr>
                <w:sz w:val="18"/>
              </w:rPr>
              <w:t>Serving + inter neighbour</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sz w:val="18"/>
              </w:rPr>
              <w:t xml:space="preserve">No impact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5</w:t>
            </w:r>
          </w:p>
        </w:tc>
        <w:tc>
          <w:tcPr>
            <w:tcW w:w="2160" w:type="dxa"/>
          </w:tcPr>
          <w:p w:rsidR="00EA64DE" w:rsidRPr="00B21A67" w:rsidRDefault="00EA64DE" w:rsidP="00895FCE">
            <w:pPr>
              <w:tabs>
                <w:tab w:val="left" w:pos="790"/>
              </w:tabs>
              <w:rPr>
                <w:sz w:val="18"/>
              </w:rPr>
            </w:pPr>
            <w:r w:rsidRPr="00B21A67">
              <w:rPr>
                <w:sz w:val="18"/>
              </w:rPr>
              <w:t>Serving</w:t>
            </w:r>
          </w:p>
        </w:tc>
        <w:tc>
          <w:tcPr>
            <w:tcW w:w="1440" w:type="dxa"/>
          </w:tcPr>
          <w:p w:rsidR="00EA64DE" w:rsidRPr="00B21A67" w:rsidRDefault="00EA64DE" w:rsidP="00895FCE">
            <w:pPr>
              <w:tabs>
                <w:tab w:val="left" w:pos="790"/>
              </w:tabs>
              <w:rPr>
                <w:sz w:val="18"/>
              </w:rPr>
            </w:pPr>
            <w:r w:rsidRPr="00B21A67">
              <w:rPr>
                <w:sz w:val="18"/>
              </w:rPr>
              <w:t>intra neighbour</w:t>
            </w:r>
          </w:p>
        </w:tc>
        <w:tc>
          <w:tcPr>
            <w:tcW w:w="3600" w:type="dxa"/>
          </w:tcPr>
          <w:p w:rsidR="00EA64DE" w:rsidRPr="00B21A67" w:rsidRDefault="00EA64DE" w:rsidP="00895FCE">
            <w:pPr>
              <w:tabs>
                <w:tab w:val="left" w:pos="790"/>
              </w:tabs>
              <w:rPr>
                <w:sz w:val="18"/>
              </w:rPr>
            </w:pPr>
            <w:r w:rsidRPr="00B21A67">
              <w:rPr>
                <w:sz w:val="18"/>
              </w:rPr>
              <w:t xml:space="preserve">Intra delay could be shorter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6</w:t>
            </w:r>
          </w:p>
        </w:tc>
        <w:tc>
          <w:tcPr>
            <w:tcW w:w="2160" w:type="dxa"/>
          </w:tcPr>
          <w:p w:rsidR="00EA64DE" w:rsidRPr="00B21A67" w:rsidRDefault="00EA64DE" w:rsidP="00895FCE">
            <w:pPr>
              <w:tabs>
                <w:tab w:val="left" w:pos="790"/>
              </w:tabs>
              <w:rPr>
                <w:sz w:val="18"/>
              </w:rPr>
            </w:pPr>
            <w:r w:rsidRPr="00B21A67">
              <w:rPr>
                <w:sz w:val="18"/>
              </w:rPr>
              <w:t>Serving</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sz w:val="18"/>
              </w:rPr>
              <w:t xml:space="preserve">No impact </w:t>
            </w:r>
          </w:p>
        </w:tc>
      </w:tr>
    </w:tbl>
    <w:p w:rsidR="001452C9" w:rsidRPr="00C71E06" w:rsidRDefault="001452C9" w:rsidP="004A516B">
      <w:pPr>
        <w:jc w:val="both"/>
      </w:pPr>
    </w:p>
    <w:p w:rsidR="00C71E06" w:rsidRDefault="00C71E06" w:rsidP="004A516B">
      <w:pPr>
        <w:jc w:val="both"/>
      </w:pPr>
      <w:r w:rsidRPr="00C71E06">
        <w:t xml:space="preserve">For case 1, both serving cell and intra-frequency neighbour cell are in the same satellites, and there </w:t>
      </w:r>
      <w:r>
        <w:t>are</w:t>
      </w:r>
      <w:r w:rsidRPr="00C71E06">
        <w:t xml:space="preserve"> other intra-frequency neighbour cells in another satellites. Since UE is already measuring neighbour cells in NGSO1, no matter </w:t>
      </w:r>
      <w:r>
        <w:t>whether the serving cell measurement is relaxed or not, it has no impact on neighbour cell measurement delay.</w:t>
      </w:r>
    </w:p>
    <w:p w:rsidR="00C71E06" w:rsidRDefault="00C71E06" w:rsidP="004A516B">
      <w:pPr>
        <w:jc w:val="both"/>
      </w:pPr>
      <w:r>
        <w:t>For case 2</w:t>
      </w:r>
      <w:r w:rsidR="007051D4">
        <w:t xml:space="preserve">, for intra-frequency neighbour cell measurement, </w:t>
      </w:r>
      <w:r w:rsidR="00216A70">
        <w:t>no matter whether serving cell measurement is relaxed or not, it has no impacts on intra-frequency neighbour cell measurement. For inter-frequency measurement where neighbour cells are in NSGO2, since intra-frequency and inter-frequency are performed in parallel, thus there is not also no impacts.</w:t>
      </w:r>
    </w:p>
    <w:p w:rsidR="00216A70" w:rsidRDefault="00216A70" w:rsidP="004A516B">
      <w:pPr>
        <w:jc w:val="both"/>
      </w:pPr>
      <w:r>
        <w:t>For case 3</w:t>
      </w:r>
      <w:r w:rsidR="009D7A66">
        <w:t xml:space="preserve"> and 5</w:t>
      </w:r>
      <w:r>
        <w:t xml:space="preserve">, intra-frequency neighbour cells are in NGSO 2, if UE can </w:t>
      </w:r>
      <w:r w:rsidR="00BE6B86">
        <w:t xml:space="preserve">spare some measurement opportunities of serving cell measurement to measure intra-frequency neighbour cell in NGSO 2, it is possible that the delay for neighbour cell measurement could be shorter. However, in RAN4 requirements, the overall delay is scaled by </w:t>
      </w:r>
      <w:proofErr w:type="spellStart"/>
      <w:r w:rsidR="00BE6B86">
        <w:t>K</w:t>
      </w:r>
      <w:r w:rsidR="00BE6B86" w:rsidRPr="00BE6B86">
        <w:rPr>
          <w:vertAlign w:val="subscript"/>
        </w:rPr>
        <w:t>satellite</w:t>
      </w:r>
      <w:proofErr w:type="spellEnd"/>
      <w:r w:rsidR="00BE6B86">
        <w:t>, which means not matter whether serving cell is measure every DRX or every N*DRX, the delay requirements to neighbour cell measurement is same.</w:t>
      </w:r>
    </w:p>
    <w:p w:rsidR="00BE6B86" w:rsidRDefault="00BE6B86" w:rsidP="004A516B">
      <w:pPr>
        <w:jc w:val="both"/>
      </w:pPr>
      <w:r>
        <w:lastRenderedPageBreak/>
        <w:t xml:space="preserve">For case </w:t>
      </w:r>
      <w:r w:rsidR="009D7A66">
        <w:t xml:space="preserve">4 and case 6, </w:t>
      </w:r>
      <w:r w:rsidR="00933DA9">
        <w:t>for particular frequency layer, there is no sharing among different satellites, thus there is no impacts on neighbour cell measurement delay.</w:t>
      </w:r>
    </w:p>
    <w:p w:rsidR="00933DA9" w:rsidRDefault="00933DA9" w:rsidP="004A516B">
      <w:pPr>
        <w:jc w:val="both"/>
        <w:rPr>
          <w:b/>
        </w:rPr>
      </w:pPr>
      <w:r w:rsidRPr="00933DA9">
        <w:rPr>
          <w:b/>
        </w:rPr>
        <w:t>Observation 5:</w:t>
      </w:r>
      <w:r>
        <w:rPr>
          <w:b/>
        </w:rPr>
        <w:t xml:space="preserve"> When the serving cell and all intra-frequency neighbour cells are in different satellites, UE may have more opportunities for intra-frequency measurement when serving cell measurement is relaxed. However, </w:t>
      </w:r>
      <w:r w:rsidR="00EF3D51">
        <w:rPr>
          <w:b/>
        </w:rPr>
        <w:t xml:space="preserve">there is no difference from requirements perspective since the measurement delay are scaled by number of satellites. </w:t>
      </w:r>
    </w:p>
    <w:p w:rsidR="00933DA9" w:rsidRPr="00BE6B86" w:rsidRDefault="00EF3D51" w:rsidP="004A516B">
      <w:pPr>
        <w:jc w:val="both"/>
      </w:pPr>
      <w:r w:rsidRPr="00EF3D51">
        <w:t xml:space="preserve">For observation 5, </w:t>
      </w:r>
      <w:r>
        <w:t xml:space="preserve">more specifically, </w:t>
      </w:r>
      <w:r w:rsidRPr="00EF3D51">
        <w:t xml:space="preserve">it may make sense if we can figure our finer approach about the sharing of different satellites </w:t>
      </w:r>
      <w:r w:rsidR="00B55002">
        <w:t>in</w:t>
      </w:r>
      <w:r w:rsidRPr="00EF3D51">
        <w:t xml:space="preserve"> stead of directly scaled by number of satellites.</w:t>
      </w:r>
      <w:r w:rsidR="00CA176C">
        <w:t xml:space="preserve"> However, there was similar discussion in NTN that whether UE can skip serving cell measurement and only focus on neighbour cell measurement, which is not considered. Thus, for this particular issue, we still </w:t>
      </w:r>
      <w:r w:rsidR="003421F3">
        <w:t xml:space="preserve">prefer to add addition conditions for serving cell relaxation to avoid unnecessary delay for cell reselection procedure. But we are fine to </w:t>
      </w:r>
      <w:r w:rsidR="00037E80">
        <w:t>add</w:t>
      </w:r>
      <w:r w:rsidR="003421F3">
        <w:t xml:space="preserve"> conditions to exclude the cases as mentioned above whether UE may </w:t>
      </w:r>
      <w:r w:rsidR="003421F3" w:rsidRPr="003421F3">
        <w:t>have more opportunities for intra-frequency measurement</w:t>
      </w:r>
      <w:r w:rsidR="003421F3">
        <w:t xml:space="preserve"> up to implementation.</w:t>
      </w:r>
    </w:p>
    <w:p w:rsidR="00757896" w:rsidRPr="00284EA4" w:rsidRDefault="00284EA4" w:rsidP="004A516B">
      <w:pPr>
        <w:jc w:val="both"/>
        <w:rPr>
          <w:b/>
          <w:lang w:val="en-US"/>
        </w:rPr>
      </w:pPr>
      <w:r w:rsidRPr="00284EA4">
        <w:rPr>
          <w:b/>
          <w:lang w:val="en-US"/>
        </w:rPr>
        <w:t xml:space="preserve">Proposal </w:t>
      </w:r>
      <w:r w:rsidR="00B430DA">
        <w:rPr>
          <w:b/>
          <w:lang w:val="en-US"/>
        </w:rPr>
        <w:t>1</w:t>
      </w:r>
    </w:p>
    <w:p w:rsidR="00284EA4" w:rsidRPr="00284EA4" w:rsidRDefault="00284EA4" w:rsidP="00284EA4">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284EA4" w:rsidRPr="00284EA4" w:rsidRDefault="00284EA4" w:rsidP="00284EA4">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B02B63" w:rsidRPr="00BC5381" w:rsidRDefault="00B02B63" w:rsidP="00BC5381">
      <w:pPr>
        <w:jc w:val="both"/>
        <w:rPr>
          <w:b/>
        </w:rPr>
      </w:pPr>
    </w:p>
    <w:p w:rsidR="003B6493" w:rsidRPr="003B6493" w:rsidRDefault="003B6493" w:rsidP="003B6493">
      <w:pPr>
        <w:pStyle w:val="Heading2"/>
        <w:rPr>
          <w:lang w:val="en-US" w:eastAsia="zh-CN"/>
        </w:rPr>
      </w:pPr>
      <w:r>
        <w:rPr>
          <w:lang w:val="en-US" w:eastAsia="zh-CN"/>
        </w:rPr>
        <w:t>2.</w:t>
      </w:r>
      <w:r w:rsidR="00EE5757">
        <w:rPr>
          <w:lang w:val="en-US" w:eastAsia="zh-CN"/>
        </w:rPr>
        <w:t>2</w:t>
      </w:r>
      <w:r>
        <w:rPr>
          <w:lang w:val="en-US" w:eastAsia="zh-CN"/>
        </w:rPr>
        <w:t xml:space="preserve"> Requirements for Discontinuous coverage</w:t>
      </w:r>
    </w:p>
    <w:p w:rsidR="005A78B6" w:rsidRDefault="00D60598" w:rsidP="004E4C75">
      <w:pPr>
        <w:jc w:val="both"/>
      </w:pPr>
      <w:r>
        <w:t>There are remaining issues related to discontinuous coverage, which are shown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D60598" w:rsidTr="00E23794">
        <w:trPr>
          <w:cantSplit/>
        </w:trPr>
        <w:tc>
          <w:tcPr>
            <w:tcW w:w="9562" w:type="dxa"/>
          </w:tcPr>
          <w:p w:rsidR="00434D68" w:rsidRDefault="00434D68" w:rsidP="00434D68">
            <w:pPr>
              <w:overflowPunct w:val="0"/>
              <w:autoSpaceDE w:val="0"/>
              <w:autoSpaceDN w:val="0"/>
              <w:adjustRightInd w:val="0"/>
              <w:textAlignment w:val="baseline"/>
              <w:rPr>
                <w:rFonts w:ascii="Arial" w:eastAsia="宋体" w:hAnsi="Arial"/>
                <w:sz w:val="24"/>
                <w:szCs w:val="18"/>
                <w:lang w:val="sv-SE" w:eastAsia="zh-CN"/>
              </w:rPr>
            </w:pPr>
          </w:p>
          <w:p w:rsidR="00434D68" w:rsidRPr="00434D68" w:rsidRDefault="00434D68" w:rsidP="00434D68">
            <w:pPr>
              <w:keepNext/>
              <w:keepLines/>
              <w:spacing w:before="120"/>
              <w:outlineLvl w:val="3"/>
              <w:rPr>
                <w:rFonts w:ascii="Arial" w:eastAsia="PMingLiU" w:hAnsi="Arial"/>
                <w:sz w:val="24"/>
                <w:szCs w:val="18"/>
                <w:lang w:val="en-US" w:eastAsia="zh-TW"/>
              </w:rPr>
            </w:pPr>
            <w:r w:rsidRPr="00434D68">
              <w:rPr>
                <w:rFonts w:ascii="Arial" w:eastAsia="宋体" w:hAnsi="Arial"/>
                <w:sz w:val="24"/>
                <w:szCs w:val="18"/>
                <w:lang w:val="sv-SE" w:eastAsia="zh-CN"/>
              </w:rPr>
              <w:t xml:space="preserve">Issue </w:t>
            </w:r>
            <w:r w:rsidRPr="00434D68">
              <w:rPr>
                <w:rFonts w:ascii="Arial" w:eastAsia="PMingLiU" w:hAnsi="Arial"/>
                <w:sz w:val="24"/>
                <w:szCs w:val="18"/>
                <w:lang w:val="sv-SE" w:eastAsia="zh-TW"/>
              </w:rPr>
              <w:t>2-1</w:t>
            </w:r>
            <w:r w:rsidRPr="00434D68">
              <w:rPr>
                <w:rFonts w:ascii="Arial" w:eastAsia="宋体" w:hAnsi="Arial"/>
                <w:sz w:val="24"/>
                <w:szCs w:val="18"/>
                <w:lang w:val="sv-SE" w:eastAsia="zh-CN"/>
              </w:rPr>
              <w:t>: Discontinuous Coverage upon UE is in coverage</w:t>
            </w:r>
          </w:p>
          <w:p w:rsidR="00434D68" w:rsidRPr="00434D68" w:rsidRDefault="00434D68" w:rsidP="00434D68">
            <w:r w:rsidRPr="00434D68">
              <w:rPr>
                <w:rFonts w:hint="eastAsia"/>
              </w:rPr>
              <w:t>FFS</w:t>
            </w:r>
          </w:p>
          <w:p w:rsidR="00434D68" w:rsidRPr="00434D68" w:rsidRDefault="00434D68" w:rsidP="00434D68">
            <w:pPr>
              <w:numPr>
                <w:ilvl w:val="0"/>
                <w:numId w:val="28"/>
              </w:numPr>
              <w:overflowPunct w:val="0"/>
              <w:autoSpaceDE w:val="0"/>
              <w:autoSpaceDN w:val="0"/>
              <w:adjustRightInd w:val="0"/>
              <w:ind w:left="360"/>
              <w:textAlignment w:val="baseline"/>
            </w:pPr>
            <w:r w:rsidRPr="00434D68">
              <w:rPr>
                <w:rFonts w:eastAsia="PMingLiU"/>
                <w:b/>
                <w:bCs/>
                <w:lang w:val="en-US" w:eastAsia="zh-TW"/>
              </w:rPr>
              <w:t>Proposal 1:</w:t>
            </w:r>
            <w:r w:rsidRPr="00434D68">
              <w:rPr>
                <w:rFonts w:eastAsia="PMingLiU"/>
                <w:lang w:val="en-US" w:eastAsia="zh-TW"/>
              </w:rPr>
              <w:t xml:space="preserve"> </w:t>
            </w:r>
            <w:r w:rsidRPr="00434D68">
              <w:t xml:space="preserve">RAN4 to agree that in discontinuous coverage scenarios, the UE shall resume measurements when the UE is in </w:t>
            </w:r>
            <w:r w:rsidRPr="00434D68">
              <w:rPr>
                <w:u w:val="single"/>
              </w:rPr>
              <w:t>expected coverage</w:t>
            </w:r>
            <w:r w:rsidRPr="00434D68">
              <w:t xml:space="preserve"> as defined by the previously acquired </w:t>
            </w:r>
            <w:r w:rsidRPr="00434D68">
              <w:rPr>
                <w:i/>
                <w:iCs/>
              </w:rPr>
              <w:t>SystemInformationBlockType32</w:t>
            </w:r>
            <w:r w:rsidRPr="00434D68">
              <w:t xml:space="preserve">. </w:t>
            </w:r>
          </w:p>
          <w:p w:rsidR="00434D68" w:rsidRPr="00434D68" w:rsidRDefault="00434D68" w:rsidP="00434D68">
            <w:pPr>
              <w:numPr>
                <w:ilvl w:val="0"/>
                <w:numId w:val="28"/>
              </w:numPr>
              <w:spacing w:after="120"/>
              <w:ind w:left="360"/>
              <w:rPr>
                <w:rFonts w:eastAsia="宋体"/>
                <w:szCs w:val="24"/>
                <w:lang w:eastAsia="zh-CN"/>
              </w:rPr>
            </w:pPr>
            <w:r w:rsidRPr="00434D68">
              <w:rPr>
                <w:rFonts w:eastAsia="PMingLiU"/>
                <w:b/>
                <w:bCs/>
                <w:lang w:val="en-US" w:eastAsia="zh-TW"/>
              </w:rPr>
              <w:t>Proposal</w:t>
            </w:r>
            <w:r w:rsidRPr="00434D68">
              <w:rPr>
                <w:b/>
                <w:bCs/>
              </w:rPr>
              <w:t xml:space="preserve"> 1a</w:t>
            </w:r>
            <w:r w:rsidRPr="00434D68">
              <w:t xml:space="preserve">: RAN4 to agree that in discontinuous coverage scenarios, the UE shall resume measurements when the UE is in </w:t>
            </w:r>
            <w:r w:rsidRPr="00434D68">
              <w:rPr>
                <w:u w:val="single"/>
              </w:rPr>
              <w:t>expected in-coverage</w:t>
            </w:r>
            <w:r w:rsidRPr="00434D68">
              <w:t xml:space="preserve"> after UE acquired the </w:t>
            </w:r>
            <w:r w:rsidRPr="00434D68">
              <w:rPr>
                <w:i/>
              </w:rPr>
              <w:t>SystemInformationBlockType32.</w:t>
            </w:r>
            <w:r w:rsidRPr="00434D68">
              <w:rPr>
                <w:rFonts w:ascii="PMingLiU" w:eastAsia="PMingLiU" w:hAnsi="PMingLiU" w:hint="eastAsia"/>
                <w:iCs/>
                <w:lang w:eastAsia="zh-TW"/>
              </w:rPr>
              <w:t xml:space="preserve"> </w:t>
            </w:r>
          </w:p>
          <w:p w:rsidR="00434D68" w:rsidRPr="00434D68" w:rsidRDefault="00434D68" w:rsidP="00434D68">
            <w:pPr>
              <w:numPr>
                <w:ilvl w:val="0"/>
                <w:numId w:val="28"/>
              </w:numPr>
              <w:overflowPunct w:val="0"/>
              <w:autoSpaceDE w:val="0"/>
              <w:autoSpaceDN w:val="0"/>
              <w:adjustRightInd w:val="0"/>
              <w:ind w:left="360"/>
              <w:textAlignment w:val="baseline"/>
              <w:rPr>
                <w:rFonts w:eastAsia="PMingLiU"/>
                <w:lang w:val="en-US" w:eastAsia="zh-TW"/>
              </w:rPr>
            </w:pPr>
            <w:r w:rsidRPr="00434D68">
              <w:rPr>
                <w:rFonts w:eastAsia="PMingLiU"/>
                <w:b/>
                <w:bCs/>
                <w:lang w:val="en-US" w:eastAsia="zh-TW"/>
              </w:rPr>
              <w:t>Proposal 2:</w:t>
            </w:r>
            <w:r w:rsidRPr="00434D68">
              <w:rPr>
                <w:rFonts w:eastAsia="PMingLiU"/>
                <w:lang w:val="en-US" w:eastAsia="zh-TW"/>
              </w:rPr>
              <w:t xml:space="preserve"> RAN4 not to define requirements for discontinuous coverage upon UE is in coverage, which is similar as Cell selection procedure. </w:t>
            </w:r>
          </w:p>
          <w:p w:rsidR="00D6668F" w:rsidRDefault="00D6668F" w:rsidP="00D6668F">
            <w:pPr>
              <w:pStyle w:val="Heading4"/>
              <w:rPr>
                <w:rFonts w:ascii="Arial" w:eastAsia="宋体" w:hAnsi="Arial" w:cs="Times New Roman"/>
                <w:i w:val="0"/>
                <w:iCs w:val="0"/>
                <w:color w:val="auto"/>
                <w:sz w:val="24"/>
                <w:szCs w:val="18"/>
                <w:lang w:val="sv-SE" w:eastAsia="zh-CN"/>
              </w:rPr>
            </w:pPr>
          </w:p>
          <w:p w:rsidR="00D6668F" w:rsidRPr="00D6668F" w:rsidRDefault="00D6668F" w:rsidP="00D6668F">
            <w:pPr>
              <w:pStyle w:val="Heading4"/>
              <w:rPr>
                <w:rFonts w:ascii="Arial" w:eastAsia="PMingLiU" w:hAnsi="Arial" w:cs="Times New Roman"/>
                <w:i w:val="0"/>
                <w:iCs w:val="0"/>
                <w:color w:val="auto"/>
                <w:sz w:val="24"/>
                <w:szCs w:val="18"/>
                <w:lang w:val="sv-SE" w:eastAsia="zh-TW"/>
              </w:rPr>
            </w:pPr>
            <w:r w:rsidRPr="00D6668F">
              <w:rPr>
                <w:rFonts w:ascii="Arial" w:eastAsia="宋体" w:hAnsi="Arial" w:cs="Times New Roman"/>
                <w:i w:val="0"/>
                <w:iCs w:val="0"/>
                <w:color w:val="auto"/>
                <w:sz w:val="24"/>
                <w:szCs w:val="18"/>
                <w:lang w:val="sv-SE" w:eastAsia="zh-CN"/>
              </w:rPr>
              <w:t xml:space="preserve"> Issue 2-</w:t>
            </w:r>
            <w:r w:rsidRPr="00D6668F">
              <w:rPr>
                <w:rFonts w:ascii="Arial" w:eastAsia="PMingLiU" w:hAnsi="Arial" w:cs="Times New Roman"/>
                <w:i w:val="0"/>
                <w:iCs w:val="0"/>
                <w:color w:val="auto"/>
                <w:sz w:val="24"/>
                <w:szCs w:val="18"/>
                <w:lang w:val="sv-SE" w:eastAsia="zh-TW"/>
              </w:rPr>
              <w:t>3</w:t>
            </w:r>
            <w:r w:rsidRPr="00D6668F">
              <w:rPr>
                <w:rFonts w:ascii="Arial" w:eastAsia="宋体" w:hAnsi="Arial" w:cs="Times New Roman"/>
                <w:i w:val="0"/>
                <w:iCs w:val="0"/>
                <w:color w:val="auto"/>
                <w:sz w:val="24"/>
                <w:szCs w:val="18"/>
                <w:lang w:val="sv-SE" w:eastAsia="zh-CN"/>
              </w:rPr>
              <w:t xml:space="preserve">: Discontinuous Coverage - revision on </w:t>
            </w:r>
            <w:r w:rsidRPr="00D6668F">
              <w:rPr>
                <w:rFonts w:ascii="Arial" w:eastAsia="PMingLiU" w:hAnsi="Arial" w:cs="Times New Roman"/>
                <w:i w:val="0"/>
                <w:iCs w:val="0"/>
                <w:color w:val="auto"/>
                <w:sz w:val="24"/>
                <w:szCs w:val="18"/>
                <w:lang w:val="sv-SE" w:eastAsia="zh-TW"/>
              </w:rPr>
              <w:t>paging requirement</w:t>
            </w:r>
          </w:p>
          <w:p w:rsidR="00D6668F" w:rsidRPr="00D6668F" w:rsidRDefault="00D6668F" w:rsidP="00D6668F">
            <w:pPr>
              <w:numPr>
                <w:ilvl w:val="0"/>
                <w:numId w:val="27"/>
              </w:numPr>
              <w:overflowPunct w:val="0"/>
              <w:autoSpaceDE w:val="0"/>
              <w:autoSpaceDN w:val="0"/>
              <w:adjustRightInd w:val="0"/>
              <w:ind w:left="360"/>
              <w:textAlignment w:val="baseline"/>
              <w:rPr>
                <w:rFonts w:eastAsia="PMingLiU"/>
                <w:lang w:val="en-US" w:eastAsia="zh-TW"/>
              </w:rPr>
            </w:pPr>
            <w:r w:rsidRPr="00D6668F">
              <w:rPr>
                <w:rFonts w:eastAsia="PMingLiU"/>
                <w:lang w:val="en-US" w:eastAsia="zh-TW"/>
              </w:rPr>
              <w:t xml:space="preserve">Do not create additional requirements after </w:t>
            </w:r>
            <w:r w:rsidRPr="00D6668F">
              <w:rPr>
                <w:rFonts w:eastAsia="PMingLiU"/>
                <w:i/>
                <w:iCs/>
                <w:lang w:val="en-US" w:eastAsia="zh-TW"/>
              </w:rPr>
              <w:t>t-</w:t>
            </w:r>
            <w:proofErr w:type="spellStart"/>
            <w:r w:rsidRPr="00D6668F">
              <w:rPr>
                <w:rFonts w:eastAsia="PMingLiU"/>
                <w:i/>
                <w:iCs/>
                <w:lang w:val="en-US" w:eastAsia="zh-TW"/>
              </w:rPr>
              <w:t>serviceStart</w:t>
            </w:r>
            <w:proofErr w:type="spellEnd"/>
            <w:r w:rsidRPr="00D6668F">
              <w:rPr>
                <w:rFonts w:eastAsia="PMingLiU"/>
                <w:lang w:val="en-US" w:eastAsia="zh-TW"/>
              </w:rPr>
              <w:t xml:space="preserve"> regarding UE paging interruption. </w:t>
            </w:r>
          </w:p>
          <w:p w:rsidR="00D60598" w:rsidRPr="00D60598" w:rsidRDefault="00D60598" w:rsidP="00434D68">
            <w:pPr>
              <w:overflowPunct w:val="0"/>
              <w:autoSpaceDE w:val="0"/>
              <w:autoSpaceDN w:val="0"/>
              <w:adjustRightInd w:val="0"/>
              <w:textAlignment w:val="baseline"/>
              <w:rPr>
                <w:rFonts w:eastAsia="PMingLiU"/>
                <w:lang w:val="en-US" w:eastAsia="zh-TW"/>
              </w:rPr>
            </w:pPr>
          </w:p>
        </w:tc>
      </w:tr>
    </w:tbl>
    <w:p w:rsidR="00D60598" w:rsidRDefault="00D60598" w:rsidP="004E4C75">
      <w:pPr>
        <w:jc w:val="both"/>
      </w:pPr>
    </w:p>
    <w:p w:rsidR="00D6668F" w:rsidRDefault="00D6668F" w:rsidP="004E4C75">
      <w:pPr>
        <w:jc w:val="both"/>
        <w:rPr>
          <w:b/>
        </w:rPr>
      </w:pPr>
      <w:r>
        <w:t>For paging requirements, it was already agreed that do not create additional requirements after t-</w:t>
      </w:r>
      <w:proofErr w:type="spellStart"/>
      <w:r>
        <w:t>serviceStart</w:t>
      </w:r>
      <w:proofErr w:type="spellEnd"/>
      <w:r>
        <w:t>. For UE behaviour upon the UE is in coverage, for proposal 1 and 1a, there is no significant difference. From our understanding, it is up to UE implementation to determine in/out of coverage. Additionally, even with the clarification in proposal 1 and 1a, it does not give further information on the exact time point when UE shall assume it is in coverage. Thus, we prefer not to define in-coverage definition in RAN4 spec.</w:t>
      </w:r>
    </w:p>
    <w:p w:rsidR="00D60598" w:rsidRPr="00E430A2" w:rsidRDefault="00E430A2" w:rsidP="004E4C75">
      <w:pPr>
        <w:jc w:val="both"/>
        <w:rPr>
          <w:b/>
        </w:rPr>
      </w:pPr>
      <w:r w:rsidRPr="00E430A2">
        <w:rPr>
          <w:b/>
        </w:rPr>
        <w:t xml:space="preserve">Proposal 2: RAN4 not to define </w:t>
      </w:r>
      <w:r w:rsidR="00D6668F" w:rsidRPr="00D6668F">
        <w:rPr>
          <w:b/>
        </w:rPr>
        <w:t xml:space="preserve">in-coverage definition </w:t>
      </w:r>
      <w:r w:rsidRPr="00E430A2">
        <w:rPr>
          <w:b/>
        </w:rPr>
        <w:t xml:space="preserve">for discontinuous coverage </w:t>
      </w:r>
      <w:r w:rsidR="00D6668F">
        <w:rPr>
          <w:b/>
        </w:rPr>
        <w:t>scenarios.</w:t>
      </w:r>
    </w:p>
    <w:p w:rsidR="00386BEA" w:rsidRPr="00386BEA" w:rsidRDefault="00DF0231" w:rsidP="00A86270">
      <w:pPr>
        <w:pStyle w:val="Heading1"/>
        <w:numPr>
          <w:ilvl w:val="0"/>
          <w:numId w:val="1"/>
        </w:numPr>
        <w:rPr>
          <w:lang w:val="en-US"/>
        </w:rPr>
      </w:pPr>
      <w:bookmarkStart w:id="2" w:name="_GoBack"/>
      <w:bookmarkEnd w:id="2"/>
      <w:r w:rsidRPr="002D2977">
        <w:rPr>
          <w:lang w:val="en-US"/>
        </w:rPr>
        <w:t>Conclusions</w:t>
      </w:r>
    </w:p>
    <w:p w:rsidR="00D6668F" w:rsidRDefault="00D6668F" w:rsidP="00D6668F">
      <w:pPr>
        <w:jc w:val="both"/>
        <w:rPr>
          <w:rFonts w:eastAsiaTheme="minorEastAsia"/>
          <w:b/>
          <w:lang w:val="en-US" w:eastAsia="zh-CN"/>
        </w:rPr>
      </w:pPr>
      <w:r w:rsidRPr="004A516B">
        <w:rPr>
          <w:rFonts w:eastAsiaTheme="minorEastAsia"/>
          <w:b/>
          <w:lang w:val="en-US" w:eastAsia="zh-CN"/>
        </w:rPr>
        <w:t>Observation 1: Legacy relaxation criteria will lead to very long delay for cell re-selection after t-service.</w:t>
      </w:r>
    </w:p>
    <w:p w:rsidR="00D6668F" w:rsidRPr="00533FF7" w:rsidRDefault="00D6668F" w:rsidP="00D6668F">
      <w:pPr>
        <w:jc w:val="both"/>
        <w:rPr>
          <w:b/>
        </w:rPr>
      </w:pPr>
      <w:r w:rsidRPr="00533FF7">
        <w:rPr>
          <w:b/>
        </w:rPr>
        <w:lastRenderedPageBreak/>
        <w:t xml:space="preserve">Observation 2: It </w:t>
      </w:r>
      <w:r>
        <w:rPr>
          <w:b/>
        </w:rPr>
        <w:t>has been</w:t>
      </w:r>
      <w:r w:rsidRPr="00533FF7">
        <w:rPr>
          <w:b/>
        </w:rPr>
        <w:t xml:space="preserve"> agreed in IoT NTN </w:t>
      </w:r>
      <w:proofErr w:type="spellStart"/>
      <w:r w:rsidRPr="00533FF7">
        <w:rPr>
          <w:b/>
        </w:rPr>
        <w:t>enh</w:t>
      </w:r>
      <w:proofErr w:type="spellEnd"/>
      <w:r w:rsidRPr="00533FF7">
        <w:rPr>
          <w:b/>
        </w:rPr>
        <w:t xml:space="preserve"> that UE shall exit neighbour cell relaxation measurement before t-Service.</w:t>
      </w:r>
    </w:p>
    <w:p w:rsidR="00D6668F" w:rsidRDefault="00D6668F" w:rsidP="00D6668F">
      <w:pPr>
        <w:jc w:val="both"/>
        <w:rPr>
          <w:b/>
        </w:rPr>
      </w:pPr>
      <w:r w:rsidRPr="00CF1BAA">
        <w:rPr>
          <w:b/>
        </w:rPr>
        <w:t>Observation 3: Measurement opportunities for serving cell measurement and neighbour cell measurement shall be shared by different NGSO satellites.</w:t>
      </w:r>
    </w:p>
    <w:p w:rsidR="00D6668F" w:rsidRPr="004405D4" w:rsidRDefault="00D6668F" w:rsidP="00D6668F">
      <w:pPr>
        <w:jc w:val="both"/>
        <w:rPr>
          <w:b/>
        </w:rPr>
      </w:pPr>
      <w:r w:rsidRPr="004405D4">
        <w:rPr>
          <w:b/>
        </w:rPr>
        <w:t>Observation 4: For Rel-17 IoT NTN where neighbour cell ephemeris information is not available, UE shall exceed relaxed serving cell measurement before t-Service.</w:t>
      </w:r>
    </w:p>
    <w:p w:rsidR="00D6668F" w:rsidRDefault="00D6668F" w:rsidP="00D6668F">
      <w:pPr>
        <w:jc w:val="both"/>
        <w:rPr>
          <w:b/>
        </w:rPr>
      </w:pPr>
      <w:r w:rsidRPr="00933DA9">
        <w:rPr>
          <w:b/>
        </w:rPr>
        <w:t>Observation 5:</w:t>
      </w:r>
      <w:r>
        <w:rPr>
          <w:b/>
        </w:rPr>
        <w:t xml:space="preserve"> When the serving cell and all intra-frequency neighbour cells are in different satellites, UE may have more opportunities for intra-frequency measurement when serving cell measurement is relaxed. However, there is no difference from requirements perspective since the measurement delay are scaled by number of satellites. </w:t>
      </w:r>
    </w:p>
    <w:p w:rsidR="00D6668F" w:rsidRPr="00284EA4" w:rsidRDefault="00D6668F" w:rsidP="00D6668F">
      <w:pPr>
        <w:jc w:val="both"/>
        <w:rPr>
          <w:b/>
          <w:lang w:val="en-US"/>
        </w:rPr>
      </w:pPr>
      <w:r w:rsidRPr="00284EA4">
        <w:rPr>
          <w:b/>
          <w:lang w:val="en-US"/>
        </w:rPr>
        <w:t xml:space="preserve">Proposal </w:t>
      </w:r>
      <w:r>
        <w:rPr>
          <w:b/>
          <w:lang w:val="en-US"/>
        </w:rPr>
        <w:t>1</w:t>
      </w:r>
      <w:r w:rsidRPr="00284EA4">
        <w:rPr>
          <w:b/>
          <w:lang w:val="en-US"/>
        </w:rPr>
        <w:t xml:space="preserve">: </w:t>
      </w:r>
    </w:p>
    <w:p w:rsidR="00D6668F" w:rsidRPr="00284EA4" w:rsidRDefault="00D6668F" w:rsidP="00D6668F">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D6668F" w:rsidRPr="00284EA4" w:rsidRDefault="00D6668F" w:rsidP="00D6668F">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p>
    <w:p w:rsidR="00D6668F" w:rsidRPr="00E430A2" w:rsidRDefault="00D6668F" w:rsidP="00D6668F">
      <w:pPr>
        <w:jc w:val="both"/>
        <w:rPr>
          <w:b/>
        </w:rPr>
      </w:pPr>
      <w:r w:rsidRPr="00E430A2">
        <w:rPr>
          <w:b/>
        </w:rPr>
        <w:t xml:space="preserve">Proposal 2: RAN4 not to define </w:t>
      </w:r>
      <w:r w:rsidRPr="00D6668F">
        <w:rPr>
          <w:b/>
        </w:rPr>
        <w:t xml:space="preserve">in-coverage definition </w:t>
      </w:r>
      <w:r w:rsidRPr="00E430A2">
        <w:rPr>
          <w:b/>
        </w:rPr>
        <w:t xml:space="preserve">for discontinuous coverage </w:t>
      </w:r>
      <w:r>
        <w:rPr>
          <w:b/>
        </w:rPr>
        <w:t>scenarios.</w:t>
      </w:r>
    </w:p>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970995" w:rsidRPr="00970995">
        <w:rPr>
          <w:rFonts w:eastAsiaTheme="minorEastAsia"/>
          <w:lang w:val="en-US" w:eastAsia="zh-CN"/>
        </w:rPr>
        <w:t>R4-2310098</w:t>
      </w:r>
      <w:r w:rsidR="00970995">
        <w:rPr>
          <w:rFonts w:eastAsiaTheme="minorEastAsia"/>
          <w:lang w:val="en-US" w:eastAsia="zh-CN"/>
        </w:rPr>
        <w:t xml:space="preserve"> </w:t>
      </w:r>
      <w:r w:rsidR="00970995" w:rsidRPr="00970995">
        <w:rPr>
          <w:rFonts w:eastAsiaTheme="minorEastAsia"/>
          <w:lang w:val="en-US" w:eastAsia="zh-CN"/>
        </w:rPr>
        <w:t>WF on RRM requirements for NTN NB-IoT/</w:t>
      </w:r>
      <w:proofErr w:type="spellStart"/>
      <w:r w:rsidR="00970995" w:rsidRPr="00970995">
        <w:rPr>
          <w:rFonts w:eastAsiaTheme="minorEastAsia"/>
          <w:lang w:val="en-US" w:eastAsia="zh-CN"/>
        </w:rPr>
        <w:t>eMTC</w:t>
      </w:r>
      <w:proofErr w:type="spellEnd"/>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Pr="00970995" w:rsidRDefault="00970995" w:rsidP="00751D0C">
      <w:pPr>
        <w:rPr>
          <w:rFonts w:eastAsiaTheme="minorEastAsia"/>
          <w:lang w:eastAsia="zh-CN"/>
        </w:rPr>
      </w:pPr>
      <w:r>
        <w:rPr>
          <w:rFonts w:eastAsiaTheme="minorEastAsia"/>
          <w:lang w:val="en-US" w:eastAsia="zh-CN"/>
        </w:rPr>
        <w:t xml:space="preserve">[4] </w:t>
      </w:r>
      <w:r w:rsidRPr="00970995">
        <w:rPr>
          <w:rFonts w:eastAsiaTheme="minorEastAsia"/>
          <w:lang w:val="en-US" w:eastAsia="zh-CN"/>
        </w:rPr>
        <w:t>R4-2310099</w:t>
      </w:r>
      <w:r>
        <w:rPr>
          <w:rFonts w:eastAsiaTheme="minorEastAsia"/>
          <w:lang w:val="en-US" w:eastAsia="zh-CN"/>
        </w:rPr>
        <w:t xml:space="preserve"> </w:t>
      </w:r>
      <w:r w:rsidRPr="00970995">
        <w:rPr>
          <w:rFonts w:eastAsiaTheme="minorEastAsia"/>
          <w:lang w:val="en-US" w:eastAsia="zh-CN"/>
        </w:rPr>
        <w:t>WF on IoT NTN enhancements RRM requirements</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r>
        <w:rPr>
          <w:rFonts w:eastAsiaTheme="minorEastAsia"/>
          <w:lang w:val="en-US" w:eastAsia="zh-CN"/>
        </w:rPr>
        <w:t xml:space="preserve"> </w:t>
      </w:r>
    </w:p>
    <w:sectPr w:rsidR="007F425A" w:rsidRPr="0097099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3D2" w:rsidRDefault="00EB33D2">
      <w:pPr>
        <w:spacing w:after="0"/>
      </w:pPr>
      <w:r>
        <w:separator/>
      </w:r>
    </w:p>
  </w:endnote>
  <w:endnote w:type="continuationSeparator" w:id="0">
    <w:p w:rsidR="00EB33D2" w:rsidRDefault="00EB3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3D2" w:rsidRDefault="00EB33D2">
      <w:pPr>
        <w:spacing w:after="0"/>
      </w:pPr>
      <w:r>
        <w:separator/>
      </w:r>
    </w:p>
  </w:footnote>
  <w:footnote w:type="continuationSeparator" w:id="0">
    <w:p w:rsidR="00EB33D2" w:rsidRDefault="00EB3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4"/>
  </w:num>
  <w:num w:numId="2">
    <w:abstractNumId w:val="2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
  </w:num>
  <w:num w:numId="7">
    <w:abstractNumId w:val="16"/>
  </w:num>
  <w:num w:numId="8">
    <w:abstractNumId w:val="3"/>
  </w:num>
  <w:num w:numId="9">
    <w:abstractNumId w:val="22"/>
  </w:num>
  <w:num w:numId="10">
    <w:abstractNumId w:val="0"/>
  </w:num>
  <w:num w:numId="11">
    <w:abstractNumId w:val="16"/>
  </w:num>
  <w:num w:numId="12">
    <w:abstractNumId w:val="11"/>
  </w:num>
  <w:num w:numId="13">
    <w:abstractNumId w:val="13"/>
  </w:num>
  <w:num w:numId="14">
    <w:abstractNumId w:val="18"/>
  </w:num>
  <w:num w:numId="15">
    <w:abstractNumId w:val="1"/>
  </w:num>
  <w:num w:numId="16">
    <w:abstractNumId w:val="18"/>
  </w:num>
  <w:num w:numId="17">
    <w:abstractNumId w:val="6"/>
  </w:num>
  <w:num w:numId="18">
    <w:abstractNumId w:val="24"/>
  </w:num>
  <w:num w:numId="19">
    <w:abstractNumId w:val="18"/>
  </w:num>
  <w:num w:numId="20">
    <w:abstractNumId w:val="25"/>
  </w:num>
  <w:num w:numId="21">
    <w:abstractNumId w:val="21"/>
  </w:num>
  <w:num w:numId="22">
    <w:abstractNumId w:val="16"/>
  </w:num>
  <w:num w:numId="23">
    <w:abstractNumId w:val="15"/>
  </w:num>
  <w:num w:numId="24">
    <w:abstractNumId w:val="24"/>
  </w:num>
  <w:num w:numId="25">
    <w:abstractNumId w:val="5"/>
  </w:num>
  <w:num w:numId="26">
    <w:abstractNumId w:val="20"/>
  </w:num>
  <w:num w:numId="27">
    <w:abstractNumId w:val="9"/>
  </w:num>
  <w:num w:numId="28">
    <w:abstractNumId w:val="12"/>
  </w:num>
  <w:num w:numId="29">
    <w:abstractNumId w:val="10"/>
  </w:num>
  <w:num w:numId="30">
    <w:abstractNumId w:val="19"/>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3D8"/>
    <w:rsid w:val="000109DF"/>
    <w:rsid w:val="00013180"/>
    <w:rsid w:val="000131D4"/>
    <w:rsid w:val="00025036"/>
    <w:rsid w:val="00026467"/>
    <w:rsid w:val="00026991"/>
    <w:rsid w:val="00035B7C"/>
    <w:rsid w:val="00035D42"/>
    <w:rsid w:val="00037E80"/>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47AE"/>
    <w:rsid w:val="001365E9"/>
    <w:rsid w:val="001406A8"/>
    <w:rsid w:val="0014128A"/>
    <w:rsid w:val="00141870"/>
    <w:rsid w:val="001435CB"/>
    <w:rsid w:val="001452C9"/>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70"/>
    <w:rsid w:val="00216AAB"/>
    <w:rsid w:val="00217770"/>
    <w:rsid w:val="002204E2"/>
    <w:rsid w:val="00221C9D"/>
    <w:rsid w:val="002221AC"/>
    <w:rsid w:val="002224FF"/>
    <w:rsid w:val="00222A85"/>
    <w:rsid w:val="00222AF7"/>
    <w:rsid w:val="002230C1"/>
    <w:rsid w:val="00224857"/>
    <w:rsid w:val="002266C2"/>
    <w:rsid w:val="00232120"/>
    <w:rsid w:val="002328DD"/>
    <w:rsid w:val="0023369F"/>
    <w:rsid w:val="00234AA1"/>
    <w:rsid w:val="00241980"/>
    <w:rsid w:val="00243552"/>
    <w:rsid w:val="00243BFC"/>
    <w:rsid w:val="002454B4"/>
    <w:rsid w:val="00245810"/>
    <w:rsid w:val="00254F38"/>
    <w:rsid w:val="002620F9"/>
    <w:rsid w:val="00264822"/>
    <w:rsid w:val="00267D3F"/>
    <w:rsid w:val="00272F1F"/>
    <w:rsid w:val="0027365E"/>
    <w:rsid w:val="002736F0"/>
    <w:rsid w:val="00277B56"/>
    <w:rsid w:val="00282D3C"/>
    <w:rsid w:val="00283776"/>
    <w:rsid w:val="00284EA4"/>
    <w:rsid w:val="00294B79"/>
    <w:rsid w:val="002978A7"/>
    <w:rsid w:val="002A0BB1"/>
    <w:rsid w:val="002A235C"/>
    <w:rsid w:val="002A2EF8"/>
    <w:rsid w:val="002A5E54"/>
    <w:rsid w:val="002A640E"/>
    <w:rsid w:val="002A677B"/>
    <w:rsid w:val="002B45C3"/>
    <w:rsid w:val="002B5F4F"/>
    <w:rsid w:val="002B6FD5"/>
    <w:rsid w:val="002D03A9"/>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1F3"/>
    <w:rsid w:val="003422A4"/>
    <w:rsid w:val="00352697"/>
    <w:rsid w:val="003567C2"/>
    <w:rsid w:val="00356FB6"/>
    <w:rsid w:val="003622B2"/>
    <w:rsid w:val="00362F43"/>
    <w:rsid w:val="003664ED"/>
    <w:rsid w:val="00366E5E"/>
    <w:rsid w:val="00376522"/>
    <w:rsid w:val="00377D59"/>
    <w:rsid w:val="003844DE"/>
    <w:rsid w:val="0038462A"/>
    <w:rsid w:val="00384847"/>
    <w:rsid w:val="0038557C"/>
    <w:rsid w:val="003866C4"/>
    <w:rsid w:val="00386BEA"/>
    <w:rsid w:val="0039404F"/>
    <w:rsid w:val="003A5CBC"/>
    <w:rsid w:val="003A5E2B"/>
    <w:rsid w:val="003A71FE"/>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223E2"/>
    <w:rsid w:val="00422C2D"/>
    <w:rsid w:val="00423683"/>
    <w:rsid w:val="00423FB0"/>
    <w:rsid w:val="004273E7"/>
    <w:rsid w:val="00430AE6"/>
    <w:rsid w:val="00430F24"/>
    <w:rsid w:val="00433560"/>
    <w:rsid w:val="00434D68"/>
    <w:rsid w:val="00435D65"/>
    <w:rsid w:val="00435EBD"/>
    <w:rsid w:val="0043678E"/>
    <w:rsid w:val="004405D4"/>
    <w:rsid w:val="00451B80"/>
    <w:rsid w:val="00453799"/>
    <w:rsid w:val="00454E6A"/>
    <w:rsid w:val="00455FD0"/>
    <w:rsid w:val="004569BB"/>
    <w:rsid w:val="004630EE"/>
    <w:rsid w:val="00465B9B"/>
    <w:rsid w:val="00466AE8"/>
    <w:rsid w:val="00466D02"/>
    <w:rsid w:val="004677F7"/>
    <w:rsid w:val="00477263"/>
    <w:rsid w:val="004831D1"/>
    <w:rsid w:val="00485549"/>
    <w:rsid w:val="0049501A"/>
    <w:rsid w:val="00496923"/>
    <w:rsid w:val="004A0306"/>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3FF7"/>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C7FC3"/>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484"/>
    <w:rsid w:val="006F1BAF"/>
    <w:rsid w:val="006F27CD"/>
    <w:rsid w:val="006F4D95"/>
    <w:rsid w:val="006F5874"/>
    <w:rsid w:val="00701598"/>
    <w:rsid w:val="007028B4"/>
    <w:rsid w:val="00702FA5"/>
    <w:rsid w:val="00703B4D"/>
    <w:rsid w:val="007051D4"/>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57896"/>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B15"/>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33DA9"/>
    <w:rsid w:val="009450D8"/>
    <w:rsid w:val="00946BF6"/>
    <w:rsid w:val="009524AD"/>
    <w:rsid w:val="00955217"/>
    <w:rsid w:val="00957098"/>
    <w:rsid w:val="009660E3"/>
    <w:rsid w:val="009708D0"/>
    <w:rsid w:val="00970995"/>
    <w:rsid w:val="00972D26"/>
    <w:rsid w:val="00973C4C"/>
    <w:rsid w:val="009814D6"/>
    <w:rsid w:val="0099022B"/>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D7A66"/>
    <w:rsid w:val="009E061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51F58"/>
    <w:rsid w:val="00B54605"/>
    <w:rsid w:val="00B54E66"/>
    <w:rsid w:val="00B55002"/>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882"/>
    <w:rsid w:val="00BA3B44"/>
    <w:rsid w:val="00BA4C0A"/>
    <w:rsid w:val="00BB2A32"/>
    <w:rsid w:val="00BB3285"/>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E6B86"/>
    <w:rsid w:val="00BF00A7"/>
    <w:rsid w:val="00BF136F"/>
    <w:rsid w:val="00BF33D9"/>
    <w:rsid w:val="00BF5AD6"/>
    <w:rsid w:val="00C0184F"/>
    <w:rsid w:val="00C075BD"/>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1E06"/>
    <w:rsid w:val="00C73515"/>
    <w:rsid w:val="00C74442"/>
    <w:rsid w:val="00C754BC"/>
    <w:rsid w:val="00C76E52"/>
    <w:rsid w:val="00C82283"/>
    <w:rsid w:val="00C83525"/>
    <w:rsid w:val="00CA1729"/>
    <w:rsid w:val="00CA176C"/>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BAA"/>
    <w:rsid w:val="00CF1DFC"/>
    <w:rsid w:val="00CF2856"/>
    <w:rsid w:val="00CF5CE7"/>
    <w:rsid w:val="00CF5EF5"/>
    <w:rsid w:val="00CF7481"/>
    <w:rsid w:val="00CF7EE3"/>
    <w:rsid w:val="00D0284A"/>
    <w:rsid w:val="00D03278"/>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668F"/>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3794"/>
    <w:rsid w:val="00E26722"/>
    <w:rsid w:val="00E31284"/>
    <w:rsid w:val="00E33210"/>
    <w:rsid w:val="00E34071"/>
    <w:rsid w:val="00E406F2"/>
    <w:rsid w:val="00E41266"/>
    <w:rsid w:val="00E415BA"/>
    <w:rsid w:val="00E42C77"/>
    <w:rsid w:val="00E430A2"/>
    <w:rsid w:val="00E470EC"/>
    <w:rsid w:val="00E51A7C"/>
    <w:rsid w:val="00E52C09"/>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A64DE"/>
    <w:rsid w:val="00EB02DF"/>
    <w:rsid w:val="00EB2795"/>
    <w:rsid w:val="00EB33D2"/>
    <w:rsid w:val="00EB58C4"/>
    <w:rsid w:val="00EB7895"/>
    <w:rsid w:val="00EC42A1"/>
    <w:rsid w:val="00EE1CF7"/>
    <w:rsid w:val="00EE5757"/>
    <w:rsid w:val="00EE6F45"/>
    <w:rsid w:val="00EF0E38"/>
    <w:rsid w:val="00EF0E4A"/>
    <w:rsid w:val="00EF2DE4"/>
    <w:rsid w:val="00EF3D51"/>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671E4"/>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2D6E"/>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10E04-B837-43D4-A506-1C0D11BC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16551</TotalTime>
  <Pages>5</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410</cp:revision>
  <dcterms:created xsi:type="dcterms:W3CDTF">2019-09-18T02:52:00Z</dcterms:created>
  <dcterms:modified xsi:type="dcterms:W3CDTF">2023-08-11T08:51:00Z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(3)RWNKUuCBRDnHBN67Ifdn48xkAzyUhPsMcUO4KL04wN9q2FDAjpJ8GX9BxCQ1bMrJsQEz8LGj
SE3qyVrCprPjugRAu7OCnJRTsGqvypptT6DKzxRj+7iIHfyJsfnQ0xezEUAk3jnpVcKhrfBk
zRBtnEDcWe91BZ6X0gGqOaKJkJIJ79qlr34FoirOpAdFxSGVMRgexiPL57GWOgn/GJGJI/0I
IyjG3zvf2KwM8EJhAZ</vt:lpwstr>
  </property>
  <property fmtid="{D5CDD505-2E9C-101B-9397-08002B2CF9AE}" pid="3" name="_2015_ms_pID_7253431">
    <vt:lpwstr>0hmQ891DGXUlZG/0PclMN4xdwouO+ED+brhl3ugmfivmTydkl9okTN
7It63ZNTtAC5mX4FxtYJwzdwVMlf260NrHac7CNHVGOTISzM7nTTSm/lLokmcd6FYseAFQtv
WlA2DRsbmbOnzJ/+m5aMfkDOUQkXzCCwc57cU/25Mke/cN4ipT+VQgd0nJADWEWg1nwcCAj1
C7W5I+eX4JtsGMykSov3uX31Yf8KWqIlJkLX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