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harts/chart1.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olors1.xml" ContentType="application/vnd.ms-office.chartcolorstyle+xml"/>
  <Override PartName="/word/charts/colors10.xml" ContentType="application/vnd.ms-office.chartcolorstyle+xml"/>
  <Override PartName="/word/charts/colors11.xml" ContentType="application/vnd.ms-office.chartcolorstyle+xml"/>
  <Override PartName="/word/charts/colors12.xml" ContentType="application/vnd.ms-office.chartcolorstyle+xml"/>
  <Override PartName="/word/charts/colors13.xml" ContentType="application/vnd.ms-office.chartcolorstyle+xml"/>
  <Override PartName="/word/charts/colors14.xml" ContentType="application/vnd.ms-office.chartcolorstyle+xml"/>
  <Override PartName="/word/charts/colors15.xml" ContentType="application/vnd.ms-office.chartcolorstyle+xml"/>
  <Override PartName="/word/charts/colors16.xml" ContentType="application/vnd.ms-office.chartcolorstyle+xml"/>
  <Override PartName="/word/charts/colors17.xml" ContentType="application/vnd.ms-office.chartcolorstyle+xml"/>
  <Override PartName="/word/charts/colors18.xml" ContentType="application/vnd.ms-office.chartcolorstyle+xml"/>
  <Override PartName="/word/charts/colors19.xml" ContentType="application/vnd.ms-office.chartcolorstyle+xml"/>
  <Override PartName="/word/charts/colors2.xml" ContentType="application/vnd.ms-office.chartcolorstyle+xml"/>
  <Override PartName="/word/charts/colors20.xml" ContentType="application/vnd.ms-office.chartcolorstyle+xml"/>
  <Override PartName="/word/charts/colors21.xml" ContentType="application/vnd.ms-office.chartcolorstyle+xml"/>
  <Override PartName="/word/charts/colors22.xml" ContentType="application/vnd.ms-office.chartcolorstyle+xml"/>
  <Override PartName="/word/charts/colors23.xml" ContentType="application/vnd.ms-office.chartcolorstyle+xml"/>
  <Override PartName="/word/charts/colors24.xml" ContentType="application/vnd.ms-office.chartcolorstyle+xml"/>
  <Override PartName="/word/charts/colors25.xml" ContentType="application/vnd.ms-office.chartcolorstyle+xml"/>
  <Override PartName="/word/charts/colors26.xml" ContentType="application/vnd.ms-office.chartcolorstyle+xml"/>
  <Override PartName="/word/charts/colors27.xml" ContentType="application/vnd.ms-office.chartcolorstyle+xml"/>
  <Override PartName="/word/charts/colors28.xml" ContentType="application/vnd.ms-office.chartcolorstyle+xml"/>
  <Override PartName="/word/charts/colors29.xml" ContentType="application/vnd.ms-office.chartcolorstyle+xml"/>
  <Override PartName="/word/charts/colors3.xml" ContentType="application/vnd.ms-office.chartcolorstyle+xml"/>
  <Override PartName="/word/charts/colors30.xml" ContentType="application/vnd.ms-office.chartcolorstyle+xml"/>
  <Override PartName="/word/charts/colors31.xml" ContentType="application/vnd.ms-office.chartcolorstyle+xml"/>
  <Override PartName="/word/charts/colors32.xml" ContentType="application/vnd.ms-office.chartcolorstyle+xml"/>
  <Override PartName="/word/charts/colors33.xml" ContentType="application/vnd.ms-office.chartcolorstyle+xml"/>
  <Override PartName="/word/charts/colors34.xml" ContentType="application/vnd.ms-office.chartcolorstyle+xml"/>
  <Override PartName="/word/charts/colors35.xml" ContentType="application/vnd.ms-office.chartcolorstyle+xml"/>
  <Override PartName="/word/charts/colors36.xml" ContentType="application/vnd.ms-office.chartcolorstyle+xml"/>
  <Override PartName="/word/charts/colors37.xml" ContentType="application/vnd.ms-office.chartcolorstyle+xml"/>
  <Override PartName="/word/charts/colors38.xml" ContentType="application/vnd.ms-office.chartcolorstyle+xml"/>
  <Override PartName="/word/charts/colors39.xml" ContentType="application/vnd.ms-office.chartcolorstyle+xml"/>
  <Override PartName="/word/charts/colors4.xml" ContentType="application/vnd.ms-office.chartcolorstyle+xml"/>
  <Override PartName="/word/charts/colors40.xml" ContentType="application/vnd.ms-office.chartcolorstyle+xml"/>
  <Override PartName="/word/charts/colors41.xml" ContentType="application/vnd.ms-office.chartcolorstyle+xml"/>
  <Override PartName="/word/charts/colors42.xml" ContentType="application/vnd.ms-office.chartcolorstyle+xml"/>
  <Override PartName="/word/charts/colors43.xml" ContentType="application/vnd.ms-office.chartcolorstyle+xml"/>
  <Override PartName="/word/charts/colors44.xml" ContentType="application/vnd.ms-office.chartcolorstyle+xml"/>
  <Override PartName="/word/charts/colors45.xml" ContentType="application/vnd.ms-office.chartcolorstyle+xml"/>
  <Override PartName="/word/charts/colors46.xml" ContentType="application/vnd.ms-office.chartcolorstyle+xml"/>
  <Override PartName="/word/charts/colors47.xml" ContentType="application/vnd.ms-office.chartcolorstyle+xml"/>
  <Override PartName="/word/charts/colors48.xml" ContentType="application/vnd.ms-office.chartcolorstyle+xml"/>
  <Override PartName="/word/charts/colors49.xml" ContentType="application/vnd.ms-office.chartcolorstyle+xml"/>
  <Override PartName="/word/charts/colors5.xml" ContentType="application/vnd.ms-office.chartcolorstyle+xml"/>
  <Override PartName="/word/charts/colors50.xml" ContentType="application/vnd.ms-office.chartcolorstyle+xml"/>
  <Override PartName="/word/charts/colors51.xml" ContentType="application/vnd.ms-office.chartcolorstyle+xml"/>
  <Override PartName="/word/charts/colors52.xml" ContentType="application/vnd.ms-office.chartcolorstyle+xml"/>
  <Override PartName="/word/charts/colors53.xml" ContentType="application/vnd.ms-office.chartcolorstyle+xml"/>
  <Override PartName="/word/charts/colors54.xml" ContentType="application/vnd.ms-office.chartcolorstyle+xml"/>
  <Override PartName="/word/charts/colors55.xml" ContentType="application/vnd.ms-office.chartcolorstyle+xml"/>
  <Override PartName="/word/charts/colors56.xml" ContentType="application/vnd.ms-office.chartcolorstyle+xml"/>
  <Override PartName="/word/charts/colors57.xml" ContentType="application/vnd.ms-office.chartcolorstyle+xml"/>
  <Override PartName="/word/charts/colors58.xml" ContentType="application/vnd.ms-office.chartcolorstyle+xml"/>
  <Override PartName="/word/charts/colors59.xml" ContentType="application/vnd.ms-office.chartcolorstyle+xml"/>
  <Override PartName="/word/charts/colors6.xml" ContentType="application/vnd.ms-office.chartcolorstyle+xml"/>
  <Override PartName="/word/charts/colors60.xml" ContentType="application/vnd.ms-office.chartcolorstyle+xml"/>
  <Override PartName="/word/charts/colors61.xml" ContentType="application/vnd.ms-office.chartcolorstyle+xml"/>
  <Override PartName="/word/charts/colors62.xml" ContentType="application/vnd.ms-office.chartcolorstyle+xml"/>
  <Override PartName="/word/charts/colors63.xml" ContentType="application/vnd.ms-office.chartcolorstyle+xml"/>
  <Override PartName="/word/charts/colors64.xml" ContentType="application/vnd.ms-office.chartcolorstyle+xml"/>
  <Override PartName="/word/charts/colors65.xml" ContentType="application/vnd.ms-office.chartcolorstyle+xml"/>
  <Override PartName="/word/charts/colors66.xml" ContentType="application/vnd.ms-office.chartcolorstyle+xml"/>
  <Override PartName="/word/charts/colors67.xml" ContentType="application/vnd.ms-office.chartcolorstyle+xml"/>
  <Override PartName="/word/charts/colors68.xml" ContentType="application/vnd.ms-office.chartcolorstyle+xml"/>
  <Override PartName="/word/charts/colors69.xml" ContentType="application/vnd.ms-office.chartcolorstyle+xml"/>
  <Override PartName="/word/charts/colors7.xml" ContentType="application/vnd.ms-office.chartcolorstyle+xml"/>
  <Override PartName="/word/charts/colors70.xml" ContentType="application/vnd.ms-office.chartcolorstyle+xml"/>
  <Override PartName="/word/charts/colors71.xml" ContentType="application/vnd.ms-office.chartcolorstyle+xml"/>
  <Override PartName="/word/charts/colors72.xml" ContentType="application/vnd.ms-office.chartcolorstyle+xml"/>
  <Override PartName="/word/charts/colors73.xml" ContentType="application/vnd.ms-office.chartcolorstyle+xml"/>
  <Override PartName="/word/charts/colors74.xml" ContentType="application/vnd.ms-office.chartcolorstyle+xml"/>
  <Override PartName="/word/charts/colors75.xml" ContentType="application/vnd.ms-office.chartcolorstyle+xml"/>
  <Override PartName="/word/charts/colors76.xml" ContentType="application/vnd.ms-office.chartcolorstyle+xml"/>
  <Override PartName="/word/charts/colors77.xml" ContentType="application/vnd.ms-office.chartcolorstyle+xml"/>
  <Override PartName="/word/charts/colors8.xml" ContentType="application/vnd.ms-office.chartcolorstyle+xml"/>
  <Override PartName="/word/charts/colors9.xml" ContentType="application/vnd.ms-office.chartcolorstyle+xml"/>
  <Override PartName="/word/charts/style1.xml" ContentType="application/vnd.ms-office.chartstyle+xml"/>
  <Override PartName="/word/charts/style10.xml" ContentType="application/vnd.ms-office.chartstyle+xml"/>
  <Override PartName="/word/charts/style11.xml" ContentType="application/vnd.ms-office.chartstyle+xml"/>
  <Override PartName="/word/charts/style12.xml" ContentType="application/vnd.ms-office.chartstyle+xml"/>
  <Override PartName="/word/charts/style13.xml" ContentType="application/vnd.ms-office.chartstyle+xml"/>
  <Override PartName="/word/charts/style14.xml" ContentType="application/vnd.ms-office.chartstyle+xml"/>
  <Override PartName="/word/charts/style15.xml" ContentType="application/vnd.ms-office.chartstyle+xml"/>
  <Override PartName="/word/charts/style16.xml" ContentType="application/vnd.ms-office.chartstyle+xml"/>
  <Override PartName="/word/charts/style17.xml" ContentType="application/vnd.ms-office.chartstyle+xml"/>
  <Override PartName="/word/charts/style18.xml" ContentType="application/vnd.ms-office.chartstyle+xml"/>
  <Override PartName="/word/charts/style19.xml" ContentType="application/vnd.ms-office.chartstyle+xml"/>
  <Override PartName="/word/charts/style2.xml" ContentType="application/vnd.ms-office.chartstyle+xml"/>
  <Override PartName="/word/charts/style20.xml" ContentType="application/vnd.ms-office.chartstyle+xml"/>
  <Override PartName="/word/charts/style21.xml" ContentType="application/vnd.ms-office.chartstyle+xml"/>
  <Override PartName="/word/charts/style22.xml" ContentType="application/vnd.ms-office.chartstyle+xml"/>
  <Override PartName="/word/charts/style23.xml" ContentType="application/vnd.ms-office.chartstyle+xml"/>
  <Override PartName="/word/charts/style24.xml" ContentType="application/vnd.ms-office.chartstyle+xml"/>
  <Override PartName="/word/charts/style25.xml" ContentType="application/vnd.ms-office.chartstyle+xml"/>
  <Override PartName="/word/charts/style26.xml" ContentType="application/vnd.ms-office.chartstyle+xml"/>
  <Override PartName="/word/charts/style27.xml" ContentType="application/vnd.ms-office.chartstyle+xml"/>
  <Override PartName="/word/charts/style28.xml" ContentType="application/vnd.ms-office.chartstyle+xml"/>
  <Override PartName="/word/charts/style29.xml" ContentType="application/vnd.ms-office.chartstyle+xml"/>
  <Override PartName="/word/charts/style3.xml" ContentType="application/vnd.ms-office.chartstyle+xml"/>
  <Override PartName="/word/charts/style30.xml" ContentType="application/vnd.ms-office.chartstyle+xml"/>
  <Override PartName="/word/charts/style31.xml" ContentType="application/vnd.ms-office.chartstyle+xml"/>
  <Override PartName="/word/charts/style32.xml" ContentType="application/vnd.ms-office.chartstyle+xml"/>
  <Override PartName="/word/charts/style33.xml" ContentType="application/vnd.ms-office.chartstyle+xml"/>
  <Override PartName="/word/charts/style34.xml" ContentType="application/vnd.ms-office.chartstyle+xml"/>
  <Override PartName="/word/charts/style35.xml" ContentType="application/vnd.ms-office.chartstyle+xml"/>
  <Override PartName="/word/charts/style36.xml" ContentType="application/vnd.ms-office.chartstyle+xml"/>
  <Override PartName="/word/charts/style37.xml" ContentType="application/vnd.ms-office.chartstyle+xml"/>
  <Override PartName="/word/charts/style38.xml" ContentType="application/vnd.ms-office.chartstyle+xml"/>
  <Override PartName="/word/charts/style39.xml" ContentType="application/vnd.ms-office.chartstyle+xml"/>
  <Override PartName="/word/charts/style4.xml" ContentType="application/vnd.ms-office.chartstyle+xml"/>
  <Override PartName="/word/charts/style40.xml" ContentType="application/vnd.ms-office.chartstyle+xml"/>
  <Override PartName="/word/charts/style41.xml" ContentType="application/vnd.ms-office.chartstyle+xml"/>
  <Override PartName="/word/charts/style42.xml" ContentType="application/vnd.ms-office.chartstyle+xml"/>
  <Override PartName="/word/charts/style43.xml" ContentType="application/vnd.ms-office.chartstyle+xml"/>
  <Override PartName="/word/charts/style44.xml" ContentType="application/vnd.ms-office.chartstyle+xml"/>
  <Override PartName="/word/charts/style45.xml" ContentType="application/vnd.ms-office.chartstyle+xml"/>
  <Override PartName="/word/charts/style46.xml" ContentType="application/vnd.ms-office.chartstyle+xml"/>
  <Override PartName="/word/charts/style47.xml" ContentType="application/vnd.ms-office.chartstyle+xml"/>
  <Override PartName="/word/charts/style48.xml" ContentType="application/vnd.ms-office.chartstyle+xml"/>
  <Override PartName="/word/charts/style49.xml" ContentType="application/vnd.ms-office.chartstyle+xml"/>
  <Override PartName="/word/charts/style5.xml" ContentType="application/vnd.ms-office.chartstyle+xml"/>
  <Override PartName="/word/charts/style50.xml" ContentType="application/vnd.ms-office.chartstyle+xml"/>
  <Override PartName="/word/charts/style51.xml" ContentType="application/vnd.ms-office.chartstyle+xml"/>
  <Override PartName="/word/charts/style52.xml" ContentType="application/vnd.ms-office.chartstyle+xml"/>
  <Override PartName="/word/charts/style53.xml" ContentType="application/vnd.ms-office.chartstyle+xml"/>
  <Override PartName="/word/charts/style54.xml" ContentType="application/vnd.ms-office.chartstyle+xml"/>
  <Override PartName="/word/charts/style55.xml" ContentType="application/vnd.ms-office.chartstyle+xml"/>
  <Override PartName="/word/charts/style56.xml" ContentType="application/vnd.ms-office.chartstyle+xml"/>
  <Override PartName="/word/charts/style57.xml" ContentType="application/vnd.ms-office.chartstyle+xml"/>
  <Override PartName="/word/charts/style58.xml" ContentType="application/vnd.ms-office.chartstyle+xml"/>
  <Override PartName="/word/charts/style59.xml" ContentType="application/vnd.ms-office.chartstyle+xml"/>
  <Override PartName="/word/charts/style6.xml" ContentType="application/vnd.ms-office.chartstyle+xml"/>
  <Override PartName="/word/charts/style60.xml" ContentType="application/vnd.ms-office.chartstyle+xml"/>
  <Override PartName="/word/charts/style61.xml" ContentType="application/vnd.ms-office.chartstyle+xml"/>
  <Override PartName="/word/charts/style62.xml" ContentType="application/vnd.ms-office.chartstyle+xml"/>
  <Override PartName="/word/charts/style63.xml" ContentType="application/vnd.ms-office.chartstyle+xml"/>
  <Override PartName="/word/charts/style64.xml" ContentType="application/vnd.ms-office.chartstyle+xml"/>
  <Override PartName="/word/charts/style65.xml" ContentType="application/vnd.ms-office.chartstyle+xml"/>
  <Override PartName="/word/charts/style66.xml" ContentType="application/vnd.ms-office.chartstyle+xml"/>
  <Override PartName="/word/charts/style67.xml" ContentType="application/vnd.ms-office.chartstyle+xml"/>
  <Override PartName="/word/charts/style68.xml" ContentType="application/vnd.ms-office.chartstyle+xml"/>
  <Override PartName="/word/charts/style69.xml" ContentType="application/vnd.ms-office.chartstyle+xml"/>
  <Override PartName="/word/charts/style7.xml" ContentType="application/vnd.ms-office.chartstyle+xml"/>
  <Override PartName="/word/charts/style70.xml" ContentType="application/vnd.ms-office.chartstyle+xml"/>
  <Override PartName="/word/charts/style71.xml" ContentType="application/vnd.ms-office.chartstyle+xml"/>
  <Override PartName="/word/charts/style72.xml" ContentType="application/vnd.ms-office.chartstyle+xml"/>
  <Override PartName="/word/charts/style73.xml" ContentType="application/vnd.ms-office.chartstyle+xml"/>
  <Override PartName="/word/charts/style74.xml" ContentType="application/vnd.ms-office.chartstyle+xml"/>
  <Override PartName="/word/charts/style75.xml" ContentType="application/vnd.ms-office.chartstyle+xml"/>
  <Override PartName="/word/charts/style76.xml" ContentType="application/vnd.ms-office.chartstyle+xml"/>
  <Override PartName="/word/charts/style77.xml" ContentType="application/vnd.ms-office.chartstyle+xml"/>
  <Override PartName="/word/charts/style8.xml" ContentType="application/vnd.ms-office.chartstyle+xml"/>
  <Override PartName="/word/charts/style9.xml" ContentType="application/vnd.ms-office.chartstyle+xml"/>
  <Override PartName="/word/customizations.xml" ContentType="application/vnd.ms-word.keyMapCustomizations+xml"/>
  <Override PartName="/word/document.xml" ContentType="application/vnd.openxmlformats-officedocument.wordprocessingml.document.main+xml"/>
  <Override PartName="/word/embeddings/Microsoft_Visio_2003-2010___4.vsd" ContentType="application/vnd.visio"/>
  <Override PartName="/word/embeddings/Microsoft_Visio_2003-2010___5.vsd" ContentType="application/vnd.visio"/>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6"/>
        <w:rPr>
          <w:lang w:val="sv-SE"/>
        </w:rPr>
      </w:pPr>
      <w:bookmarkStart w:id="0" w:name="page1"/>
      <w:r>
        <w:rPr>
          <w:sz w:val="64"/>
          <w:lang w:val="sv-SE"/>
        </w:rPr>
        <w:t>3GPP TR 3</w:t>
      </w:r>
      <w:r>
        <w:rPr>
          <w:rFonts w:hint="eastAsia"/>
          <w:sz w:val="64"/>
          <w:lang w:val="sv-SE" w:eastAsia="zh-CN"/>
        </w:rPr>
        <w:t>8</w:t>
      </w:r>
      <w:r>
        <w:rPr>
          <w:sz w:val="64"/>
          <w:lang w:val="sv-SE"/>
        </w:rPr>
        <w:t>.</w:t>
      </w:r>
      <w:r>
        <w:rPr>
          <w:rFonts w:hint="eastAsia"/>
          <w:sz w:val="64"/>
          <w:lang w:val="sv-SE" w:eastAsia="zh-CN"/>
        </w:rPr>
        <w:t>876</w:t>
      </w:r>
      <w:r>
        <w:rPr>
          <w:sz w:val="64"/>
          <w:lang w:val="sv-SE"/>
        </w:rPr>
        <w:t xml:space="preserve"> </w:t>
      </w:r>
      <w:r>
        <w:rPr>
          <w:lang w:val="sv-SE"/>
        </w:rPr>
        <w:t>V</w:t>
      </w:r>
      <w:r>
        <w:rPr>
          <w:rFonts w:hint="eastAsia"/>
          <w:lang w:val="sv-SE" w:eastAsia="zh-CN"/>
        </w:rPr>
        <w:t>0</w:t>
      </w:r>
      <w:r>
        <w:rPr>
          <w:lang w:val="sv-SE"/>
        </w:rPr>
        <w:t>.</w:t>
      </w:r>
      <w:r>
        <w:rPr>
          <w:rFonts w:hint="eastAsia"/>
          <w:lang w:val="en-US" w:eastAsia="zh-CN"/>
        </w:rPr>
        <w:t>5</w:t>
      </w:r>
      <w:r>
        <w:rPr>
          <w:lang w:val="sv-SE"/>
        </w:rPr>
        <w:t>.</w:t>
      </w:r>
      <w:r>
        <w:rPr>
          <w:rFonts w:hint="eastAsia"/>
          <w:lang w:val="sv-SE" w:eastAsia="zh-CN"/>
        </w:rPr>
        <w:t>0</w:t>
      </w:r>
      <w:r>
        <w:rPr>
          <w:lang w:val="sv-SE"/>
        </w:rPr>
        <w:t xml:space="preserve"> </w:t>
      </w:r>
      <w:r>
        <w:rPr>
          <w:sz w:val="32"/>
          <w:lang w:val="sv-SE"/>
        </w:rPr>
        <w:t>(20</w:t>
      </w:r>
      <w:r>
        <w:rPr>
          <w:rFonts w:hint="eastAsia"/>
          <w:sz w:val="32"/>
          <w:lang w:val="sv-SE" w:eastAsia="zh-CN"/>
        </w:rPr>
        <w:t>2</w:t>
      </w:r>
      <w:r>
        <w:rPr>
          <w:sz w:val="32"/>
          <w:lang w:val="sv-SE" w:eastAsia="zh-CN"/>
        </w:rPr>
        <w:t>3</w:t>
      </w:r>
      <w:r>
        <w:rPr>
          <w:sz w:val="32"/>
          <w:lang w:val="sv-SE"/>
        </w:rPr>
        <w:t>-</w:t>
      </w:r>
      <w:r>
        <w:rPr>
          <w:sz w:val="32"/>
          <w:lang w:val="sv-SE" w:eastAsia="zh-CN"/>
        </w:rPr>
        <w:t>0</w:t>
      </w:r>
      <w:r>
        <w:rPr>
          <w:rFonts w:hint="eastAsia"/>
          <w:sz w:val="32"/>
          <w:lang w:val="en-US" w:eastAsia="zh-CN"/>
        </w:rPr>
        <w:t>8</w:t>
      </w:r>
      <w:r>
        <w:rPr>
          <w:sz w:val="32"/>
          <w:lang w:val="sv-SE"/>
        </w:rPr>
        <w:t>)</w:t>
      </w:r>
    </w:p>
    <w:p>
      <w:pPr>
        <w:pStyle w:val="77"/>
      </w:pPr>
      <w:r>
        <w:t>Technical Report</w:t>
      </w:r>
    </w:p>
    <w:p>
      <w:pPr>
        <w:pStyle w:val="78"/>
      </w:pPr>
      <w:r>
        <w:t>3rd Generation Partnership Project;</w:t>
      </w:r>
    </w:p>
    <w:p>
      <w:pPr>
        <w:pStyle w:val="78"/>
        <w:rPr>
          <w:lang w:eastAsia="zh-CN"/>
        </w:rPr>
      </w:pPr>
      <w:r>
        <w:t>Technical Specification Group Radio Access Network;</w:t>
      </w:r>
    </w:p>
    <w:p>
      <w:pPr>
        <w:pStyle w:val="78"/>
        <w:rPr>
          <w:lang w:eastAsia="zh-CN"/>
        </w:rPr>
      </w:pPr>
      <w:r>
        <w:rPr>
          <w:rFonts w:hint="eastAsia"/>
          <w:lang w:eastAsia="zh-CN"/>
        </w:rPr>
        <w:t>NR;</w:t>
      </w:r>
    </w:p>
    <w:p>
      <w:pPr>
        <w:pStyle w:val="78"/>
      </w:pPr>
      <w:r>
        <w:t>Study on Air-to-ground network for NR</w:t>
      </w:r>
    </w:p>
    <w:p>
      <w:pPr>
        <w:pStyle w:val="78"/>
        <w:rPr>
          <w:i/>
          <w:sz w:val="28"/>
        </w:rPr>
      </w:pPr>
      <w:r>
        <w:t xml:space="preserve"> (</w:t>
      </w:r>
      <w:r>
        <w:rPr>
          <w:rStyle w:val="58"/>
        </w:rPr>
        <w:t>Release 1</w:t>
      </w:r>
      <w:r>
        <w:rPr>
          <w:rStyle w:val="58"/>
          <w:rFonts w:hint="eastAsia"/>
          <w:lang w:eastAsia="zh-CN"/>
        </w:rPr>
        <w:t>8</w:t>
      </w:r>
      <w:r>
        <w:t>)</w:t>
      </w:r>
    </w:p>
    <w:p>
      <w:pPr>
        <w:pStyle w:val="79"/>
        <w:framePr w:h="4929" w:hRule="exact"/>
        <w:tabs>
          <w:tab w:val="right" w:pos="10206"/>
        </w:tabs>
        <w:jc w:val="left"/>
      </w:pPr>
      <w:r>
        <w:rPr>
          <w:i/>
        </w:rPr>
        <w:t xml:space="preserve">  </w:t>
      </w:r>
      <w:r>
        <w:object>
          <v:shape id="_x0000_i1025" o:spt="75" type="#_x0000_t75" style="height:63.7pt;width:103pt;" o:ole="t" filled="f" o:preferrelative="t" stroked="f" coordsize="21600,21600">
            <v:path/>
            <v:fill on="f" focussize="0,0"/>
            <v:stroke on="f" joinstyle="miter"/>
            <v:imagedata r:id="rId12" o:title=""/>
            <o:lock v:ext="edit" aspectratio="t"/>
            <w10:wrap type="none"/>
            <w10:anchorlock/>
          </v:shape>
          <o:OLEObject Type="Embed" ProgID="Word.Picture.8" ShapeID="_x0000_i1025" DrawAspect="Content" ObjectID="_1468075725" r:id="rId11">
            <o:LockedField>false</o:LockedField>
          </o:OLEObject>
        </w:object>
      </w:r>
      <w:r>
        <w:tab/>
      </w:r>
      <w:r>
        <w:rPr>
          <w:lang w:val="en-US" w:eastAsia="zh-CN"/>
        </w:rPr>
        <w:drawing>
          <wp:inline distT="0" distB="0" distL="0" distR="0">
            <wp:extent cx="1628775" cy="952500"/>
            <wp:effectExtent l="19050" t="0" r="9525" b="0"/>
            <wp:docPr id="20" name="图片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GPP-logo_web"/>
                    <pic:cNvPicPr>
                      <a:picLocks noChangeAspect="1" noChangeArrowheads="1"/>
                    </pic:cNvPicPr>
                  </pic:nvPicPr>
                  <pic:blipFill>
                    <a:blip r:embed="rId13" cstate="print"/>
                    <a:srcRect/>
                    <a:stretch>
                      <a:fillRect/>
                    </a:stretch>
                  </pic:blipFill>
                  <pic:spPr>
                    <a:xfrm>
                      <a:off x="0" y="0"/>
                      <a:ext cx="1628775" cy="952500"/>
                    </a:xfrm>
                    <a:prstGeom prst="rect">
                      <a:avLst/>
                    </a:prstGeom>
                    <a:noFill/>
                    <a:ln w="9525">
                      <a:noFill/>
                      <a:miter lim="800000"/>
                      <a:headEnd/>
                      <a:tailEnd/>
                    </a:ln>
                  </pic:spPr>
                </pic:pic>
              </a:graphicData>
            </a:graphic>
          </wp:inline>
        </w:drawing>
      </w:r>
    </w:p>
    <w:p>
      <w:pPr>
        <w:pStyle w:val="79"/>
        <w:framePr w:h="4929" w:hRule="exact"/>
        <w:tabs>
          <w:tab w:val="right" w:pos="10206"/>
        </w:tabs>
        <w:jc w:val="left"/>
      </w:pPr>
    </w:p>
    <w:p>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pPr>
        <w:pStyle w:val="89"/>
      </w:pPr>
    </w:p>
    <w:p/>
    <w:bookmarkEnd w:id="0"/>
    <w:p>
      <w:pPr>
        <w:sectPr>
          <w:headerReference r:id="rId5" w:type="first"/>
          <w:footerReference r:id="rId7" w:type="first"/>
          <w:headerReference r:id="rId4" w:type="even"/>
          <w:footerReference r:id="rId6" w:type="even"/>
          <w:footnotePr>
            <w:numRestart w:val="eachSect"/>
          </w:footnotePr>
          <w:pgSz w:w="11907" w:h="16840"/>
          <w:pgMar w:top="2268" w:right="851" w:bottom="10773" w:left="851" w:header="0" w:footer="0" w:gutter="0"/>
          <w:cols w:space="720" w:num="1"/>
        </w:sectPr>
      </w:pPr>
      <w:bookmarkStart w:id="158" w:name="_GoBack"/>
      <w:bookmarkEnd w:id="158"/>
    </w:p>
    <w:p>
      <w:pPr>
        <w:pStyle w:val="99"/>
        <w:rPr>
          <w:color w:val="auto"/>
        </w:rPr>
      </w:pPr>
      <w:bookmarkStart w:id="1" w:name="page2"/>
      <w:r>
        <w:rPr>
          <w:color w:val="auto"/>
        </w:rPr>
        <w:br w:type="textWrapping"/>
      </w:r>
    </w:p>
    <w:p/>
    <w:p>
      <w:pPr>
        <w:pStyle w:val="70"/>
        <w:framePr w:wrap="notBeside" w:vAnchor="margin" w:hAnchor="margin" w:y="1419"/>
        <w:pBdr>
          <w:bottom w:val="single" w:color="auto" w:sz="6" w:space="1"/>
        </w:pBdr>
        <w:spacing w:before="240"/>
        <w:ind w:left="2835" w:right="2835"/>
        <w:jc w:val="center"/>
      </w:pPr>
      <w:r>
        <w:t>Keywords</w:t>
      </w:r>
    </w:p>
    <w:p>
      <w:pPr>
        <w:pStyle w:val="70"/>
        <w:framePr w:wrap="notBeside" w:vAnchor="margin" w:hAnchor="margin" w:y="1419"/>
        <w:ind w:left="2835" w:right="2835"/>
        <w:jc w:val="center"/>
        <w:rPr>
          <w:rFonts w:ascii="Arial" w:hAnsi="Arial"/>
          <w:sz w:val="18"/>
        </w:rPr>
      </w:pPr>
      <w:r>
        <w:rPr>
          <w:rFonts w:ascii="Arial" w:hAnsi="Arial"/>
          <w:sz w:val="18"/>
        </w:rPr>
        <w:t>Radio, LTE</w:t>
      </w:r>
    </w:p>
    <w:p/>
    <w:p>
      <w:pPr>
        <w:pStyle w:val="70"/>
        <w:framePr w:wrap="notBeside" w:vAnchor="margin" w:hAnchor="margin" w:yAlign="center"/>
        <w:spacing w:after="240"/>
        <w:ind w:left="2835" w:right="2835"/>
        <w:jc w:val="center"/>
        <w:rPr>
          <w:rFonts w:ascii="Arial" w:hAnsi="Arial"/>
          <w:b/>
          <w:i/>
        </w:rPr>
      </w:pPr>
      <w:r>
        <w:rPr>
          <w:rFonts w:ascii="Arial" w:hAnsi="Arial"/>
          <w:b/>
          <w:i/>
        </w:rPr>
        <w:t>3GPP</w:t>
      </w:r>
    </w:p>
    <w:p>
      <w:pPr>
        <w:pStyle w:val="70"/>
        <w:framePr w:wrap="notBeside" w:vAnchor="margin" w:hAnchor="margin" w:yAlign="center"/>
        <w:pBdr>
          <w:bottom w:val="single" w:color="auto" w:sz="6" w:space="1"/>
        </w:pBdr>
        <w:ind w:left="2835" w:right="2835"/>
        <w:jc w:val="center"/>
      </w:pPr>
      <w:r>
        <w:t>Postal address</w:t>
      </w:r>
    </w:p>
    <w:p>
      <w:pPr>
        <w:pStyle w:val="70"/>
        <w:framePr w:wrap="notBeside" w:vAnchor="margin" w:hAnchor="margin" w:yAlign="center"/>
        <w:ind w:left="2835" w:right="2835"/>
        <w:jc w:val="center"/>
        <w:rPr>
          <w:rFonts w:ascii="Arial" w:hAnsi="Arial"/>
          <w:sz w:val="18"/>
        </w:rPr>
      </w:pPr>
    </w:p>
    <w:p>
      <w:pPr>
        <w:pStyle w:val="70"/>
        <w:framePr w:wrap="notBeside" w:vAnchor="margin" w:hAnchor="margin" w:yAlign="center"/>
        <w:pBdr>
          <w:bottom w:val="single" w:color="auto" w:sz="6" w:space="1"/>
        </w:pBdr>
        <w:spacing w:before="240"/>
        <w:ind w:left="2835" w:right="2835"/>
        <w:jc w:val="center"/>
      </w:pPr>
      <w:r>
        <w:t>3GPP support office address</w:t>
      </w:r>
    </w:p>
    <w:p>
      <w:pPr>
        <w:pStyle w:val="70"/>
        <w:framePr w:wrap="notBeside" w:vAnchor="margin" w:hAnchor="margin" w:yAlign="center"/>
        <w:ind w:left="2835" w:right="2835"/>
        <w:jc w:val="center"/>
        <w:rPr>
          <w:rFonts w:ascii="Arial" w:hAnsi="Arial"/>
          <w:sz w:val="18"/>
        </w:rPr>
      </w:pPr>
      <w:r>
        <w:rPr>
          <w:rFonts w:ascii="Arial" w:hAnsi="Arial"/>
          <w:sz w:val="18"/>
        </w:rPr>
        <w:t>650 Route des Lucioles - Sophia Antipolis</w:t>
      </w:r>
    </w:p>
    <w:p>
      <w:pPr>
        <w:pStyle w:val="70"/>
        <w:framePr w:wrap="notBeside" w:vAnchor="margin" w:hAnchor="margin" w:yAlign="center"/>
        <w:ind w:left="2835" w:right="2835"/>
        <w:jc w:val="center"/>
        <w:rPr>
          <w:rFonts w:ascii="Arial" w:hAnsi="Arial"/>
          <w:sz w:val="18"/>
        </w:rPr>
      </w:pPr>
      <w:r>
        <w:rPr>
          <w:rFonts w:ascii="Arial" w:hAnsi="Arial"/>
          <w:sz w:val="18"/>
        </w:rPr>
        <w:t>Valbonne - FRANCE</w:t>
      </w:r>
    </w:p>
    <w:p>
      <w:pPr>
        <w:pStyle w:val="70"/>
        <w:framePr w:wrap="notBeside" w:vAnchor="margin" w:hAnchor="margin" w:yAlign="center"/>
        <w:spacing w:after="20"/>
        <w:ind w:left="2835" w:right="2835"/>
        <w:jc w:val="center"/>
        <w:rPr>
          <w:rFonts w:ascii="Arial" w:hAnsi="Arial"/>
          <w:sz w:val="18"/>
        </w:rPr>
      </w:pPr>
      <w:r>
        <w:rPr>
          <w:rFonts w:ascii="Arial" w:hAnsi="Arial"/>
          <w:sz w:val="18"/>
        </w:rPr>
        <w:t>Tel.: +33 4 92 94 42 00 Fax: +33 4 93 65 47 16</w:t>
      </w:r>
    </w:p>
    <w:p>
      <w:pPr>
        <w:pStyle w:val="70"/>
        <w:framePr w:wrap="notBeside" w:vAnchor="margin" w:hAnchor="margin" w:yAlign="center"/>
        <w:pBdr>
          <w:bottom w:val="single" w:color="auto" w:sz="6" w:space="1"/>
        </w:pBdr>
        <w:spacing w:before="240"/>
        <w:ind w:left="2835" w:right="2835"/>
        <w:jc w:val="center"/>
      </w:pPr>
      <w:r>
        <w:t>Internet</w:t>
      </w:r>
    </w:p>
    <w:p>
      <w:pPr>
        <w:pStyle w:val="70"/>
        <w:framePr w:wrap="notBeside" w:vAnchor="margin" w:hAnchor="margin" w:yAlign="center"/>
        <w:ind w:left="2835" w:right="2835"/>
        <w:jc w:val="center"/>
        <w:rPr>
          <w:rFonts w:ascii="Arial" w:hAnsi="Arial"/>
          <w:sz w:val="18"/>
        </w:rPr>
      </w:pPr>
      <w:r>
        <w:rPr>
          <w:rFonts w:ascii="Arial" w:hAnsi="Arial"/>
          <w:sz w:val="18"/>
        </w:rPr>
        <w:t>http://www.3gpp.org</w:t>
      </w:r>
    </w:p>
    <w:p/>
    <w:p>
      <w:pPr>
        <w:pStyle w:val="70"/>
        <w:framePr w:h="3057" w:hRule="exact" w:wrap="notBeside" w:vAnchor="page" w:hAnchor="margin" w:y="12605"/>
        <w:pBdr>
          <w:bottom w:val="single" w:color="auto" w:sz="6" w:space="1"/>
        </w:pBdr>
        <w:spacing w:after="240"/>
        <w:jc w:val="center"/>
        <w:rPr>
          <w:rFonts w:ascii="Arial" w:hAnsi="Arial"/>
          <w:b/>
          <w:i/>
        </w:rPr>
      </w:pPr>
      <w:r>
        <w:rPr>
          <w:rFonts w:ascii="Arial" w:hAnsi="Arial"/>
          <w:b/>
          <w:i/>
        </w:rPr>
        <w:t>Copyright Notification</w:t>
      </w:r>
    </w:p>
    <w:p>
      <w:pPr>
        <w:pStyle w:val="70"/>
        <w:framePr w:h="3057" w:hRule="exact" w:wrap="notBeside" w:vAnchor="page" w:hAnchor="margin" w:y="12605"/>
        <w:jc w:val="center"/>
      </w:pPr>
      <w:r>
        <w:t>No part may be reproduced except as authorized by written permission.</w:t>
      </w:r>
      <w:r>
        <w:br w:type="textWrapping"/>
      </w:r>
      <w:r>
        <w:t>The copyright and the foregoing restriction extend to reproduction in all media.</w:t>
      </w:r>
    </w:p>
    <w:p>
      <w:pPr>
        <w:pStyle w:val="70"/>
        <w:framePr w:h="3057" w:hRule="exact" w:wrap="notBeside" w:vAnchor="page" w:hAnchor="margin" w:y="12605"/>
        <w:jc w:val="center"/>
      </w:pPr>
    </w:p>
    <w:p>
      <w:pPr>
        <w:pStyle w:val="70"/>
        <w:framePr w:h="3057" w:hRule="exact" w:wrap="notBeside" w:vAnchor="page" w:hAnchor="margin" w:y="12605"/>
        <w:jc w:val="center"/>
        <w:rPr>
          <w:sz w:val="18"/>
        </w:rPr>
      </w:pPr>
      <w:r>
        <w:rPr>
          <w:sz w:val="18"/>
        </w:rPr>
        <w:t>© 2023, 3GPP Organizational Partners (ARIB, ATIS, CCSA, ETSI, TSDSI, TTA, TTC).</w:t>
      </w:r>
      <w:bookmarkStart w:id="2" w:name="copyrightaddon"/>
      <w:bookmarkEnd w:id="2"/>
    </w:p>
    <w:p>
      <w:pPr>
        <w:pStyle w:val="70"/>
        <w:framePr w:h="3057" w:hRule="exact" w:wrap="notBeside" w:vAnchor="page" w:hAnchor="margin" w:y="12605"/>
        <w:jc w:val="center"/>
        <w:rPr>
          <w:sz w:val="18"/>
        </w:rPr>
      </w:pPr>
      <w:r>
        <w:rPr>
          <w:sz w:val="18"/>
        </w:rPr>
        <w:t>All rights reserved.</w:t>
      </w:r>
    </w:p>
    <w:p>
      <w:pPr>
        <w:pStyle w:val="70"/>
        <w:framePr w:h="3057" w:hRule="exact" w:wrap="notBeside" w:vAnchor="page" w:hAnchor="margin" w:y="12605"/>
        <w:rPr>
          <w:sz w:val="18"/>
        </w:rPr>
      </w:pPr>
    </w:p>
    <w:p>
      <w:pPr>
        <w:pStyle w:val="70"/>
        <w:framePr w:h="3057" w:hRule="exact" w:wrap="notBeside" w:vAnchor="page" w:hAnchor="margin" w:y="12605"/>
        <w:rPr>
          <w:sz w:val="18"/>
        </w:rPr>
      </w:pPr>
      <w:r>
        <w:rPr>
          <w:sz w:val="18"/>
        </w:rPr>
        <w:t>UMTS™ is a Trade Mark of ETSI registered for the benefit of its members</w:t>
      </w:r>
    </w:p>
    <w:p>
      <w:pPr>
        <w:pStyle w:val="70"/>
        <w:framePr w:h="3057" w:hRule="exact" w:wrap="notBeside" w:vAnchor="page" w:hAnchor="margin" w:y="1260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70"/>
        <w:framePr w:h="3057" w:hRule="exact" w:wrap="notBeside" w:vAnchor="page" w:hAnchor="margin" w:y="12605"/>
        <w:rPr>
          <w:sz w:val="18"/>
        </w:rPr>
      </w:pPr>
      <w:r>
        <w:rPr>
          <w:sz w:val="18"/>
        </w:rPr>
        <w:t>GSM® and the GSM logo are registered and owned by the GSM Association</w:t>
      </w:r>
    </w:p>
    <w:p/>
    <w:bookmarkEnd w:id="1"/>
    <w:p>
      <w:pPr>
        <w:pStyle w:val="60"/>
      </w:pPr>
      <w:r>
        <w:br w:type="page"/>
      </w:r>
      <w:r>
        <w:t>Contents</w:t>
      </w:r>
    </w:p>
    <w:p>
      <w:pPr>
        <w:pStyle w:val="21"/>
        <w:rPr>
          <w:rFonts w:asciiTheme="minorHAnsi" w:hAnsiTheme="minorHAnsi" w:eastAsiaTheme="minorEastAsia"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_Toc133498111 \h </w:instrText>
      </w:r>
      <w:r>
        <w:fldChar w:fldCharType="separate"/>
      </w:r>
      <w:r>
        <w:t>8</w:t>
      </w:r>
      <w:r>
        <w:fldChar w:fldCharType="end"/>
      </w:r>
    </w:p>
    <w:p>
      <w:pPr>
        <w:pStyle w:val="21"/>
        <w:rPr>
          <w:rFonts w:asciiTheme="minorHAnsi" w:hAnsiTheme="minorHAnsi" w:eastAsiaTheme="minorEastAsia" w:cstheme="minorBidi"/>
          <w:kern w:val="2"/>
          <w:sz w:val="21"/>
          <w:szCs w:val="22"/>
          <w:lang w:val="en-US" w:eastAsia="zh-CN"/>
        </w:rPr>
      </w:pPr>
      <w:r>
        <w:rPr>
          <w:lang w:eastAsia="zh-CN"/>
        </w:rPr>
        <w:t>1</w:t>
      </w:r>
      <w:r>
        <w:rPr>
          <w:rFonts w:asciiTheme="minorHAnsi" w:hAnsiTheme="minorHAnsi" w:eastAsiaTheme="minorEastAsia" w:cstheme="minorBidi"/>
          <w:kern w:val="2"/>
          <w:sz w:val="21"/>
          <w:szCs w:val="22"/>
          <w:lang w:val="en-US" w:eastAsia="zh-CN"/>
        </w:rPr>
        <w:tab/>
      </w:r>
      <w:r>
        <w:rPr>
          <w:lang w:eastAsia="zh-CN"/>
        </w:rPr>
        <w:t>Scope</w:t>
      </w:r>
      <w:r>
        <w:tab/>
      </w:r>
      <w:r>
        <w:fldChar w:fldCharType="begin"/>
      </w:r>
      <w:r>
        <w:instrText xml:space="preserve"> PAGEREF _Toc133498112 \h </w:instrText>
      </w:r>
      <w:r>
        <w:fldChar w:fldCharType="separate"/>
      </w:r>
      <w:r>
        <w:t>9</w:t>
      </w:r>
      <w:r>
        <w:fldChar w:fldCharType="end"/>
      </w:r>
    </w:p>
    <w:p>
      <w:pPr>
        <w:pStyle w:val="21"/>
        <w:rPr>
          <w:rFonts w:asciiTheme="minorHAnsi" w:hAnsiTheme="minorHAnsi" w:eastAsiaTheme="minorEastAsia" w:cstheme="minorBidi"/>
          <w:kern w:val="2"/>
          <w:sz w:val="21"/>
          <w:szCs w:val="22"/>
          <w:lang w:val="en-US" w:eastAsia="zh-CN"/>
        </w:rPr>
      </w:pPr>
      <w:r>
        <w:rPr>
          <w:lang w:eastAsia="zh-CN"/>
        </w:rPr>
        <w:t>2</w:t>
      </w:r>
      <w:r>
        <w:rPr>
          <w:rFonts w:asciiTheme="minorHAnsi" w:hAnsiTheme="minorHAnsi" w:eastAsiaTheme="minorEastAsia" w:cstheme="minorBidi"/>
          <w:kern w:val="2"/>
          <w:sz w:val="21"/>
          <w:szCs w:val="22"/>
          <w:lang w:val="en-US" w:eastAsia="zh-CN"/>
        </w:rPr>
        <w:tab/>
      </w:r>
      <w:r>
        <w:rPr>
          <w:lang w:eastAsia="zh-CN"/>
        </w:rPr>
        <w:t>References</w:t>
      </w:r>
      <w:r>
        <w:tab/>
      </w:r>
      <w:r>
        <w:fldChar w:fldCharType="begin"/>
      </w:r>
      <w:r>
        <w:instrText xml:space="preserve"> PAGEREF _Toc133498113 \h </w:instrText>
      </w:r>
      <w:r>
        <w:fldChar w:fldCharType="separate"/>
      </w:r>
      <w:r>
        <w:t>9</w:t>
      </w:r>
      <w:r>
        <w:fldChar w:fldCharType="end"/>
      </w:r>
    </w:p>
    <w:p>
      <w:pPr>
        <w:pStyle w:val="21"/>
        <w:rPr>
          <w:rFonts w:asciiTheme="minorHAnsi" w:hAnsiTheme="minorHAnsi" w:eastAsiaTheme="minorEastAsia" w:cstheme="minorBidi"/>
          <w:kern w:val="2"/>
          <w:sz w:val="21"/>
          <w:szCs w:val="22"/>
          <w:lang w:val="en-US" w:eastAsia="zh-CN"/>
        </w:rPr>
      </w:pPr>
      <w:r>
        <w:rPr>
          <w:lang w:eastAsia="zh-CN"/>
        </w:rPr>
        <w:t>3</w:t>
      </w:r>
      <w:r>
        <w:rPr>
          <w:rFonts w:asciiTheme="minorHAnsi" w:hAnsiTheme="minorHAnsi" w:eastAsiaTheme="minorEastAsia" w:cstheme="minorBidi"/>
          <w:kern w:val="2"/>
          <w:sz w:val="21"/>
          <w:szCs w:val="22"/>
          <w:lang w:val="en-US" w:eastAsia="zh-CN"/>
        </w:rPr>
        <w:tab/>
      </w:r>
      <w:r>
        <w:rPr>
          <w:lang w:eastAsia="zh-CN"/>
        </w:rPr>
        <w:t>Definitions, symbols and abbreviations</w:t>
      </w:r>
      <w:r>
        <w:tab/>
      </w:r>
      <w:r>
        <w:fldChar w:fldCharType="begin"/>
      </w:r>
      <w:r>
        <w:instrText xml:space="preserve"> PAGEREF _Toc133498114 \h </w:instrText>
      </w:r>
      <w:r>
        <w:fldChar w:fldCharType="separate"/>
      </w:r>
      <w:r>
        <w:t>10</w:t>
      </w:r>
      <w:r>
        <w:fldChar w:fldCharType="end"/>
      </w:r>
    </w:p>
    <w:p>
      <w:pPr>
        <w:pStyle w:val="20"/>
        <w:rPr>
          <w:rFonts w:asciiTheme="minorHAnsi" w:hAnsiTheme="minorHAnsi" w:eastAsiaTheme="minorEastAsia" w:cstheme="minorBidi"/>
          <w:kern w:val="2"/>
          <w:sz w:val="21"/>
          <w:szCs w:val="22"/>
          <w:lang w:val="en-US" w:eastAsia="zh-CN"/>
        </w:rPr>
      </w:pPr>
      <w:r>
        <w:t>3.1</w:t>
      </w:r>
      <w:r>
        <w:rPr>
          <w:rFonts w:asciiTheme="minorHAnsi" w:hAnsiTheme="minorHAnsi" w:eastAsiaTheme="minorEastAsia" w:cstheme="minorBidi"/>
          <w:kern w:val="2"/>
          <w:sz w:val="21"/>
          <w:szCs w:val="22"/>
          <w:lang w:val="en-US" w:eastAsia="zh-CN"/>
        </w:rPr>
        <w:tab/>
      </w:r>
      <w:r>
        <w:t>Definitions</w:t>
      </w:r>
      <w:r>
        <w:tab/>
      </w:r>
      <w:r>
        <w:fldChar w:fldCharType="begin"/>
      </w:r>
      <w:r>
        <w:instrText xml:space="preserve"> PAGEREF _Toc133498115 \h </w:instrText>
      </w:r>
      <w:r>
        <w:fldChar w:fldCharType="separate"/>
      </w:r>
      <w:r>
        <w:t>10</w:t>
      </w:r>
      <w:r>
        <w:fldChar w:fldCharType="end"/>
      </w:r>
    </w:p>
    <w:p>
      <w:pPr>
        <w:pStyle w:val="20"/>
        <w:rPr>
          <w:rFonts w:asciiTheme="minorHAnsi" w:hAnsiTheme="minorHAnsi" w:eastAsiaTheme="minorEastAsia" w:cstheme="minorBidi"/>
          <w:kern w:val="2"/>
          <w:sz w:val="21"/>
          <w:szCs w:val="22"/>
          <w:lang w:val="en-US" w:eastAsia="zh-CN"/>
        </w:rPr>
      </w:pPr>
      <w:r>
        <w:t>3.2</w:t>
      </w:r>
      <w:r>
        <w:rPr>
          <w:rFonts w:asciiTheme="minorHAnsi" w:hAnsiTheme="minorHAnsi" w:eastAsiaTheme="minorEastAsia" w:cstheme="minorBidi"/>
          <w:kern w:val="2"/>
          <w:sz w:val="21"/>
          <w:szCs w:val="22"/>
          <w:lang w:val="en-US" w:eastAsia="zh-CN"/>
        </w:rPr>
        <w:tab/>
      </w:r>
      <w:r>
        <w:t>Symbols</w:t>
      </w:r>
      <w:r>
        <w:tab/>
      </w:r>
      <w:r>
        <w:fldChar w:fldCharType="begin"/>
      </w:r>
      <w:r>
        <w:instrText xml:space="preserve"> PAGEREF _Toc133498116 \h </w:instrText>
      </w:r>
      <w:r>
        <w:fldChar w:fldCharType="separate"/>
      </w:r>
      <w:r>
        <w:t>10</w:t>
      </w:r>
      <w:r>
        <w:fldChar w:fldCharType="end"/>
      </w:r>
    </w:p>
    <w:p>
      <w:pPr>
        <w:pStyle w:val="20"/>
        <w:rPr>
          <w:rFonts w:asciiTheme="minorHAnsi" w:hAnsiTheme="minorHAnsi" w:eastAsiaTheme="minorEastAsia" w:cstheme="minorBidi"/>
          <w:kern w:val="2"/>
          <w:sz w:val="21"/>
          <w:szCs w:val="22"/>
          <w:lang w:val="en-US" w:eastAsia="zh-CN"/>
        </w:rPr>
      </w:pPr>
      <w:r>
        <w:t>3.3</w:t>
      </w:r>
      <w:r>
        <w:rPr>
          <w:rFonts w:asciiTheme="minorHAnsi" w:hAnsiTheme="minorHAnsi" w:eastAsiaTheme="minorEastAsia" w:cstheme="minorBidi"/>
          <w:kern w:val="2"/>
          <w:sz w:val="21"/>
          <w:szCs w:val="22"/>
          <w:lang w:val="en-US" w:eastAsia="zh-CN"/>
        </w:rPr>
        <w:tab/>
      </w:r>
      <w:r>
        <w:t>Abbreviations</w:t>
      </w:r>
      <w:r>
        <w:tab/>
      </w:r>
      <w:r>
        <w:fldChar w:fldCharType="begin"/>
      </w:r>
      <w:r>
        <w:instrText xml:space="preserve"> PAGEREF _Toc133498117 \h </w:instrText>
      </w:r>
      <w:r>
        <w:fldChar w:fldCharType="separate"/>
      </w:r>
      <w:r>
        <w:t>10</w:t>
      </w:r>
      <w:r>
        <w:fldChar w:fldCharType="end"/>
      </w:r>
    </w:p>
    <w:p>
      <w:pPr>
        <w:pStyle w:val="21"/>
        <w:rPr>
          <w:rFonts w:asciiTheme="minorHAnsi" w:hAnsiTheme="minorHAnsi" w:eastAsiaTheme="minorEastAsia" w:cstheme="minorBidi"/>
          <w:kern w:val="2"/>
          <w:sz w:val="21"/>
          <w:szCs w:val="22"/>
          <w:lang w:val="en-US" w:eastAsia="zh-CN"/>
        </w:rPr>
      </w:pPr>
      <w:r>
        <w:rPr>
          <w:lang w:eastAsia="zh-CN"/>
        </w:rPr>
        <w:t>4</w:t>
      </w:r>
      <w:r>
        <w:rPr>
          <w:rFonts w:asciiTheme="minorHAnsi" w:hAnsiTheme="minorHAnsi" w:eastAsiaTheme="minorEastAsia" w:cstheme="minorBidi"/>
          <w:kern w:val="2"/>
          <w:sz w:val="21"/>
          <w:szCs w:val="22"/>
          <w:lang w:val="en-US" w:eastAsia="zh-CN"/>
        </w:rPr>
        <w:tab/>
      </w:r>
      <w:r>
        <w:rPr>
          <w:lang w:eastAsia="zh-CN"/>
        </w:rPr>
        <w:t>Background</w:t>
      </w:r>
      <w:r>
        <w:tab/>
      </w:r>
      <w:r>
        <w:fldChar w:fldCharType="begin"/>
      </w:r>
      <w:r>
        <w:instrText xml:space="preserve"> PAGEREF _Toc133498118 \h </w:instrText>
      </w:r>
      <w:r>
        <w:fldChar w:fldCharType="separate"/>
      </w:r>
      <w:r>
        <w:t>10</w:t>
      </w:r>
      <w:r>
        <w:fldChar w:fldCharType="end"/>
      </w:r>
    </w:p>
    <w:p>
      <w:pPr>
        <w:pStyle w:val="21"/>
        <w:rPr>
          <w:rFonts w:asciiTheme="minorHAnsi" w:hAnsiTheme="minorHAnsi" w:eastAsiaTheme="minorEastAsia" w:cstheme="minorBidi"/>
          <w:kern w:val="2"/>
          <w:sz w:val="21"/>
          <w:szCs w:val="22"/>
          <w:lang w:val="en-US" w:eastAsia="zh-CN"/>
        </w:rPr>
      </w:pPr>
      <w:r>
        <w:rPr>
          <w:lang w:eastAsia="zh-CN"/>
        </w:rPr>
        <w:t>5</w:t>
      </w:r>
      <w:r>
        <w:rPr>
          <w:rFonts w:asciiTheme="minorHAnsi" w:hAnsiTheme="minorHAnsi" w:eastAsiaTheme="minorEastAsia" w:cstheme="minorBidi"/>
          <w:kern w:val="2"/>
          <w:sz w:val="21"/>
          <w:szCs w:val="22"/>
          <w:lang w:val="en-US" w:eastAsia="zh-CN"/>
        </w:rPr>
        <w:tab/>
      </w:r>
      <w:r>
        <w:rPr>
          <w:lang w:eastAsia="zh-CN"/>
        </w:rPr>
        <w:t>ATG bands</w:t>
      </w:r>
      <w:r>
        <w:tab/>
      </w:r>
      <w:r>
        <w:fldChar w:fldCharType="begin"/>
      </w:r>
      <w:r>
        <w:instrText xml:space="preserve"> PAGEREF _Toc133498119 \h </w:instrText>
      </w:r>
      <w:r>
        <w:fldChar w:fldCharType="separate"/>
      </w:r>
      <w:r>
        <w:t>11</w:t>
      </w:r>
      <w:r>
        <w:fldChar w:fldCharType="end"/>
      </w:r>
    </w:p>
    <w:p>
      <w:pPr>
        <w:pStyle w:val="21"/>
        <w:rPr>
          <w:rFonts w:asciiTheme="minorHAnsi" w:hAnsiTheme="minorHAnsi" w:eastAsiaTheme="minorEastAsia" w:cstheme="minorBidi"/>
          <w:kern w:val="2"/>
          <w:sz w:val="21"/>
          <w:szCs w:val="22"/>
          <w:lang w:val="en-US" w:eastAsia="zh-CN"/>
        </w:rPr>
      </w:pPr>
      <w:r>
        <w:rPr>
          <w:lang w:eastAsia="zh-CN"/>
        </w:rPr>
        <w:t>6</w:t>
      </w:r>
      <w:r>
        <w:rPr>
          <w:rFonts w:asciiTheme="minorHAnsi" w:hAnsiTheme="minorHAnsi" w:eastAsiaTheme="minorEastAsia" w:cstheme="minorBidi"/>
          <w:kern w:val="2"/>
          <w:sz w:val="21"/>
          <w:szCs w:val="22"/>
          <w:lang w:val="en-US" w:eastAsia="zh-CN"/>
        </w:rPr>
        <w:tab/>
      </w:r>
      <w:r>
        <w:rPr>
          <w:lang w:eastAsia="zh-CN"/>
        </w:rPr>
        <w:t>Co-existence study</w:t>
      </w:r>
      <w:r>
        <w:tab/>
      </w:r>
      <w:r>
        <w:fldChar w:fldCharType="begin"/>
      </w:r>
      <w:r>
        <w:instrText xml:space="preserve"> PAGEREF _Toc133498120 \h </w:instrText>
      </w:r>
      <w:r>
        <w:fldChar w:fldCharType="separate"/>
      </w:r>
      <w:r>
        <w:t>11</w:t>
      </w:r>
      <w:r>
        <w:fldChar w:fldCharType="end"/>
      </w:r>
    </w:p>
    <w:p>
      <w:pPr>
        <w:pStyle w:val="20"/>
        <w:rPr>
          <w:rFonts w:asciiTheme="minorHAnsi" w:hAnsiTheme="minorHAnsi" w:eastAsiaTheme="minorEastAsia" w:cstheme="minorBidi"/>
          <w:kern w:val="2"/>
          <w:sz w:val="21"/>
          <w:szCs w:val="22"/>
          <w:lang w:val="en-US" w:eastAsia="zh-CN"/>
        </w:rPr>
      </w:pPr>
      <w:r>
        <w:t>6.1 Co-existence simulation scenario</w:t>
      </w:r>
      <w:r>
        <w:tab/>
      </w:r>
      <w:r>
        <w:fldChar w:fldCharType="begin"/>
      </w:r>
      <w:r>
        <w:instrText xml:space="preserve"> PAGEREF _Toc133498121 \h </w:instrText>
      </w:r>
      <w:r>
        <w:fldChar w:fldCharType="separate"/>
      </w:r>
      <w:r>
        <w:t>11</w:t>
      </w:r>
      <w:r>
        <w:fldChar w:fldCharType="end"/>
      </w:r>
    </w:p>
    <w:p>
      <w:pPr>
        <w:pStyle w:val="20"/>
        <w:rPr>
          <w:rFonts w:asciiTheme="minorHAnsi" w:hAnsiTheme="minorHAnsi" w:eastAsiaTheme="minorEastAsia" w:cstheme="minorBidi"/>
          <w:kern w:val="2"/>
          <w:sz w:val="21"/>
          <w:szCs w:val="22"/>
          <w:lang w:val="en-US" w:eastAsia="zh-CN"/>
        </w:rPr>
      </w:pPr>
      <w:r>
        <w:t>6.2 Co-existence simulation assumption</w:t>
      </w:r>
      <w:r>
        <w:tab/>
      </w:r>
      <w:r>
        <w:fldChar w:fldCharType="begin"/>
      </w:r>
      <w:r>
        <w:instrText xml:space="preserve"> PAGEREF _Toc133498122 \h </w:instrText>
      </w:r>
      <w:r>
        <w:fldChar w:fldCharType="separate"/>
      </w:r>
      <w:r>
        <w:t>12</w:t>
      </w:r>
      <w:r>
        <w:fldChar w:fldCharType="end"/>
      </w:r>
    </w:p>
    <w:p>
      <w:pPr>
        <w:pStyle w:val="19"/>
        <w:rPr>
          <w:rFonts w:asciiTheme="minorHAnsi" w:hAnsiTheme="minorHAnsi" w:eastAsiaTheme="minorEastAsia" w:cstheme="minorBidi"/>
          <w:kern w:val="2"/>
          <w:sz w:val="21"/>
          <w:szCs w:val="22"/>
          <w:lang w:val="en-US" w:eastAsia="zh-CN"/>
        </w:rPr>
      </w:pPr>
      <w:r>
        <w:rPr>
          <w:rFonts w:eastAsiaTheme="minorEastAsia"/>
        </w:rPr>
        <w:t xml:space="preserve">6.2.1 </w:t>
      </w:r>
      <w:r>
        <w:t>Network layout model</w:t>
      </w:r>
      <w:r>
        <w:tab/>
      </w:r>
      <w:r>
        <w:fldChar w:fldCharType="begin"/>
      </w:r>
      <w:r>
        <w:instrText xml:space="preserve"> PAGEREF _Toc133498123 \h </w:instrText>
      </w:r>
      <w:r>
        <w:fldChar w:fldCharType="separate"/>
      </w:r>
      <w:r>
        <w:t>12</w:t>
      </w:r>
      <w:r>
        <w:fldChar w:fldCharType="end"/>
      </w:r>
    </w:p>
    <w:p>
      <w:pPr>
        <w:pStyle w:val="18"/>
        <w:rPr>
          <w:rFonts w:asciiTheme="minorHAnsi" w:hAnsiTheme="minorHAnsi" w:eastAsiaTheme="minorEastAsia" w:cstheme="minorBidi"/>
          <w:kern w:val="2"/>
          <w:sz w:val="21"/>
          <w:szCs w:val="22"/>
          <w:lang w:val="en-US" w:eastAsia="zh-CN"/>
        </w:rPr>
      </w:pPr>
      <w:r>
        <w:rPr>
          <w:lang w:eastAsia="zh-CN"/>
        </w:rPr>
        <w:t xml:space="preserve">6.2.1.1 </w:t>
      </w:r>
      <w:r>
        <w:t>Co-existence between ATG and NR terrestrial network</w:t>
      </w:r>
      <w:r>
        <w:tab/>
      </w:r>
      <w:r>
        <w:fldChar w:fldCharType="begin"/>
      </w:r>
      <w:r>
        <w:instrText xml:space="preserve"> PAGEREF _Toc133498124 \h </w:instrText>
      </w:r>
      <w:r>
        <w:fldChar w:fldCharType="separate"/>
      </w:r>
      <w:r>
        <w:t>12</w:t>
      </w:r>
      <w:r>
        <w:fldChar w:fldCharType="end"/>
      </w:r>
    </w:p>
    <w:p>
      <w:pPr>
        <w:pStyle w:val="19"/>
        <w:rPr>
          <w:rFonts w:asciiTheme="minorHAnsi" w:hAnsiTheme="minorHAnsi" w:eastAsiaTheme="minorEastAsia" w:cstheme="minorBidi"/>
          <w:kern w:val="2"/>
          <w:sz w:val="21"/>
          <w:szCs w:val="22"/>
          <w:lang w:val="en-US" w:eastAsia="zh-CN"/>
        </w:rPr>
      </w:pPr>
      <w:r>
        <w:rPr>
          <w:lang w:eastAsia="zh-CN"/>
        </w:rPr>
        <w:t xml:space="preserve">6.2.3 </w:t>
      </w:r>
      <w:r>
        <w:t>Antenna and beamforming pattern modelling</w:t>
      </w:r>
      <w:r>
        <w:tab/>
      </w:r>
      <w:r>
        <w:fldChar w:fldCharType="begin"/>
      </w:r>
      <w:r>
        <w:instrText xml:space="preserve"> PAGEREF _Toc133498125 \h </w:instrText>
      </w:r>
      <w:r>
        <w:fldChar w:fldCharType="separate"/>
      </w:r>
      <w:r>
        <w:t>17</w:t>
      </w:r>
      <w:r>
        <w:fldChar w:fldCharType="end"/>
      </w:r>
    </w:p>
    <w:p>
      <w:pPr>
        <w:pStyle w:val="18"/>
        <w:rPr>
          <w:rFonts w:asciiTheme="minorHAnsi" w:hAnsiTheme="minorHAnsi" w:eastAsiaTheme="minorEastAsia" w:cstheme="minorBidi"/>
          <w:kern w:val="2"/>
          <w:sz w:val="21"/>
          <w:szCs w:val="22"/>
          <w:lang w:val="en-US" w:eastAsia="zh-CN"/>
        </w:rPr>
      </w:pPr>
      <w:r>
        <w:t>6.2.3.1 ATG BS antenna model</w:t>
      </w:r>
      <w:r>
        <w:tab/>
      </w:r>
      <w:r>
        <w:fldChar w:fldCharType="begin"/>
      </w:r>
      <w:r>
        <w:instrText xml:space="preserve"> PAGEREF _Toc133498126 \h </w:instrText>
      </w:r>
      <w:r>
        <w:fldChar w:fldCharType="separate"/>
      </w:r>
      <w:r>
        <w:t>17</w:t>
      </w:r>
      <w:r>
        <w:fldChar w:fldCharType="end"/>
      </w:r>
    </w:p>
    <w:p>
      <w:pPr>
        <w:pStyle w:val="18"/>
        <w:rPr>
          <w:rFonts w:asciiTheme="minorHAnsi" w:hAnsiTheme="minorHAnsi" w:eastAsiaTheme="minorEastAsia" w:cstheme="minorBidi"/>
          <w:kern w:val="2"/>
          <w:sz w:val="21"/>
          <w:szCs w:val="22"/>
          <w:lang w:val="en-US" w:eastAsia="zh-CN"/>
        </w:rPr>
      </w:pPr>
      <w:r>
        <w:t>6.2.3.2 ATG UE antenna model</w:t>
      </w:r>
      <w:r>
        <w:tab/>
      </w:r>
      <w:r>
        <w:fldChar w:fldCharType="begin"/>
      </w:r>
      <w:r>
        <w:instrText xml:space="preserve"> PAGEREF _Toc133498127 \h </w:instrText>
      </w:r>
      <w:r>
        <w:fldChar w:fldCharType="separate"/>
      </w:r>
      <w:r>
        <w:t>19</w:t>
      </w:r>
      <w:r>
        <w:fldChar w:fldCharType="end"/>
      </w:r>
    </w:p>
    <w:p>
      <w:pPr>
        <w:pStyle w:val="18"/>
        <w:rPr>
          <w:rFonts w:asciiTheme="minorHAnsi" w:hAnsiTheme="minorHAnsi" w:eastAsiaTheme="minorEastAsia" w:cstheme="minorBidi"/>
          <w:kern w:val="2"/>
          <w:sz w:val="21"/>
          <w:szCs w:val="22"/>
          <w:lang w:val="en-US" w:eastAsia="zh-CN"/>
        </w:rPr>
      </w:pPr>
      <w:r>
        <w:t>6.2.3.3 TN BS antenna model</w:t>
      </w:r>
      <w:r>
        <w:tab/>
      </w:r>
      <w:r>
        <w:fldChar w:fldCharType="begin"/>
      </w:r>
      <w:r>
        <w:instrText xml:space="preserve"> PAGEREF _Toc133498128 \h </w:instrText>
      </w:r>
      <w:r>
        <w:fldChar w:fldCharType="separate"/>
      </w:r>
      <w:r>
        <w:t>20</w:t>
      </w:r>
      <w:r>
        <w:fldChar w:fldCharType="end"/>
      </w:r>
    </w:p>
    <w:p>
      <w:pPr>
        <w:pStyle w:val="18"/>
        <w:rPr>
          <w:rFonts w:asciiTheme="minorHAnsi" w:hAnsiTheme="minorHAnsi" w:eastAsiaTheme="minorEastAsia" w:cstheme="minorBidi"/>
          <w:kern w:val="2"/>
          <w:sz w:val="21"/>
          <w:szCs w:val="22"/>
          <w:lang w:val="en-US" w:eastAsia="zh-CN"/>
        </w:rPr>
      </w:pPr>
      <w:r>
        <w:t>6.2.3.4 TN UE antenna model</w:t>
      </w:r>
      <w:r>
        <w:tab/>
      </w:r>
      <w:r>
        <w:fldChar w:fldCharType="begin"/>
      </w:r>
      <w:r>
        <w:instrText xml:space="preserve"> PAGEREF _Toc133498129 \h </w:instrText>
      </w:r>
      <w:r>
        <w:fldChar w:fldCharType="separate"/>
      </w:r>
      <w:r>
        <w:t>21</w:t>
      </w:r>
      <w:r>
        <w:fldChar w:fldCharType="end"/>
      </w:r>
    </w:p>
    <w:p>
      <w:pPr>
        <w:pStyle w:val="19"/>
        <w:rPr>
          <w:rFonts w:asciiTheme="minorHAnsi" w:hAnsiTheme="minorHAnsi" w:eastAsiaTheme="minorEastAsia" w:cstheme="minorBidi"/>
          <w:kern w:val="2"/>
          <w:sz w:val="21"/>
          <w:szCs w:val="22"/>
          <w:lang w:val="en-US" w:eastAsia="zh-CN"/>
        </w:rPr>
      </w:pPr>
      <w:r>
        <w:rPr>
          <w:lang w:eastAsia="zh-CN"/>
        </w:rPr>
        <w:t xml:space="preserve">6.2.4 </w:t>
      </w:r>
      <w:r>
        <w:t>ACLR and ACS modelling</w:t>
      </w:r>
      <w:r>
        <w:tab/>
      </w:r>
      <w:r>
        <w:fldChar w:fldCharType="begin"/>
      </w:r>
      <w:r>
        <w:instrText xml:space="preserve"> PAGEREF _Toc133498130 \h </w:instrText>
      </w:r>
      <w:r>
        <w:fldChar w:fldCharType="separate"/>
      </w:r>
      <w:r>
        <w:t>21</w:t>
      </w:r>
      <w:r>
        <w:fldChar w:fldCharType="end"/>
      </w:r>
    </w:p>
    <w:p>
      <w:pPr>
        <w:pStyle w:val="19"/>
        <w:rPr>
          <w:rFonts w:asciiTheme="minorHAnsi" w:hAnsiTheme="minorHAnsi" w:eastAsiaTheme="minorEastAsia" w:cstheme="minorBidi"/>
          <w:kern w:val="2"/>
          <w:sz w:val="21"/>
          <w:szCs w:val="22"/>
          <w:lang w:val="en-US" w:eastAsia="zh-CN"/>
        </w:rPr>
      </w:pPr>
      <w:r>
        <w:rPr>
          <w:lang w:eastAsia="zh-CN"/>
        </w:rPr>
        <w:t>6.2.5 Propagation model</w:t>
      </w:r>
      <w:r>
        <w:tab/>
      </w:r>
      <w:r>
        <w:fldChar w:fldCharType="begin"/>
      </w:r>
      <w:r>
        <w:instrText xml:space="preserve"> PAGEREF _Toc133498131 \h </w:instrText>
      </w:r>
      <w:r>
        <w:fldChar w:fldCharType="separate"/>
      </w:r>
      <w:r>
        <w:t>22</w:t>
      </w:r>
      <w:r>
        <w:fldChar w:fldCharType="end"/>
      </w:r>
    </w:p>
    <w:p>
      <w:pPr>
        <w:pStyle w:val="18"/>
        <w:rPr>
          <w:rFonts w:asciiTheme="minorHAnsi" w:hAnsiTheme="minorHAnsi" w:eastAsiaTheme="minorEastAsia" w:cstheme="minorBidi"/>
          <w:kern w:val="2"/>
          <w:sz w:val="21"/>
          <w:szCs w:val="22"/>
          <w:lang w:val="en-US" w:eastAsia="zh-CN"/>
        </w:rPr>
      </w:pPr>
      <w:r>
        <w:t>6.2.5.1 Propagation model between TN UE and ATG UE</w:t>
      </w:r>
      <w:r>
        <w:tab/>
      </w:r>
      <w:r>
        <w:fldChar w:fldCharType="begin"/>
      </w:r>
      <w:r>
        <w:instrText xml:space="preserve"> PAGEREF _Toc133498132 \h </w:instrText>
      </w:r>
      <w:r>
        <w:fldChar w:fldCharType="separate"/>
      </w:r>
      <w:r>
        <w:t>22</w:t>
      </w:r>
      <w:r>
        <w:fldChar w:fldCharType="end"/>
      </w:r>
    </w:p>
    <w:p>
      <w:pPr>
        <w:pStyle w:val="18"/>
        <w:rPr>
          <w:rFonts w:asciiTheme="minorHAnsi" w:hAnsiTheme="minorHAnsi" w:eastAsiaTheme="minorEastAsia" w:cstheme="minorBidi"/>
          <w:kern w:val="2"/>
          <w:sz w:val="21"/>
          <w:szCs w:val="22"/>
          <w:lang w:val="en-US" w:eastAsia="zh-CN"/>
        </w:rPr>
      </w:pPr>
      <w:r>
        <w:t>6.2.5.2 Propagation model between TN BS and TN UE</w:t>
      </w:r>
      <w:r>
        <w:tab/>
      </w:r>
      <w:r>
        <w:fldChar w:fldCharType="begin"/>
      </w:r>
      <w:r>
        <w:instrText xml:space="preserve"> PAGEREF _Toc133498133 \h </w:instrText>
      </w:r>
      <w:r>
        <w:fldChar w:fldCharType="separate"/>
      </w:r>
      <w:r>
        <w:t>23</w:t>
      </w:r>
      <w:r>
        <w:fldChar w:fldCharType="end"/>
      </w:r>
    </w:p>
    <w:p>
      <w:pPr>
        <w:pStyle w:val="18"/>
        <w:rPr>
          <w:rFonts w:asciiTheme="minorHAnsi" w:hAnsiTheme="minorHAnsi" w:eastAsiaTheme="minorEastAsia" w:cstheme="minorBidi"/>
          <w:kern w:val="2"/>
          <w:sz w:val="21"/>
          <w:szCs w:val="22"/>
          <w:lang w:val="en-US" w:eastAsia="zh-CN"/>
        </w:rPr>
      </w:pPr>
      <w:r>
        <w:t>6.2.5.3 Propagation model between ATG BS and TN BS</w:t>
      </w:r>
      <w:r>
        <w:tab/>
      </w:r>
      <w:r>
        <w:fldChar w:fldCharType="begin"/>
      </w:r>
      <w:r>
        <w:instrText xml:space="preserve"> PAGEREF _Toc133498134 \h </w:instrText>
      </w:r>
      <w:r>
        <w:fldChar w:fldCharType="separate"/>
      </w:r>
      <w:r>
        <w:t>27</w:t>
      </w:r>
      <w:r>
        <w:fldChar w:fldCharType="end"/>
      </w:r>
    </w:p>
    <w:p>
      <w:pPr>
        <w:pStyle w:val="18"/>
        <w:rPr>
          <w:rFonts w:asciiTheme="minorHAnsi" w:hAnsiTheme="minorHAnsi" w:eastAsiaTheme="minorEastAsia" w:cstheme="minorBidi"/>
          <w:kern w:val="2"/>
          <w:sz w:val="21"/>
          <w:szCs w:val="22"/>
          <w:lang w:val="en-US" w:eastAsia="zh-CN"/>
        </w:rPr>
      </w:pPr>
      <w:r>
        <w:t>6.2.5.4 Propagation model between ATG BS and TN UE</w:t>
      </w:r>
      <w:r>
        <w:tab/>
      </w:r>
      <w:r>
        <w:fldChar w:fldCharType="begin"/>
      </w:r>
      <w:r>
        <w:instrText xml:space="preserve"> PAGEREF _Toc133498135 \h </w:instrText>
      </w:r>
      <w:r>
        <w:fldChar w:fldCharType="separate"/>
      </w:r>
      <w:r>
        <w:t>27</w:t>
      </w:r>
      <w:r>
        <w:fldChar w:fldCharType="end"/>
      </w:r>
    </w:p>
    <w:p>
      <w:pPr>
        <w:pStyle w:val="18"/>
        <w:rPr>
          <w:rFonts w:asciiTheme="minorHAnsi" w:hAnsiTheme="minorHAnsi" w:eastAsiaTheme="minorEastAsia" w:cstheme="minorBidi"/>
          <w:kern w:val="2"/>
          <w:sz w:val="21"/>
          <w:szCs w:val="22"/>
          <w:lang w:val="en-US" w:eastAsia="zh-CN"/>
        </w:rPr>
      </w:pPr>
      <w:r>
        <w:t>6.2.5.5 Propagation model between TN BS and ATG UE</w:t>
      </w:r>
      <w:r>
        <w:tab/>
      </w:r>
      <w:r>
        <w:fldChar w:fldCharType="begin"/>
      </w:r>
      <w:r>
        <w:instrText xml:space="preserve"> PAGEREF _Toc133498136 \h </w:instrText>
      </w:r>
      <w:r>
        <w:fldChar w:fldCharType="separate"/>
      </w:r>
      <w:r>
        <w:t>27</w:t>
      </w:r>
      <w:r>
        <w:fldChar w:fldCharType="end"/>
      </w:r>
    </w:p>
    <w:p>
      <w:pPr>
        <w:pStyle w:val="18"/>
        <w:rPr>
          <w:rFonts w:asciiTheme="minorHAnsi" w:hAnsiTheme="minorHAnsi" w:eastAsiaTheme="minorEastAsia" w:cstheme="minorBidi"/>
          <w:kern w:val="2"/>
          <w:sz w:val="21"/>
          <w:szCs w:val="22"/>
          <w:lang w:val="en-US" w:eastAsia="zh-CN"/>
        </w:rPr>
      </w:pPr>
      <w:r>
        <w:rPr>
          <w:lang w:eastAsia="zh-CN"/>
        </w:rPr>
        <w:t xml:space="preserve">6.2.5.6 </w:t>
      </w:r>
      <w:r>
        <w:t>Propagation model between ATG BS and ATG UE</w:t>
      </w:r>
      <w:r>
        <w:tab/>
      </w:r>
      <w:r>
        <w:fldChar w:fldCharType="begin"/>
      </w:r>
      <w:r>
        <w:instrText xml:space="preserve"> PAGEREF _Toc133498137 \h </w:instrText>
      </w:r>
      <w:r>
        <w:fldChar w:fldCharType="separate"/>
      </w:r>
      <w:r>
        <w:t>27</w:t>
      </w:r>
      <w:r>
        <w:fldChar w:fldCharType="end"/>
      </w:r>
    </w:p>
    <w:p>
      <w:pPr>
        <w:pStyle w:val="19"/>
        <w:rPr>
          <w:rFonts w:asciiTheme="minorHAnsi" w:hAnsiTheme="minorHAnsi" w:eastAsiaTheme="minorEastAsia" w:cstheme="minorBidi"/>
          <w:kern w:val="2"/>
          <w:sz w:val="21"/>
          <w:szCs w:val="22"/>
          <w:lang w:val="en-US" w:eastAsia="zh-CN"/>
        </w:rPr>
      </w:pPr>
      <w:r>
        <w:rPr>
          <w:lang w:eastAsia="zh-CN"/>
        </w:rPr>
        <w:t>6.2.6 Transmission power control model</w:t>
      </w:r>
      <w:r>
        <w:tab/>
      </w:r>
      <w:r>
        <w:fldChar w:fldCharType="begin"/>
      </w:r>
      <w:r>
        <w:instrText xml:space="preserve"> PAGEREF _Toc133498138 \h </w:instrText>
      </w:r>
      <w:r>
        <w:fldChar w:fldCharType="separate"/>
      </w:r>
      <w:r>
        <w:t>27</w:t>
      </w:r>
      <w:r>
        <w:fldChar w:fldCharType="end"/>
      </w:r>
    </w:p>
    <w:p>
      <w:pPr>
        <w:pStyle w:val="18"/>
        <w:rPr>
          <w:rFonts w:asciiTheme="minorHAnsi" w:hAnsiTheme="minorHAnsi" w:eastAsiaTheme="minorEastAsia" w:cstheme="minorBidi"/>
          <w:kern w:val="2"/>
          <w:sz w:val="21"/>
          <w:szCs w:val="22"/>
          <w:lang w:val="en-US" w:eastAsia="zh-CN"/>
        </w:rPr>
      </w:pPr>
      <w:r>
        <w:t>6.2.6.1 TN UL TPC</w:t>
      </w:r>
      <w:r>
        <w:tab/>
      </w:r>
      <w:r>
        <w:fldChar w:fldCharType="begin"/>
      </w:r>
      <w:r>
        <w:instrText xml:space="preserve"> PAGEREF _Toc133498139 \h </w:instrText>
      </w:r>
      <w:r>
        <w:fldChar w:fldCharType="separate"/>
      </w:r>
      <w:r>
        <w:t>27</w:t>
      </w:r>
      <w:r>
        <w:fldChar w:fldCharType="end"/>
      </w:r>
    </w:p>
    <w:p>
      <w:pPr>
        <w:pStyle w:val="18"/>
        <w:rPr>
          <w:rFonts w:asciiTheme="minorHAnsi" w:hAnsiTheme="minorHAnsi" w:eastAsiaTheme="minorEastAsia" w:cstheme="minorBidi"/>
          <w:kern w:val="2"/>
          <w:sz w:val="21"/>
          <w:szCs w:val="22"/>
          <w:lang w:val="en-US" w:eastAsia="zh-CN"/>
        </w:rPr>
      </w:pPr>
      <w:r>
        <w:t>6.2.6.2 TN DL TPC</w:t>
      </w:r>
      <w:r>
        <w:tab/>
      </w:r>
      <w:r>
        <w:fldChar w:fldCharType="begin"/>
      </w:r>
      <w:r>
        <w:instrText xml:space="preserve"> PAGEREF _Toc133498140 \h </w:instrText>
      </w:r>
      <w:r>
        <w:fldChar w:fldCharType="separate"/>
      </w:r>
      <w:r>
        <w:t>28</w:t>
      </w:r>
      <w:r>
        <w:fldChar w:fldCharType="end"/>
      </w:r>
    </w:p>
    <w:p>
      <w:pPr>
        <w:pStyle w:val="18"/>
        <w:rPr>
          <w:rFonts w:asciiTheme="minorHAnsi" w:hAnsiTheme="minorHAnsi" w:eastAsiaTheme="minorEastAsia" w:cstheme="minorBidi"/>
          <w:kern w:val="2"/>
          <w:sz w:val="21"/>
          <w:szCs w:val="22"/>
          <w:lang w:val="en-US" w:eastAsia="zh-CN"/>
        </w:rPr>
      </w:pPr>
      <w:r>
        <w:t>6.2.6.3 ATG UL TPC</w:t>
      </w:r>
      <w:r>
        <w:tab/>
      </w:r>
      <w:r>
        <w:fldChar w:fldCharType="begin"/>
      </w:r>
      <w:r>
        <w:instrText xml:space="preserve"> PAGEREF _Toc133498141 \h </w:instrText>
      </w:r>
      <w:r>
        <w:fldChar w:fldCharType="separate"/>
      </w:r>
      <w:r>
        <w:t>28</w:t>
      </w:r>
      <w:r>
        <w:fldChar w:fldCharType="end"/>
      </w:r>
    </w:p>
    <w:p>
      <w:pPr>
        <w:pStyle w:val="18"/>
        <w:rPr>
          <w:rFonts w:asciiTheme="minorHAnsi" w:hAnsiTheme="minorHAnsi" w:eastAsiaTheme="minorEastAsia" w:cstheme="minorBidi"/>
          <w:kern w:val="2"/>
          <w:sz w:val="21"/>
          <w:szCs w:val="22"/>
          <w:lang w:val="en-US" w:eastAsia="zh-CN"/>
        </w:rPr>
      </w:pPr>
      <w:r>
        <w:t>6.2.6.4 ATG DL TPC</w:t>
      </w:r>
      <w:r>
        <w:tab/>
      </w:r>
      <w:r>
        <w:fldChar w:fldCharType="begin"/>
      </w:r>
      <w:r>
        <w:instrText xml:space="preserve"> PAGEREF _Toc133498142 \h </w:instrText>
      </w:r>
      <w:r>
        <w:fldChar w:fldCharType="separate"/>
      </w:r>
      <w:r>
        <w:t>28</w:t>
      </w:r>
      <w:r>
        <w:fldChar w:fldCharType="end"/>
      </w:r>
    </w:p>
    <w:p>
      <w:pPr>
        <w:pStyle w:val="19"/>
        <w:rPr>
          <w:rFonts w:asciiTheme="minorHAnsi" w:hAnsiTheme="minorHAnsi" w:eastAsiaTheme="minorEastAsia" w:cstheme="minorBidi"/>
          <w:kern w:val="2"/>
          <w:sz w:val="21"/>
          <w:szCs w:val="22"/>
          <w:lang w:val="en-US" w:eastAsia="zh-CN"/>
        </w:rPr>
      </w:pPr>
      <w:r>
        <w:rPr>
          <w:lang w:eastAsia="zh-CN"/>
        </w:rPr>
        <w:t>6.2.7 Received power model</w:t>
      </w:r>
      <w:r>
        <w:tab/>
      </w:r>
      <w:r>
        <w:fldChar w:fldCharType="begin"/>
      </w:r>
      <w:r>
        <w:instrText xml:space="preserve"> PAGEREF _Toc133498143 \h </w:instrText>
      </w:r>
      <w:r>
        <w:fldChar w:fldCharType="separate"/>
      </w:r>
      <w:r>
        <w:t>29</w:t>
      </w:r>
      <w:r>
        <w:fldChar w:fldCharType="end"/>
      </w:r>
    </w:p>
    <w:p>
      <w:pPr>
        <w:pStyle w:val="19"/>
        <w:rPr>
          <w:rFonts w:asciiTheme="minorHAnsi" w:hAnsiTheme="minorHAnsi" w:eastAsiaTheme="minorEastAsia" w:cstheme="minorBidi"/>
          <w:kern w:val="2"/>
          <w:sz w:val="21"/>
          <w:szCs w:val="22"/>
          <w:lang w:val="en-US" w:eastAsia="zh-CN"/>
        </w:rPr>
      </w:pPr>
      <w:r>
        <w:rPr>
          <w:lang w:eastAsia="zh-CN"/>
        </w:rPr>
        <w:t>6.2.8 Performance metric</w:t>
      </w:r>
      <w:r>
        <w:tab/>
      </w:r>
      <w:r>
        <w:fldChar w:fldCharType="begin"/>
      </w:r>
      <w:r>
        <w:instrText xml:space="preserve"> PAGEREF _Toc133498144 \h </w:instrText>
      </w:r>
      <w:r>
        <w:fldChar w:fldCharType="separate"/>
      </w:r>
      <w:r>
        <w:t>29</w:t>
      </w:r>
      <w:r>
        <w:fldChar w:fldCharType="end"/>
      </w:r>
    </w:p>
    <w:p>
      <w:pPr>
        <w:pStyle w:val="19"/>
        <w:rPr>
          <w:rFonts w:asciiTheme="minorHAnsi" w:hAnsiTheme="minorHAnsi" w:eastAsiaTheme="minorEastAsia" w:cstheme="minorBidi"/>
          <w:kern w:val="2"/>
          <w:sz w:val="21"/>
          <w:szCs w:val="22"/>
          <w:lang w:val="en-US" w:eastAsia="zh-CN"/>
        </w:rPr>
      </w:pPr>
      <w:r>
        <w:rPr>
          <w:lang w:eastAsia="zh-CN"/>
        </w:rPr>
        <w:t>6.2.9 Link level performance for NR ATG coexistence</w:t>
      </w:r>
      <w:r>
        <w:tab/>
      </w:r>
      <w:r>
        <w:fldChar w:fldCharType="begin"/>
      </w:r>
      <w:r>
        <w:instrText xml:space="preserve"> PAGEREF _Toc133498145 \h </w:instrText>
      </w:r>
      <w:r>
        <w:fldChar w:fldCharType="separate"/>
      </w:r>
      <w:r>
        <w:t>29</w:t>
      </w:r>
      <w:r>
        <w:fldChar w:fldCharType="end"/>
      </w:r>
    </w:p>
    <w:p>
      <w:pPr>
        <w:pStyle w:val="20"/>
        <w:rPr>
          <w:rFonts w:asciiTheme="minorHAnsi" w:hAnsiTheme="minorHAnsi" w:eastAsiaTheme="minorEastAsia" w:cstheme="minorBidi"/>
          <w:kern w:val="2"/>
          <w:sz w:val="21"/>
          <w:szCs w:val="22"/>
          <w:lang w:val="en-US" w:eastAsia="zh-CN"/>
        </w:rPr>
      </w:pPr>
      <w:r>
        <w:rPr>
          <w:lang w:eastAsia="zh-CN"/>
        </w:rPr>
        <w:t>6.3 Co-existence simulation methodology</w:t>
      </w:r>
      <w:r>
        <w:tab/>
      </w:r>
      <w:r>
        <w:fldChar w:fldCharType="begin"/>
      </w:r>
      <w:r>
        <w:instrText xml:space="preserve"> PAGEREF _Toc133498146 \h </w:instrText>
      </w:r>
      <w:r>
        <w:fldChar w:fldCharType="separate"/>
      </w:r>
      <w:r>
        <w:t>30</w:t>
      </w:r>
      <w:r>
        <w:fldChar w:fldCharType="end"/>
      </w:r>
    </w:p>
    <w:p>
      <w:pPr>
        <w:pStyle w:val="20"/>
        <w:rPr>
          <w:rFonts w:asciiTheme="minorHAnsi" w:hAnsiTheme="minorHAnsi" w:eastAsiaTheme="minorEastAsia" w:cstheme="minorBidi"/>
          <w:kern w:val="2"/>
          <w:sz w:val="21"/>
          <w:szCs w:val="22"/>
          <w:lang w:val="en-US" w:eastAsia="zh-CN"/>
        </w:rPr>
      </w:pPr>
      <w:r>
        <w:rPr>
          <w:lang w:eastAsia="zh-CN"/>
        </w:rPr>
        <w:t>6.4 Co-existence simulation results</w:t>
      </w:r>
      <w:r>
        <w:tab/>
      </w:r>
      <w:r>
        <w:fldChar w:fldCharType="begin"/>
      </w:r>
      <w:r>
        <w:instrText xml:space="preserve"> PAGEREF _Toc133498147 \h </w:instrText>
      </w:r>
      <w:r>
        <w:fldChar w:fldCharType="separate"/>
      </w:r>
      <w:r>
        <w:t>31</w:t>
      </w:r>
      <w:r>
        <w:fldChar w:fldCharType="end"/>
      </w:r>
    </w:p>
    <w:p>
      <w:pPr>
        <w:pStyle w:val="21"/>
        <w:rPr>
          <w:rFonts w:asciiTheme="minorHAnsi" w:hAnsiTheme="minorHAnsi" w:eastAsiaTheme="minorEastAsia" w:cstheme="minorBidi"/>
          <w:kern w:val="2"/>
          <w:sz w:val="21"/>
          <w:szCs w:val="22"/>
          <w:lang w:val="en-US" w:eastAsia="zh-CN"/>
        </w:rPr>
      </w:pPr>
      <w:r>
        <w:rPr>
          <w:lang w:val="sv-SE" w:eastAsia="zh-CN"/>
        </w:rPr>
        <w:t>7</w:t>
      </w:r>
      <w:r>
        <w:rPr>
          <w:rFonts w:asciiTheme="minorHAnsi" w:hAnsiTheme="minorHAnsi" w:eastAsiaTheme="minorEastAsia" w:cstheme="minorBidi"/>
          <w:kern w:val="2"/>
          <w:sz w:val="21"/>
          <w:szCs w:val="22"/>
          <w:lang w:val="en-US" w:eastAsia="zh-CN"/>
        </w:rPr>
        <w:tab/>
      </w:r>
      <w:r>
        <w:rPr>
          <w:lang w:val="sv-SE" w:eastAsia="zh-CN"/>
        </w:rPr>
        <w:t>RF requirements</w:t>
      </w:r>
      <w:r>
        <w:tab/>
      </w:r>
      <w:r>
        <w:fldChar w:fldCharType="begin"/>
      </w:r>
      <w:r>
        <w:instrText xml:space="preserve"> PAGEREF _Toc133498148 \h </w:instrText>
      </w:r>
      <w:r>
        <w:fldChar w:fldCharType="separate"/>
      </w:r>
      <w:r>
        <w:t>31</w:t>
      </w:r>
      <w:r>
        <w:fldChar w:fldCharType="end"/>
      </w:r>
    </w:p>
    <w:p>
      <w:pPr>
        <w:pStyle w:val="20"/>
        <w:rPr>
          <w:rFonts w:asciiTheme="minorHAnsi" w:hAnsiTheme="minorHAnsi" w:eastAsiaTheme="minorEastAsia" w:cstheme="minorBidi"/>
          <w:kern w:val="2"/>
          <w:sz w:val="21"/>
          <w:szCs w:val="22"/>
          <w:lang w:val="en-US" w:eastAsia="zh-CN"/>
        </w:rPr>
      </w:pPr>
      <w:r>
        <w:rPr>
          <w:lang w:eastAsia="zh-CN"/>
        </w:rPr>
        <w:t>7</w:t>
      </w:r>
      <w:r>
        <w:t>.1</w:t>
      </w:r>
      <w:r>
        <w:rPr>
          <w:rFonts w:asciiTheme="minorHAnsi" w:hAnsiTheme="minorHAnsi" w:eastAsiaTheme="minorEastAsia" w:cstheme="minorBidi"/>
          <w:kern w:val="2"/>
          <w:sz w:val="21"/>
          <w:szCs w:val="22"/>
          <w:lang w:val="en-US" w:eastAsia="zh-CN"/>
        </w:rPr>
        <w:tab/>
      </w:r>
      <w:r>
        <w:rPr>
          <w:lang w:eastAsia="zh-CN"/>
        </w:rPr>
        <w:t>ATG UE</w:t>
      </w:r>
      <w:r>
        <w:t xml:space="preserve"> specific</w:t>
      </w:r>
      <w:r>
        <w:tab/>
      </w:r>
      <w:r>
        <w:fldChar w:fldCharType="begin"/>
      </w:r>
      <w:r>
        <w:instrText xml:space="preserve"> PAGEREF _Toc133498149 \h </w:instrText>
      </w:r>
      <w:r>
        <w:fldChar w:fldCharType="separate"/>
      </w:r>
      <w:r>
        <w:t>31</w:t>
      </w:r>
      <w:r>
        <w:fldChar w:fldCharType="end"/>
      </w:r>
    </w:p>
    <w:p>
      <w:pPr>
        <w:pStyle w:val="19"/>
        <w:rPr>
          <w:rFonts w:asciiTheme="minorHAnsi" w:hAnsiTheme="minorHAnsi" w:eastAsiaTheme="minorEastAsia" w:cstheme="minorBidi"/>
          <w:kern w:val="2"/>
          <w:sz w:val="21"/>
          <w:szCs w:val="22"/>
          <w:lang w:val="en-US" w:eastAsia="zh-CN"/>
        </w:rPr>
      </w:pPr>
      <w:r>
        <w:t>7.</w:t>
      </w:r>
      <w:r>
        <w:rPr>
          <w:lang w:eastAsia="zh-CN"/>
        </w:rPr>
        <w:t>1</w:t>
      </w:r>
      <w:r>
        <w:t xml:space="preserve">.1  ATG UE </w:t>
      </w:r>
      <w:r>
        <w:rPr>
          <w:lang w:eastAsia="zh-CN"/>
        </w:rPr>
        <w:t xml:space="preserve">power </w:t>
      </w:r>
      <w:r>
        <w:t xml:space="preserve">class and </w:t>
      </w:r>
      <w:r>
        <w:rPr>
          <w:lang w:eastAsia="zh-CN"/>
        </w:rPr>
        <w:t xml:space="preserve">requirement </w:t>
      </w:r>
      <w:r>
        <w:t>type</w:t>
      </w:r>
      <w:r>
        <w:tab/>
      </w:r>
      <w:r>
        <w:fldChar w:fldCharType="begin"/>
      </w:r>
      <w:r>
        <w:instrText xml:space="preserve"> PAGEREF _Toc133498150 \h </w:instrText>
      </w:r>
      <w:r>
        <w:fldChar w:fldCharType="separate"/>
      </w:r>
      <w:r>
        <w:t>31</w:t>
      </w:r>
      <w:r>
        <w:fldChar w:fldCharType="end"/>
      </w:r>
    </w:p>
    <w:p>
      <w:pPr>
        <w:pStyle w:val="19"/>
        <w:rPr>
          <w:rFonts w:asciiTheme="minorHAnsi" w:hAnsiTheme="minorHAnsi" w:eastAsiaTheme="minorEastAsia" w:cstheme="minorBidi"/>
          <w:kern w:val="2"/>
          <w:sz w:val="21"/>
          <w:szCs w:val="22"/>
          <w:lang w:val="en-US" w:eastAsia="zh-CN"/>
        </w:rPr>
      </w:pPr>
      <w:r>
        <w:t>7.</w:t>
      </w:r>
      <w:r>
        <w:rPr>
          <w:lang w:eastAsia="zh-CN"/>
        </w:rPr>
        <w:t>1</w:t>
      </w:r>
      <w:r>
        <w:t xml:space="preserve">.2 </w:t>
      </w:r>
      <w:r>
        <w:rPr>
          <w:lang w:eastAsia="zh-CN"/>
        </w:rPr>
        <w:t>Tx requirements</w:t>
      </w:r>
      <w:r>
        <w:tab/>
      </w:r>
      <w:r>
        <w:fldChar w:fldCharType="begin"/>
      </w:r>
      <w:r>
        <w:instrText xml:space="preserve"> PAGEREF _Toc133498151 \h </w:instrText>
      </w:r>
      <w:r>
        <w:fldChar w:fldCharType="separate"/>
      </w:r>
      <w:r>
        <w:t>31</w:t>
      </w:r>
      <w:r>
        <w:fldChar w:fldCharType="end"/>
      </w:r>
    </w:p>
    <w:p>
      <w:pPr>
        <w:pStyle w:val="18"/>
        <w:rPr>
          <w:rFonts w:asciiTheme="minorHAnsi" w:hAnsiTheme="minorHAnsi" w:eastAsiaTheme="minorEastAsia" w:cstheme="minorBidi"/>
          <w:kern w:val="2"/>
          <w:sz w:val="21"/>
          <w:szCs w:val="22"/>
          <w:lang w:val="en-US" w:eastAsia="zh-CN"/>
        </w:rPr>
      </w:pPr>
      <w:r>
        <w:rPr>
          <w:lang w:eastAsia="zh-CN"/>
        </w:rPr>
        <w:t>7.1.2.1 Frequency error</w:t>
      </w:r>
      <w:r>
        <w:tab/>
      </w:r>
      <w:r>
        <w:fldChar w:fldCharType="begin"/>
      </w:r>
      <w:r>
        <w:instrText xml:space="preserve"> PAGEREF _Toc133498152 \h </w:instrText>
      </w:r>
      <w:r>
        <w:fldChar w:fldCharType="separate"/>
      </w:r>
      <w:r>
        <w:t>31</w:t>
      </w:r>
      <w:r>
        <w:fldChar w:fldCharType="end"/>
      </w:r>
    </w:p>
    <w:p>
      <w:pPr>
        <w:pStyle w:val="18"/>
        <w:rPr>
          <w:rFonts w:asciiTheme="minorHAnsi" w:hAnsiTheme="minorHAnsi" w:eastAsiaTheme="minorEastAsia" w:cstheme="minorBidi"/>
          <w:kern w:val="2"/>
          <w:sz w:val="21"/>
          <w:szCs w:val="22"/>
          <w:lang w:val="en-US" w:eastAsia="zh-CN"/>
        </w:rPr>
      </w:pPr>
      <w:r>
        <w:rPr>
          <w:lang w:eastAsia="zh-CN"/>
        </w:rPr>
        <w:t>7.1.2.4 Configured transmitted power</w:t>
      </w:r>
      <w:r>
        <w:tab/>
      </w:r>
      <w:r>
        <w:fldChar w:fldCharType="begin"/>
      </w:r>
      <w:r>
        <w:instrText xml:space="preserve"> PAGEREF _Toc133498153 \h </w:instrText>
      </w:r>
      <w:r>
        <w:fldChar w:fldCharType="separate"/>
      </w:r>
      <w:r>
        <w:t>32</w:t>
      </w:r>
      <w:r>
        <w:fldChar w:fldCharType="end"/>
      </w:r>
    </w:p>
    <w:p>
      <w:pPr>
        <w:pStyle w:val="18"/>
        <w:rPr>
          <w:rFonts w:asciiTheme="minorHAnsi" w:hAnsiTheme="minorHAnsi" w:eastAsiaTheme="minorEastAsia" w:cstheme="minorBidi"/>
          <w:kern w:val="2"/>
          <w:sz w:val="21"/>
          <w:szCs w:val="22"/>
          <w:lang w:val="en-US" w:eastAsia="zh-CN"/>
        </w:rPr>
      </w:pPr>
      <w:r>
        <w:rPr>
          <w:lang w:eastAsia="zh-CN"/>
        </w:rPr>
        <w:t>7.1.2.5 Minimum output power</w:t>
      </w:r>
      <w:r>
        <w:tab/>
      </w:r>
      <w:r>
        <w:fldChar w:fldCharType="begin"/>
      </w:r>
      <w:r>
        <w:instrText xml:space="preserve"> PAGEREF _Toc133498154 \h </w:instrText>
      </w:r>
      <w:r>
        <w:fldChar w:fldCharType="separate"/>
      </w:r>
      <w:r>
        <w:t>32</w:t>
      </w:r>
      <w:r>
        <w:fldChar w:fldCharType="end"/>
      </w:r>
    </w:p>
    <w:p>
      <w:pPr>
        <w:pStyle w:val="18"/>
        <w:rPr>
          <w:rFonts w:asciiTheme="minorHAnsi" w:hAnsiTheme="minorHAnsi" w:eastAsiaTheme="minorEastAsia" w:cstheme="minorBidi"/>
          <w:kern w:val="2"/>
          <w:sz w:val="21"/>
          <w:szCs w:val="22"/>
          <w:lang w:val="en-US" w:eastAsia="zh-CN"/>
        </w:rPr>
      </w:pPr>
      <w:r>
        <w:rPr>
          <w:lang w:eastAsia="zh-CN"/>
        </w:rPr>
        <w:t>7.1.2.6 Transmit OFF power</w:t>
      </w:r>
      <w:r>
        <w:tab/>
      </w:r>
      <w:r>
        <w:fldChar w:fldCharType="begin"/>
      </w:r>
      <w:r>
        <w:instrText xml:space="preserve"> PAGEREF _Toc133498155 \h </w:instrText>
      </w:r>
      <w:r>
        <w:fldChar w:fldCharType="separate"/>
      </w:r>
      <w:r>
        <w:t>32</w:t>
      </w:r>
      <w:r>
        <w:fldChar w:fldCharType="end"/>
      </w:r>
    </w:p>
    <w:p>
      <w:pPr>
        <w:pStyle w:val="18"/>
        <w:rPr>
          <w:rFonts w:asciiTheme="minorHAnsi" w:hAnsiTheme="minorHAnsi" w:eastAsiaTheme="minorEastAsia" w:cstheme="minorBidi"/>
          <w:kern w:val="2"/>
          <w:sz w:val="21"/>
          <w:szCs w:val="22"/>
          <w:lang w:val="en-US" w:eastAsia="zh-CN"/>
        </w:rPr>
      </w:pPr>
      <w:r>
        <w:rPr>
          <w:lang w:eastAsia="zh-CN"/>
        </w:rPr>
        <w:t>7.1.2.7 Transmit ON/OFF time mask</w:t>
      </w:r>
      <w:r>
        <w:tab/>
      </w:r>
      <w:r>
        <w:fldChar w:fldCharType="begin"/>
      </w:r>
      <w:r>
        <w:instrText xml:space="preserve"> PAGEREF _Toc133498156 \h </w:instrText>
      </w:r>
      <w:r>
        <w:fldChar w:fldCharType="separate"/>
      </w:r>
      <w:r>
        <w:t>32</w:t>
      </w:r>
      <w:r>
        <w:fldChar w:fldCharType="end"/>
      </w:r>
    </w:p>
    <w:p>
      <w:pPr>
        <w:pStyle w:val="18"/>
        <w:rPr>
          <w:rFonts w:asciiTheme="minorHAnsi" w:hAnsiTheme="minorHAnsi" w:eastAsiaTheme="minorEastAsia" w:cstheme="minorBidi"/>
          <w:kern w:val="2"/>
          <w:sz w:val="21"/>
          <w:szCs w:val="22"/>
          <w:lang w:val="en-US" w:eastAsia="zh-CN"/>
        </w:rPr>
      </w:pPr>
      <w:r>
        <w:rPr>
          <w:lang w:eastAsia="zh-CN"/>
        </w:rPr>
        <w:t>7.1.2.8 Power control</w:t>
      </w:r>
      <w:r>
        <w:tab/>
      </w:r>
      <w:r>
        <w:fldChar w:fldCharType="begin"/>
      </w:r>
      <w:r>
        <w:instrText xml:space="preserve"> PAGEREF _Toc133498157 \h </w:instrText>
      </w:r>
      <w:r>
        <w:fldChar w:fldCharType="separate"/>
      </w:r>
      <w:r>
        <w:t>32</w:t>
      </w:r>
      <w:r>
        <w:fldChar w:fldCharType="end"/>
      </w:r>
    </w:p>
    <w:p>
      <w:pPr>
        <w:pStyle w:val="19"/>
        <w:rPr>
          <w:rFonts w:asciiTheme="minorHAnsi" w:hAnsiTheme="minorHAnsi" w:eastAsiaTheme="minorEastAsia" w:cstheme="minorBidi"/>
          <w:kern w:val="2"/>
          <w:sz w:val="21"/>
          <w:szCs w:val="22"/>
          <w:lang w:val="en-US" w:eastAsia="zh-CN"/>
        </w:rPr>
      </w:pPr>
      <w:r>
        <w:t>7.</w:t>
      </w:r>
      <w:r>
        <w:rPr>
          <w:lang w:eastAsia="zh-CN"/>
        </w:rPr>
        <w:t>1</w:t>
      </w:r>
      <w:r>
        <w:t>.</w:t>
      </w:r>
      <w:r>
        <w:rPr>
          <w:lang w:eastAsia="zh-CN"/>
        </w:rPr>
        <w:t>3</w:t>
      </w:r>
      <w:r>
        <w:t xml:space="preserve"> </w:t>
      </w:r>
      <w:r>
        <w:rPr>
          <w:lang w:eastAsia="zh-CN"/>
        </w:rPr>
        <w:t>Rx requirements</w:t>
      </w:r>
      <w:r>
        <w:tab/>
      </w:r>
      <w:r>
        <w:fldChar w:fldCharType="begin"/>
      </w:r>
      <w:r>
        <w:instrText xml:space="preserve"> PAGEREF _Toc133498158 \h </w:instrText>
      </w:r>
      <w:r>
        <w:fldChar w:fldCharType="separate"/>
      </w:r>
      <w:r>
        <w:t>33</w:t>
      </w:r>
      <w:r>
        <w:fldChar w:fldCharType="end"/>
      </w:r>
    </w:p>
    <w:p>
      <w:pPr>
        <w:pStyle w:val="18"/>
        <w:rPr>
          <w:rFonts w:asciiTheme="minorHAnsi" w:hAnsiTheme="minorHAnsi" w:eastAsiaTheme="minorEastAsia" w:cstheme="minorBidi"/>
          <w:kern w:val="2"/>
          <w:sz w:val="21"/>
          <w:szCs w:val="22"/>
          <w:lang w:val="en-US" w:eastAsia="zh-CN"/>
        </w:rPr>
      </w:pPr>
      <w:r>
        <w:t>7.1.3.4 Maximum input level</w:t>
      </w:r>
      <w:r>
        <w:tab/>
      </w:r>
      <w:r>
        <w:fldChar w:fldCharType="begin"/>
      </w:r>
      <w:r>
        <w:instrText xml:space="preserve"> PAGEREF _Toc133498159 \h </w:instrText>
      </w:r>
      <w:r>
        <w:fldChar w:fldCharType="separate"/>
      </w:r>
      <w:r>
        <w:t>35</w:t>
      </w:r>
      <w:r>
        <w:fldChar w:fldCharType="end"/>
      </w:r>
    </w:p>
    <w:p>
      <w:pPr>
        <w:pStyle w:val="18"/>
        <w:rPr>
          <w:rFonts w:asciiTheme="minorHAnsi" w:hAnsiTheme="minorHAnsi" w:eastAsiaTheme="minorEastAsia" w:cstheme="minorBidi"/>
          <w:kern w:val="2"/>
          <w:sz w:val="21"/>
          <w:szCs w:val="22"/>
          <w:lang w:val="en-US" w:eastAsia="zh-CN"/>
        </w:rPr>
      </w:pPr>
      <w:r>
        <w:t>7.1.3.5 Adjacent channel selectivity</w:t>
      </w:r>
      <w:r>
        <w:tab/>
      </w:r>
      <w:r>
        <w:fldChar w:fldCharType="begin"/>
      </w:r>
      <w:r>
        <w:instrText xml:space="preserve"> PAGEREF _Toc133498160 \h </w:instrText>
      </w:r>
      <w:r>
        <w:fldChar w:fldCharType="separate"/>
      </w:r>
      <w:r>
        <w:t>35</w:t>
      </w:r>
      <w:r>
        <w:fldChar w:fldCharType="end"/>
      </w:r>
    </w:p>
    <w:p>
      <w:pPr>
        <w:pStyle w:val="18"/>
        <w:rPr>
          <w:rFonts w:asciiTheme="minorHAnsi" w:hAnsiTheme="minorHAnsi" w:eastAsiaTheme="minorEastAsia" w:cstheme="minorBidi"/>
          <w:kern w:val="2"/>
          <w:sz w:val="21"/>
          <w:szCs w:val="22"/>
          <w:lang w:val="en-US" w:eastAsia="zh-CN"/>
        </w:rPr>
      </w:pPr>
      <w:r>
        <w:t>7.1.3.6 In-band blocking requirements</w:t>
      </w:r>
      <w:r>
        <w:tab/>
      </w:r>
      <w:r>
        <w:fldChar w:fldCharType="begin"/>
      </w:r>
      <w:r>
        <w:instrText xml:space="preserve"> PAGEREF _Toc133498161 \h </w:instrText>
      </w:r>
      <w:r>
        <w:fldChar w:fldCharType="separate"/>
      </w:r>
      <w:r>
        <w:t>35</w:t>
      </w:r>
      <w:r>
        <w:fldChar w:fldCharType="end"/>
      </w:r>
    </w:p>
    <w:p>
      <w:pPr>
        <w:pStyle w:val="18"/>
        <w:rPr>
          <w:rFonts w:asciiTheme="minorHAnsi" w:hAnsiTheme="minorHAnsi" w:eastAsiaTheme="minorEastAsia" w:cstheme="minorBidi"/>
          <w:kern w:val="2"/>
          <w:sz w:val="21"/>
          <w:szCs w:val="22"/>
          <w:lang w:val="en-US" w:eastAsia="zh-CN"/>
        </w:rPr>
      </w:pPr>
      <w:r>
        <w:t>7.1.3.7 Out-of-Band blocking requirements/ Spurious response</w:t>
      </w:r>
      <w:r>
        <w:tab/>
      </w:r>
      <w:r>
        <w:fldChar w:fldCharType="begin"/>
      </w:r>
      <w:r>
        <w:instrText xml:space="preserve"> PAGEREF _Toc133498162 \h </w:instrText>
      </w:r>
      <w:r>
        <w:fldChar w:fldCharType="separate"/>
      </w:r>
      <w:r>
        <w:t>35</w:t>
      </w:r>
      <w:r>
        <w:fldChar w:fldCharType="end"/>
      </w:r>
    </w:p>
    <w:p>
      <w:pPr>
        <w:pStyle w:val="18"/>
        <w:rPr>
          <w:rFonts w:asciiTheme="minorHAnsi" w:hAnsiTheme="minorHAnsi" w:eastAsiaTheme="minorEastAsia" w:cstheme="minorBidi"/>
          <w:kern w:val="2"/>
          <w:sz w:val="21"/>
          <w:szCs w:val="22"/>
          <w:lang w:val="en-US" w:eastAsia="zh-CN"/>
        </w:rPr>
      </w:pPr>
      <w:r>
        <w:t>7.1.3.8 Narrow band blocking requirements</w:t>
      </w:r>
      <w:r>
        <w:tab/>
      </w:r>
      <w:r>
        <w:fldChar w:fldCharType="begin"/>
      </w:r>
      <w:r>
        <w:instrText xml:space="preserve"> PAGEREF _Toc133498163 \h </w:instrText>
      </w:r>
      <w:r>
        <w:fldChar w:fldCharType="separate"/>
      </w:r>
      <w:r>
        <w:t>35</w:t>
      </w:r>
      <w:r>
        <w:fldChar w:fldCharType="end"/>
      </w:r>
    </w:p>
    <w:p>
      <w:pPr>
        <w:pStyle w:val="18"/>
        <w:rPr>
          <w:rFonts w:asciiTheme="minorHAnsi" w:hAnsiTheme="minorHAnsi" w:eastAsiaTheme="minorEastAsia" w:cstheme="minorBidi"/>
          <w:kern w:val="2"/>
          <w:sz w:val="21"/>
          <w:szCs w:val="22"/>
          <w:lang w:val="en-US" w:eastAsia="zh-CN"/>
        </w:rPr>
      </w:pPr>
      <w:r>
        <w:t>7.1.3.9 Intermodulation characteristics</w:t>
      </w:r>
      <w:r>
        <w:tab/>
      </w:r>
      <w:r>
        <w:fldChar w:fldCharType="begin"/>
      </w:r>
      <w:r>
        <w:instrText xml:space="preserve"> PAGEREF _Toc133498164 \h </w:instrText>
      </w:r>
      <w:r>
        <w:fldChar w:fldCharType="separate"/>
      </w:r>
      <w:r>
        <w:t>35</w:t>
      </w:r>
      <w:r>
        <w:fldChar w:fldCharType="end"/>
      </w:r>
    </w:p>
    <w:p>
      <w:pPr>
        <w:pStyle w:val="18"/>
        <w:rPr>
          <w:rFonts w:asciiTheme="minorHAnsi" w:hAnsiTheme="minorHAnsi" w:eastAsiaTheme="minorEastAsia" w:cstheme="minorBidi"/>
          <w:kern w:val="2"/>
          <w:sz w:val="21"/>
          <w:szCs w:val="22"/>
          <w:lang w:val="en-US" w:eastAsia="zh-CN"/>
        </w:rPr>
      </w:pPr>
      <w:r>
        <w:t>7.1.3.10 Receiver Spurious emissions</w:t>
      </w:r>
      <w:r>
        <w:tab/>
      </w:r>
      <w:r>
        <w:fldChar w:fldCharType="begin"/>
      </w:r>
      <w:r>
        <w:instrText xml:space="preserve"> PAGEREF _Toc133498165 \h </w:instrText>
      </w:r>
      <w:r>
        <w:fldChar w:fldCharType="separate"/>
      </w:r>
      <w:r>
        <w:t>35</w:t>
      </w:r>
      <w:r>
        <w:fldChar w:fldCharType="end"/>
      </w:r>
    </w:p>
    <w:p>
      <w:pPr>
        <w:pStyle w:val="20"/>
        <w:rPr>
          <w:rFonts w:asciiTheme="minorHAnsi" w:hAnsiTheme="minorHAnsi" w:eastAsiaTheme="minorEastAsia" w:cstheme="minorBidi"/>
          <w:kern w:val="2"/>
          <w:sz w:val="21"/>
          <w:szCs w:val="22"/>
          <w:lang w:val="en-US" w:eastAsia="zh-CN"/>
        </w:rPr>
      </w:pPr>
      <w:r>
        <w:rPr>
          <w:lang w:eastAsia="zh-CN"/>
        </w:rPr>
        <w:t>7</w:t>
      </w:r>
      <w:r>
        <w:t>.2</w:t>
      </w:r>
      <w:r>
        <w:rPr>
          <w:rFonts w:asciiTheme="minorHAnsi" w:hAnsiTheme="minorHAnsi" w:eastAsiaTheme="minorEastAsia" w:cstheme="minorBidi"/>
          <w:kern w:val="2"/>
          <w:sz w:val="21"/>
          <w:szCs w:val="22"/>
          <w:lang w:val="en-US" w:eastAsia="zh-CN"/>
        </w:rPr>
        <w:tab/>
      </w:r>
      <w:r>
        <w:rPr>
          <w:lang w:eastAsia="zh-CN"/>
        </w:rPr>
        <w:t xml:space="preserve">ATG </w:t>
      </w:r>
      <w:r>
        <w:t>BS specific</w:t>
      </w:r>
      <w:r>
        <w:tab/>
      </w:r>
      <w:r>
        <w:fldChar w:fldCharType="begin"/>
      </w:r>
      <w:r>
        <w:instrText xml:space="preserve"> PAGEREF _Toc133498166 \h </w:instrText>
      </w:r>
      <w:r>
        <w:fldChar w:fldCharType="separate"/>
      </w:r>
      <w:r>
        <w:t>35</w:t>
      </w:r>
      <w:r>
        <w:fldChar w:fldCharType="end"/>
      </w:r>
    </w:p>
    <w:p>
      <w:pPr>
        <w:pStyle w:val="19"/>
        <w:rPr>
          <w:rFonts w:asciiTheme="minorHAnsi" w:hAnsiTheme="minorHAnsi" w:eastAsiaTheme="minorEastAsia" w:cstheme="minorBidi"/>
          <w:kern w:val="2"/>
          <w:sz w:val="21"/>
          <w:szCs w:val="22"/>
          <w:lang w:val="en-US" w:eastAsia="zh-CN"/>
        </w:rPr>
      </w:pPr>
      <w:r>
        <w:t>7.2.1 ATG BS class and BS type</w:t>
      </w:r>
      <w:r>
        <w:tab/>
      </w:r>
      <w:r>
        <w:fldChar w:fldCharType="begin"/>
      </w:r>
      <w:r>
        <w:instrText xml:space="preserve"> PAGEREF _Toc133498167 \h </w:instrText>
      </w:r>
      <w:r>
        <w:fldChar w:fldCharType="separate"/>
      </w:r>
      <w:r>
        <w:t>36</w:t>
      </w:r>
      <w:r>
        <w:fldChar w:fldCharType="end"/>
      </w:r>
    </w:p>
    <w:p>
      <w:pPr>
        <w:pStyle w:val="19"/>
        <w:rPr>
          <w:rFonts w:asciiTheme="minorHAnsi" w:hAnsiTheme="minorHAnsi" w:eastAsiaTheme="minorEastAsia" w:cstheme="minorBidi"/>
          <w:kern w:val="2"/>
          <w:sz w:val="21"/>
          <w:szCs w:val="22"/>
          <w:lang w:val="en-US" w:eastAsia="zh-CN"/>
        </w:rPr>
      </w:pPr>
      <w:r>
        <w:t xml:space="preserve">7.2.2 </w:t>
      </w:r>
      <w:r>
        <w:rPr>
          <w:lang w:eastAsia="zh-CN"/>
        </w:rPr>
        <w:t>Tx requirements</w:t>
      </w:r>
      <w:r>
        <w:tab/>
      </w:r>
      <w:r>
        <w:fldChar w:fldCharType="begin"/>
      </w:r>
      <w:r>
        <w:instrText xml:space="preserve"> PAGEREF _Toc133498168 \h </w:instrText>
      </w:r>
      <w:r>
        <w:fldChar w:fldCharType="separate"/>
      </w:r>
      <w:r>
        <w:t>36</w:t>
      </w:r>
      <w:r>
        <w:fldChar w:fldCharType="end"/>
      </w:r>
    </w:p>
    <w:p>
      <w:pPr>
        <w:pStyle w:val="18"/>
        <w:rPr>
          <w:rFonts w:asciiTheme="minorHAnsi" w:hAnsiTheme="minorHAnsi" w:eastAsiaTheme="minorEastAsia" w:cstheme="minorBidi"/>
          <w:kern w:val="2"/>
          <w:sz w:val="21"/>
          <w:szCs w:val="22"/>
          <w:lang w:val="en-US" w:eastAsia="zh-CN"/>
        </w:rPr>
      </w:pPr>
      <w:r>
        <w:t>7.2.2.4 Transmitter spurious emissions</w:t>
      </w:r>
      <w:r>
        <w:tab/>
      </w:r>
      <w:r>
        <w:fldChar w:fldCharType="begin"/>
      </w:r>
      <w:r>
        <w:instrText xml:space="preserve"> PAGEREF _Toc133498169 \h </w:instrText>
      </w:r>
      <w:r>
        <w:fldChar w:fldCharType="separate"/>
      </w:r>
      <w:r>
        <w:t>38</w:t>
      </w:r>
      <w:r>
        <w:fldChar w:fldCharType="end"/>
      </w:r>
    </w:p>
    <w:p>
      <w:pPr>
        <w:pStyle w:val="18"/>
        <w:rPr>
          <w:rFonts w:asciiTheme="minorHAnsi" w:hAnsiTheme="minorHAnsi" w:eastAsiaTheme="minorEastAsia" w:cstheme="minorBidi"/>
          <w:kern w:val="2"/>
          <w:sz w:val="21"/>
          <w:szCs w:val="22"/>
          <w:lang w:val="en-US" w:eastAsia="zh-CN"/>
        </w:rPr>
      </w:pPr>
      <w:r>
        <w:t>7.2.2.5 Transmitter intermodulation</w:t>
      </w:r>
      <w:r>
        <w:tab/>
      </w:r>
      <w:r>
        <w:fldChar w:fldCharType="begin"/>
      </w:r>
      <w:r>
        <w:instrText xml:space="preserve"> PAGEREF _Toc133498170 \h </w:instrText>
      </w:r>
      <w:r>
        <w:fldChar w:fldCharType="separate"/>
      </w:r>
      <w:r>
        <w:t>38</w:t>
      </w:r>
      <w:r>
        <w:fldChar w:fldCharType="end"/>
      </w:r>
    </w:p>
    <w:p>
      <w:pPr>
        <w:pStyle w:val="19"/>
        <w:rPr>
          <w:rFonts w:asciiTheme="minorHAnsi" w:hAnsiTheme="minorHAnsi" w:eastAsiaTheme="minorEastAsia" w:cstheme="minorBidi"/>
          <w:kern w:val="2"/>
          <w:sz w:val="21"/>
          <w:szCs w:val="22"/>
          <w:lang w:val="en-US" w:eastAsia="zh-CN"/>
        </w:rPr>
      </w:pPr>
      <w:r>
        <w:t>7.2.</w:t>
      </w:r>
      <w:r>
        <w:rPr>
          <w:lang w:eastAsia="zh-CN"/>
        </w:rPr>
        <w:t>3</w:t>
      </w:r>
      <w:r>
        <w:t xml:space="preserve"> </w:t>
      </w:r>
      <w:r>
        <w:rPr>
          <w:lang w:eastAsia="zh-CN"/>
        </w:rPr>
        <w:t>Rx requirements</w:t>
      </w:r>
      <w:r>
        <w:tab/>
      </w:r>
      <w:r>
        <w:fldChar w:fldCharType="begin"/>
      </w:r>
      <w:r>
        <w:instrText xml:space="preserve"> PAGEREF _Toc133498171 \h </w:instrText>
      </w:r>
      <w:r>
        <w:fldChar w:fldCharType="separate"/>
      </w:r>
      <w:r>
        <w:t>38</w:t>
      </w:r>
      <w:r>
        <w:fldChar w:fldCharType="end"/>
      </w:r>
    </w:p>
    <w:p>
      <w:pPr>
        <w:pStyle w:val="18"/>
        <w:rPr>
          <w:rFonts w:asciiTheme="minorHAnsi" w:hAnsiTheme="minorHAnsi" w:eastAsiaTheme="minorEastAsia" w:cstheme="minorBidi"/>
          <w:kern w:val="2"/>
          <w:sz w:val="21"/>
          <w:szCs w:val="22"/>
          <w:lang w:val="en-US" w:eastAsia="zh-CN"/>
        </w:rPr>
      </w:pPr>
      <w:r>
        <w:t>7.2.3.3 ACS</w:t>
      </w:r>
      <w:r>
        <w:tab/>
      </w:r>
      <w:r>
        <w:fldChar w:fldCharType="begin"/>
      </w:r>
      <w:r>
        <w:instrText xml:space="preserve"> PAGEREF _Toc133498172 \h </w:instrText>
      </w:r>
      <w:r>
        <w:fldChar w:fldCharType="separate"/>
      </w:r>
      <w:r>
        <w:t>38</w:t>
      </w:r>
      <w:r>
        <w:fldChar w:fldCharType="end"/>
      </w:r>
    </w:p>
    <w:p>
      <w:pPr>
        <w:pStyle w:val="18"/>
        <w:rPr>
          <w:rFonts w:asciiTheme="minorHAnsi" w:hAnsiTheme="minorHAnsi" w:eastAsiaTheme="minorEastAsia" w:cstheme="minorBidi"/>
          <w:kern w:val="2"/>
          <w:sz w:val="21"/>
          <w:szCs w:val="22"/>
          <w:lang w:val="en-US" w:eastAsia="zh-CN"/>
        </w:rPr>
      </w:pPr>
      <w:r>
        <w:t>7.2.3.4 In-band blocking</w:t>
      </w:r>
      <w:r>
        <w:tab/>
      </w:r>
      <w:r>
        <w:fldChar w:fldCharType="begin"/>
      </w:r>
      <w:r>
        <w:instrText xml:space="preserve"> PAGEREF _Toc133498173 \h </w:instrText>
      </w:r>
      <w:r>
        <w:fldChar w:fldCharType="separate"/>
      </w:r>
      <w:r>
        <w:t>38</w:t>
      </w:r>
      <w:r>
        <w:fldChar w:fldCharType="end"/>
      </w:r>
    </w:p>
    <w:p>
      <w:pPr>
        <w:pStyle w:val="18"/>
        <w:rPr>
          <w:rFonts w:asciiTheme="minorHAnsi" w:hAnsiTheme="minorHAnsi" w:eastAsiaTheme="minorEastAsia" w:cstheme="minorBidi"/>
          <w:kern w:val="2"/>
          <w:sz w:val="21"/>
          <w:szCs w:val="22"/>
          <w:lang w:val="en-US" w:eastAsia="zh-CN"/>
        </w:rPr>
      </w:pPr>
      <w:r>
        <w:t>7.2.3.5 Receiver intermodulation</w:t>
      </w:r>
      <w:r>
        <w:tab/>
      </w:r>
      <w:r>
        <w:fldChar w:fldCharType="begin"/>
      </w:r>
      <w:r>
        <w:instrText xml:space="preserve"> PAGEREF _Toc133498174 \h </w:instrText>
      </w:r>
      <w:r>
        <w:fldChar w:fldCharType="separate"/>
      </w:r>
      <w:r>
        <w:t>38</w:t>
      </w:r>
      <w:r>
        <w:fldChar w:fldCharType="end"/>
      </w:r>
    </w:p>
    <w:p>
      <w:pPr>
        <w:pStyle w:val="18"/>
        <w:rPr>
          <w:rFonts w:asciiTheme="minorHAnsi" w:hAnsiTheme="minorHAnsi" w:eastAsiaTheme="minorEastAsia" w:cstheme="minorBidi"/>
          <w:kern w:val="2"/>
          <w:sz w:val="21"/>
          <w:szCs w:val="22"/>
          <w:lang w:val="en-US" w:eastAsia="zh-CN"/>
        </w:rPr>
      </w:pPr>
      <w:r>
        <w:t>7.2.3.6 Out of band blocking</w:t>
      </w:r>
      <w:r>
        <w:tab/>
      </w:r>
      <w:r>
        <w:fldChar w:fldCharType="begin"/>
      </w:r>
      <w:r>
        <w:instrText xml:space="preserve"> PAGEREF _Toc133498175 \h </w:instrText>
      </w:r>
      <w:r>
        <w:fldChar w:fldCharType="separate"/>
      </w:r>
      <w:r>
        <w:t>38</w:t>
      </w:r>
      <w:r>
        <w:fldChar w:fldCharType="end"/>
      </w:r>
    </w:p>
    <w:p>
      <w:pPr>
        <w:pStyle w:val="18"/>
        <w:rPr>
          <w:rFonts w:asciiTheme="minorHAnsi" w:hAnsiTheme="minorHAnsi" w:eastAsiaTheme="minorEastAsia" w:cstheme="minorBidi"/>
          <w:kern w:val="2"/>
          <w:sz w:val="21"/>
          <w:szCs w:val="22"/>
          <w:lang w:val="en-US" w:eastAsia="zh-CN"/>
        </w:rPr>
      </w:pPr>
      <w:r>
        <w:t>7.2.3.7 In-channel selectivity</w:t>
      </w:r>
      <w:r>
        <w:tab/>
      </w:r>
      <w:r>
        <w:fldChar w:fldCharType="begin"/>
      </w:r>
      <w:r>
        <w:instrText xml:space="preserve"> PAGEREF _Toc133498176 \h </w:instrText>
      </w:r>
      <w:r>
        <w:fldChar w:fldCharType="separate"/>
      </w:r>
      <w:r>
        <w:t>39</w:t>
      </w:r>
      <w:r>
        <w:fldChar w:fldCharType="end"/>
      </w:r>
    </w:p>
    <w:p>
      <w:pPr>
        <w:pStyle w:val="21"/>
        <w:rPr>
          <w:rFonts w:asciiTheme="minorHAnsi" w:hAnsiTheme="minorHAnsi" w:eastAsiaTheme="minorEastAsia" w:cstheme="minorBidi"/>
          <w:kern w:val="2"/>
          <w:sz w:val="21"/>
          <w:szCs w:val="22"/>
          <w:lang w:val="en-US" w:eastAsia="zh-CN"/>
        </w:rPr>
      </w:pPr>
      <w:r>
        <w:rPr>
          <w:lang w:val="sv-SE" w:eastAsia="zh-CN"/>
        </w:rPr>
        <w:t>8</w:t>
      </w:r>
      <w:r>
        <w:rPr>
          <w:rFonts w:asciiTheme="minorHAnsi" w:hAnsiTheme="minorHAnsi" w:eastAsiaTheme="minorEastAsia" w:cstheme="minorBidi"/>
          <w:kern w:val="2"/>
          <w:sz w:val="21"/>
          <w:szCs w:val="22"/>
          <w:lang w:val="en-US" w:eastAsia="zh-CN"/>
        </w:rPr>
        <w:tab/>
      </w:r>
      <w:r>
        <w:rPr>
          <w:lang w:val="sv-SE" w:eastAsia="zh-CN"/>
        </w:rPr>
        <w:t>RRM requirements</w:t>
      </w:r>
      <w:r>
        <w:tab/>
      </w:r>
      <w:r>
        <w:fldChar w:fldCharType="begin"/>
      </w:r>
      <w:r>
        <w:instrText xml:space="preserve"> PAGEREF _Toc133498177 \h </w:instrText>
      </w:r>
      <w:r>
        <w:fldChar w:fldCharType="separate"/>
      </w:r>
      <w:r>
        <w:t>39</w:t>
      </w:r>
      <w:r>
        <w:fldChar w:fldCharType="end"/>
      </w:r>
    </w:p>
    <w:p>
      <w:pPr>
        <w:pStyle w:val="21"/>
        <w:rPr>
          <w:rFonts w:asciiTheme="minorHAnsi" w:hAnsiTheme="minorHAnsi" w:eastAsiaTheme="minorEastAsia" w:cstheme="minorBidi"/>
          <w:kern w:val="2"/>
          <w:sz w:val="21"/>
          <w:szCs w:val="22"/>
          <w:lang w:val="en-US" w:eastAsia="zh-CN"/>
        </w:rPr>
      </w:pPr>
      <w:r>
        <w:rPr>
          <w:lang w:eastAsia="zh-CN"/>
        </w:rPr>
        <w:t>9</w:t>
      </w:r>
      <w:r>
        <w:rPr>
          <w:rFonts w:asciiTheme="minorHAnsi" w:hAnsiTheme="minorHAnsi" w:eastAsiaTheme="minorEastAsia" w:cstheme="minorBidi"/>
          <w:kern w:val="2"/>
          <w:sz w:val="21"/>
          <w:szCs w:val="22"/>
          <w:lang w:val="en-US" w:eastAsia="zh-CN"/>
        </w:rPr>
        <w:tab/>
      </w:r>
      <w:r>
        <w:rPr>
          <w:lang w:eastAsia="zh-CN"/>
        </w:rPr>
        <w:t>Conclusion</w:t>
      </w:r>
      <w:r>
        <w:tab/>
      </w:r>
      <w:r>
        <w:fldChar w:fldCharType="begin"/>
      </w:r>
      <w:r>
        <w:instrText xml:space="preserve"> PAGEREF _Toc133498178 \h </w:instrText>
      </w:r>
      <w:r>
        <w:fldChar w:fldCharType="separate"/>
      </w:r>
      <w:r>
        <w:t>40</w:t>
      </w:r>
      <w:r>
        <w:fldChar w:fldCharType="end"/>
      </w:r>
    </w:p>
    <w:p>
      <w:pPr>
        <w:pStyle w:val="21"/>
        <w:rPr>
          <w:rFonts w:asciiTheme="minorHAnsi" w:hAnsiTheme="minorHAnsi" w:eastAsiaTheme="minorEastAsia" w:cstheme="minorBidi"/>
          <w:kern w:val="2"/>
          <w:sz w:val="21"/>
          <w:szCs w:val="22"/>
          <w:lang w:val="en-US" w:eastAsia="zh-CN"/>
        </w:rPr>
      </w:pPr>
      <w:r>
        <w:rPr>
          <w:lang w:eastAsia="zh-CN"/>
        </w:rPr>
        <w:t>10</w:t>
      </w:r>
      <w:r>
        <w:rPr>
          <w:rFonts w:asciiTheme="minorHAnsi" w:hAnsiTheme="minorHAnsi" w:eastAsiaTheme="minorEastAsia" w:cstheme="minorBidi"/>
          <w:kern w:val="2"/>
          <w:sz w:val="21"/>
          <w:szCs w:val="22"/>
          <w:lang w:val="en-US" w:eastAsia="zh-CN"/>
        </w:rPr>
        <w:tab/>
      </w:r>
      <w:r>
        <w:t>Required changes to NR</w:t>
      </w:r>
      <w:r>
        <w:rPr>
          <w:lang w:eastAsia="zh-CN"/>
        </w:rPr>
        <w:t xml:space="preserve">, </w:t>
      </w:r>
      <w:r>
        <w:t>E-UTRA, UTRA and MSR specifications</w:t>
      </w:r>
      <w:r>
        <w:tab/>
      </w:r>
      <w:r>
        <w:fldChar w:fldCharType="begin"/>
      </w:r>
      <w:r>
        <w:instrText xml:space="preserve"> PAGEREF _Toc133498179 \h </w:instrText>
      </w:r>
      <w:r>
        <w:fldChar w:fldCharType="separate"/>
      </w:r>
      <w:r>
        <w:t>40</w:t>
      </w:r>
      <w:r>
        <w:fldChar w:fldCharType="end"/>
      </w:r>
    </w:p>
    <w:p>
      <w:pPr>
        <w:pStyle w:val="35"/>
        <w:rPr>
          <w:rFonts w:asciiTheme="minorHAnsi" w:hAnsiTheme="minorHAnsi" w:eastAsiaTheme="minorEastAsia" w:cstheme="minorBidi"/>
          <w:b w:val="0"/>
          <w:kern w:val="2"/>
          <w:sz w:val="21"/>
          <w:szCs w:val="22"/>
          <w:lang w:val="en-US" w:eastAsia="zh-CN"/>
        </w:rPr>
      </w:pPr>
      <w:r>
        <w:t>Annex &lt;A&gt; (normative): &lt;Normative annex title&gt;</w:t>
      </w:r>
      <w:r>
        <w:tab/>
      </w:r>
      <w:r>
        <w:fldChar w:fldCharType="begin"/>
      </w:r>
      <w:r>
        <w:instrText xml:space="preserve"> PAGEREF _Toc133498180 \h </w:instrText>
      </w:r>
      <w:r>
        <w:fldChar w:fldCharType="separate"/>
      </w:r>
      <w:r>
        <w:t>40</w:t>
      </w:r>
      <w:r>
        <w:fldChar w:fldCharType="end"/>
      </w:r>
    </w:p>
    <w:p>
      <w:pPr>
        <w:pStyle w:val="35"/>
        <w:rPr>
          <w:rFonts w:asciiTheme="minorHAnsi" w:hAnsiTheme="minorHAnsi" w:eastAsiaTheme="minorEastAsia" w:cstheme="minorBidi"/>
          <w:b w:val="0"/>
          <w:kern w:val="2"/>
          <w:sz w:val="21"/>
          <w:szCs w:val="22"/>
          <w:lang w:val="en-US" w:eastAsia="zh-CN"/>
        </w:rPr>
      </w:pPr>
      <w:r>
        <w:t>Annex B: Change history</w:t>
      </w:r>
      <w:r>
        <w:tab/>
      </w:r>
      <w:r>
        <w:fldChar w:fldCharType="begin"/>
      </w:r>
      <w:r>
        <w:instrText xml:space="preserve"> PAGEREF _Toc133498181 \h </w:instrText>
      </w:r>
      <w:r>
        <w:fldChar w:fldCharType="separate"/>
      </w:r>
      <w:r>
        <w:t>41</w:t>
      </w:r>
      <w:r>
        <w:fldChar w:fldCharType="end"/>
      </w:r>
    </w:p>
    <w:p>
      <w:r>
        <w:rPr>
          <w:sz w:val="22"/>
        </w:rPr>
        <w:fldChar w:fldCharType="end"/>
      </w:r>
    </w:p>
    <w:p>
      <w:pPr>
        <w:pStyle w:val="2"/>
      </w:pPr>
      <w:r>
        <w:br w:type="page"/>
      </w:r>
      <w:bookmarkStart w:id="3" w:name="_Toc473553993"/>
      <w:bookmarkStart w:id="4" w:name="_Toc133498111"/>
      <w:r>
        <w:t>Foreword</w:t>
      </w:r>
      <w:bookmarkEnd w:id="3"/>
      <w:bookmarkEnd w:id="4"/>
    </w:p>
    <w:p>
      <w:r>
        <w:t>This Technical Report has been produced by the 3</w:t>
      </w:r>
      <w:r>
        <w:rPr>
          <w:vertAlign w:val="superscript"/>
        </w:rPr>
        <w:t>rd</w:t>
      </w:r>
      <w:r>
        <w:t xml:space="preserve">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73"/>
      </w:pPr>
      <w:r>
        <w:t>Version x.y.z</w:t>
      </w:r>
    </w:p>
    <w:p>
      <w:pPr>
        <w:pStyle w:val="73"/>
      </w:pPr>
      <w:r>
        <w:t>where:</w:t>
      </w:r>
    </w:p>
    <w:p>
      <w:pPr>
        <w:pStyle w:val="84"/>
      </w:pPr>
      <w:r>
        <w:t>x</w:t>
      </w:r>
      <w:r>
        <w:tab/>
      </w:r>
      <w:r>
        <w:t>the first digit:</w:t>
      </w:r>
    </w:p>
    <w:p>
      <w:pPr>
        <w:pStyle w:val="85"/>
      </w:pPr>
      <w:r>
        <w:t>1</w:t>
      </w:r>
      <w:r>
        <w:tab/>
      </w:r>
      <w:r>
        <w:t>presented to TSG for information;</w:t>
      </w:r>
    </w:p>
    <w:p>
      <w:pPr>
        <w:pStyle w:val="85"/>
      </w:pPr>
      <w:r>
        <w:t>2</w:t>
      </w:r>
      <w:r>
        <w:tab/>
      </w:r>
      <w:r>
        <w:t>presented to TSG for approval;</w:t>
      </w:r>
    </w:p>
    <w:p>
      <w:pPr>
        <w:pStyle w:val="85"/>
      </w:pPr>
      <w:r>
        <w:t>3</w:t>
      </w:r>
      <w:r>
        <w:tab/>
      </w:r>
      <w:r>
        <w:t>or greater indicates TSG approved document under change control.</w:t>
      </w:r>
    </w:p>
    <w:p>
      <w:pPr>
        <w:pStyle w:val="84"/>
      </w:pPr>
      <w:r>
        <w:t>y</w:t>
      </w:r>
      <w:r>
        <w:tab/>
      </w:r>
      <w:r>
        <w:t>the second digit is incremented for all changes of substance, i.e. technical enhancements, corrections, updates, etc.</w:t>
      </w:r>
    </w:p>
    <w:p>
      <w:pPr>
        <w:pStyle w:val="84"/>
      </w:pPr>
      <w:r>
        <w:t>z</w:t>
      </w:r>
      <w:r>
        <w:tab/>
      </w:r>
      <w:r>
        <w:t>the third digit is incremented when editorial only changes have been incorporated in the document.</w:t>
      </w:r>
    </w:p>
    <w:p>
      <w:pPr>
        <w:rPr>
          <w:rFonts w:eastAsia="宋体"/>
          <w:lang w:val="en-US" w:eastAsia="zh-CN"/>
        </w:rPr>
      </w:pPr>
      <w:r>
        <w:br w:type="page"/>
      </w:r>
    </w:p>
    <w:p>
      <w:pPr>
        <w:pStyle w:val="2"/>
        <w:rPr>
          <w:lang w:eastAsia="zh-CN"/>
        </w:rPr>
      </w:pPr>
      <w:bookmarkStart w:id="5" w:name="_Toc473553994"/>
      <w:bookmarkStart w:id="6" w:name="_Toc133498112"/>
      <w:r>
        <w:rPr>
          <w:lang w:eastAsia="zh-CN"/>
        </w:rPr>
        <w:t>1</w:t>
      </w:r>
      <w:r>
        <w:rPr>
          <w:lang w:eastAsia="zh-CN"/>
        </w:rPr>
        <w:tab/>
      </w:r>
      <w:r>
        <w:rPr>
          <w:lang w:eastAsia="zh-CN"/>
        </w:rPr>
        <w:t>Scope</w:t>
      </w:r>
      <w:bookmarkEnd w:id="5"/>
      <w:bookmarkEnd w:id="6"/>
    </w:p>
    <w:p>
      <w:r>
        <w:t>The present document covers the RF and co-existence aspects of the work item “Air-to-ground network for NR” [2]</w:t>
      </w:r>
    </w:p>
    <w:p>
      <w:r>
        <w:t xml:space="preserve">The objectives for the study are the following: </w:t>
      </w:r>
    </w:p>
    <w:p>
      <w:pPr>
        <w:ind w:left="568" w:hanging="284"/>
      </w:pPr>
      <w:r>
        <w:t>-</w:t>
      </w:r>
      <w:r>
        <w:tab/>
      </w:r>
      <w:r>
        <w:t>Study and evaluate adjacent channel co-existence for ATG scenarios.</w:t>
      </w:r>
    </w:p>
    <w:p>
      <w:pPr>
        <w:ind w:left="568" w:hanging="284"/>
      </w:pPr>
      <w:r>
        <w:t>-</w:t>
      </w:r>
      <w:r>
        <w:tab/>
      </w:r>
      <w:r>
        <w:t xml:space="preserve">Study and specify RF core requirements for ATG network and the ATG UE such that ATG deployment are well supported. </w:t>
      </w:r>
    </w:p>
    <w:p>
      <w:pPr>
        <w:ind w:left="568" w:hanging="284"/>
      </w:pPr>
      <w:r>
        <w:t>-</w:t>
      </w:r>
      <w:r>
        <w:tab/>
      </w:r>
      <w:r>
        <w:t>Study and specify RRM requirement supporting ATG network deployment and ATG UE mobility</w:t>
      </w:r>
    </w:p>
    <w:p>
      <w:pPr>
        <w:rPr>
          <w:lang w:eastAsia="zh-CN"/>
        </w:rPr>
      </w:pPr>
    </w:p>
    <w:p>
      <w:pPr>
        <w:pStyle w:val="2"/>
        <w:rPr>
          <w:lang w:eastAsia="zh-CN"/>
        </w:rPr>
      </w:pPr>
      <w:bookmarkStart w:id="7" w:name="_Toc473553995"/>
      <w:bookmarkStart w:id="8" w:name="_Toc133498113"/>
      <w:r>
        <w:rPr>
          <w:lang w:eastAsia="zh-CN"/>
        </w:rPr>
        <w:t>2</w:t>
      </w:r>
      <w:r>
        <w:rPr>
          <w:lang w:eastAsia="zh-CN"/>
        </w:rPr>
        <w:tab/>
      </w:r>
      <w:r>
        <w:rPr>
          <w:lang w:eastAsia="zh-CN"/>
        </w:rPr>
        <w:t>References</w:t>
      </w:r>
      <w:bookmarkEnd w:id="7"/>
      <w:bookmarkEnd w:id="8"/>
    </w:p>
    <w:p>
      <w:r>
        <w:t>The following documents contain provisions which, through reference in this text, constitute provisions of the present document.</w:t>
      </w:r>
    </w:p>
    <w:p>
      <w:pPr>
        <w:ind w:left="568" w:hanging="284"/>
      </w:pPr>
      <w:r>
        <w:t>-</w:t>
      </w:r>
      <w:r>
        <w:tab/>
      </w:r>
      <w:r>
        <w:t>References are either specific (identified by date of publication, edition number, version number, etc.) or non</w:t>
      </w:r>
      <w:r>
        <w:noBreakHyphen/>
      </w:r>
      <w:r>
        <w:t>specific.</w:t>
      </w:r>
    </w:p>
    <w:p>
      <w:pPr>
        <w:ind w:left="568" w:hanging="284"/>
      </w:pPr>
      <w:r>
        <w:t>-</w:t>
      </w:r>
      <w:r>
        <w:tab/>
      </w:r>
      <w:r>
        <w:t>For a specific reference, subsequent revisions do not apply.</w:t>
      </w:r>
    </w:p>
    <w:p>
      <w:pPr>
        <w:ind w:left="568" w:hanging="284"/>
      </w:pPr>
      <w:r>
        <w:t>-</w:t>
      </w:r>
      <w:r>
        <w:tab/>
      </w: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pPr>
        <w:keepLines/>
        <w:ind w:left="1702" w:hanging="1418"/>
      </w:pPr>
      <w:r>
        <w:t>[1]</w:t>
      </w:r>
      <w:r>
        <w:tab/>
      </w:r>
      <w:r>
        <w:t>3GPP TR 21.905: "Vocabulary for 3GPP Specifications".</w:t>
      </w:r>
    </w:p>
    <w:p>
      <w:pPr>
        <w:keepLines/>
        <w:ind w:left="1702" w:hanging="1418"/>
      </w:pPr>
      <w:r>
        <w:t>[2]</w:t>
      </w:r>
      <w:r>
        <w:tab/>
      </w:r>
      <w:r>
        <w:t xml:space="preserve">RP-230279, </w:t>
      </w:r>
      <w:r>
        <w:rPr>
          <w:rFonts w:hint="eastAsia"/>
        </w:rPr>
        <w:t>Air-to-ground network for NR</w:t>
      </w:r>
      <w:r>
        <w:t>, CMCC</w:t>
      </w:r>
    </w:p>
    <w:p>
      <w:pPr>
        <w:keepLines/>
        <w:spacing w:after="0"/>
        <w:ind w:left="1702" w:hanging="1418"/>
      </w:pPr>
      <w:r>
        <w:t>[3]</w:t>
      </w:r>
      <w:r>
        <w:tab/>
      </w:r>
      <w:r>
        <w:tab/>
      </w:r>
      <w:r>
        <w:t>ERC Recommendation 74-01: "Unwanted emissions in the spurious domain".</w:t>
      </w:r>
    </w:p>
    <w:p>
      <w:pPr>
        <w:keepLines/>
        <w:spacing w:after="0"/>
        <w:ind w:left="1702" w:hanging="1418"/>
      </w:pPr>
      <w:r>
        <w:t>[4]</w:t>
      </w:r>
      <w:r>
        <w:tab/>
      </w:r>
      <w:r>
        <w:t>3GPP TS 38.101-1: “NR; User Equipment (UE) radio transmission and reception; Part 1: Range 1 Standalone”.</w:t>
      </w:r>
    </w:p>
    <w:p>
      <w:pPr>
        <w:keepLines/>
        <w:spacing w:after="0"/>
        <w:ind w:left="1702" w:hanging="1418"/>
      </w:pPr>
      <w:r>
        <w:t>[5]</w:t>
      </w:r>
      <w:r>
        <w:tab/>
      </w:r>
      <w:r>
        <w:t>3GPP TS 38.104: “NR; Base Station (BS) radio transmission and reception”.</w:t>
      </w:r>
    </w:p>
    <w:p>
      <w:pPr>
        <w:pStyle w:val="69"/>
        <w:rPr>
          <w:rFonts w:ascii="Times New Roman" w:hAnsi="Times New Roman" w:eastAsia="等线" w:cs="Times New Roman"/>
          <w:sz w:val="21"/>
        </w:rPr>
      </w:pPr>
      <w:r>
        <w:rPr>
          <w:kern w:val="0"/>
          <w:lang w:val="en-GB" w:eastAsia="en-US"/>
        </w:rPr>
        <w:t>[</w:t>
      </w:r>
      <w:r>
        <w:rPr>
          <w:rFonts w:hint="eastAsia" w:eastAsia="宋体"/>
          <w:kern w:val="0"/>
          <w:lang w:val="en-US" w:eastAsia="zh-CN"/>
        </w:rPr>
        <w:t>6</w:t>
      </w:r>
      <w:r>
        <w:rPr>
          <w:kern w:val="0"/>
          <w:lang w:val="en-GB" w:eastAsia="en-US"/>
        </w:rPr>
        <w:t>]</w:t>
      </w:r>
      <w:r>
        <w:rPr>
          <w:kern w:val="0"/>
          <w:lang w:val="en-GB" w:eastAsia="en-US"/>
        </w:rPr>
        <w:tab/>
      </w:r>
      <w:r>
        <w:rPr>
          <w:kern w:val="0"/>
          <w:lang w:val="en-GB" w:eastAsia="en-US"/>
        </w:rPr>
        <w:t xml:space="preserve">R4-2308745, </w:t>
      </w:r>
      <w:r>
        <w:rPr>
          <w:rFonts w:ascii="Times New Roman" w:hAnsi="Times New Roman" w:eastAsia="等线" w:cs="Times New Roman"/>
          <w:sz w:val="21"/>
        </w:rPr>
        <w:t>Discussion on ATG UE RF Tx requirements, Ericsson</w:t>
      </w:r>
    </w:p>
    <w:p>
      <w:pPr>
        <w:pStyle w:val="69"/>
        <w:rPr>
          <w:rFonts w:hint="eastAsia" w:eastAsia="等线" w:cs="Times New Roman"/>
          <w:sz w:val="21"/>
          <w:lang w:val="en-US" w:eastAsia="zh-CN"/>
        </w:rPr>
      </w:pPr>
      <w:r>
        <w:rPr>
          <w:rFonts w:hint="eastAsia" w:eastAsia="等线" w:cs="Times New Roman"/>
          <w:sz w:val="21"/>
          <w:lang w:val="en-US" w:eastAsia="zh-CN"/>
        </w:rPr>
        <w:t>[7]</w:t>
      </w:r>
      <w:r>
        <w:rPr>
          <w:rFonts w:hint="eastAsia" w:eastAsia="等线" w:cs="Times New Roman"/>
          <w:sz w:val="21"/>
          <w:lang w:val="en-US" w:eastAsia="zh-CN"/>
        </w:rPr>
        <w:tab/>
      </w:r>
      <w:bookmarkStart w:id="9" w:name="specTitle"/>
      <w:r>
        <w:t>3GPP TS 38.101-</w:t>
      </w:r>
      <w:r>
        <w:rPr>
          <w:rFonts w:hint="eastAsia" w:eastAsia="宋体"/>
          <w:lang w:val="en-US" w:eastAsia="zh-CN"/>
        </w:rPr>
        <w:t>5</w:t>
      </w:r>
      <w:r>
        <w:t xml:space="preserve">: </w:t>
      </w:r>
      <w:r>
        <w:rPr>
          <w:rFonts w:hint="eastAsia" w:eastAsia="宋体"/>
          <w:lang w:val="en-US" w:eastAsia="zh-CN"/>
        </w:rPr>
        <w:t xml:space="preserve"> </w:t>
      </w:r>
      <w:r>
        <w:rPr>
          <w:rFonts w:hint="default" w:eastAsia="宋体"/>
          <w:lang w:val="en-US" w:eastAsia="zh-CN"/>
        </w:rPr>
        <w:t>“</w:t>
      </w:r>
      <w:r>
        <w:rPr>
          <w:rFonts w:hint="eastAsia" w:eastAsia="等线" w:cs="Times New Roman"/>
          <w:sz w:val="21"/>
          <w:lang w:val="en-US" w:eastAsia="zh-CN"/>
        </w:rPr>
        <w:t>NR; User Equipment (UE) radio transmission and reception; Part 5: Satellite access Radio Frequency (RF) and performance requirements</w:t>
      </w:r>
      <w:r>
        <w:rPr>
          <w:rFonts w:hint="default" w:eastAsia="等线" w:cs="Times New Roman"/>
          <w:sz w:val="21"/>
          <w:lang w:val="en-US" w:eastAsia="zh-CN"/>
        </w:rPr>
        <w:t>”</w:t>
      </w:r>
      <w:r>
        <w:rPr>
          <w:rFonts w:hint="eastAsia" w:eastAsia="等线" w:cs="Times New Roman"/>
          <w:sz w:val="21"/>
          <w:lang w:val="en-US" w:eastAsia="zh-CN"/>
        </w:rPr>
        <w:t xml:space="preserve">. </w:t>
      </w:r>
      <w:bookmarkEnd w:id="9"/>
    </w:p>
    <w:p>
      <w:pPr>
        <w:pStyle w:val="69"/>
        <w:ind w:left="0" w:firstLine="0"/>
        <w:rPr>
          <w:rFonts w:hint="default" w:eastAsia="等线" w:cs="Times New Roman"/>
          <w:sz w:val="21"/>
          <w:lang w:val="en-US" w:eastAsia="zh-CN"/>
        </w:rPr>
      </w:pPr>
    </w:p>
    <w:p>
      <w:pPr>
        <w:keepLines/>
        <w:ind w:left="1702" w:hanging="1418"/>
      </w:pPr>
    </w:p>
    <w:p>
      <w:pPr>
        <w:keepLines/>
        <w:ind w:left="1702" w:hanging="1418"/>
      </w:pPr>
      <w:r>
        <w:t>…</w:t>
      </w:r>
    </w:p>
    <w:p>
      <w:pPr>
        <w:keepLines/>
        <w:ind w:left="1702" w:hanging="1418"/>
      </w:pPr>
      <w:r>
        <w:t>[x]</w:t>
      </w:r>
      <w:r>
        <w:tab/>
      </w:r>
      <w:r>
        <w:t>&lt;doctype&gt; &lt;#&gt;[ ([up to and including]{yyyy[-mm]|V&lt;a[.b[.c]]&gt;}[onwards])]: "&lt;Title&gt;".</w:t>
      </w:r>
    </w:p>
    <w:p>
      <w:pPr>
        <w:keepLines/>
        <w:ind w:left="1702" w:hanging="1418"/>
        <w:rPr>
          <w:lang w:eastAsia="zh-CN"/>
        </w:rPr>
      </w:pPr>
    </w:p>
    <w:p>
      <w:pPr>
        <w:pStyle w:val="2"/>
        <w:rPr>
          <w:lang w:eastAsia="zh-CN"/>
        </w:rPr>
      </w:pPr>
      <w:bookmarkStart w:id="10" w:name="_Toc481653278"/>
      <w:bookmarkStart w:id="11" w:name="_Toc133498114"/>
      <w:bookmarkStart w:id="12" w:name="_Toc473553999"/>
      <w:r>
        <w:rPr>
          <w:lang w:eastAsia="zh-CN"/>
        </w:rPr>
        <w:t>3</w:t>
      </w:r>
      <w:r>
        <w:rPr>
          <w:lang w:eastAsia="zh-CN"/>
        </w:rPr>
        <w:tab/>
      </w:r>
      <w:r>
        <w:rPr>
          <w:lang w:eastAsia="zh-CN"/>
        </w:rPr>
        <w:t>Definitions, symbols and abbreviations</w:t>
      </w:r>
      <w:bookmarkEnd w:id="10"/>
      <w:bookmarkEnd w:id="11"/>
    </w:p>
    <w:p>
      <w:pPr>
        <w:pStyle w:val="3"/>
      </w:pPr>
      <w:bookmarkStart w:id="13" w:name="_Toc133498115"/>
      <w:bookmarkStart w:id="14" w:name="_Toc481653279"/>
      <w:r>
        <w:t>3.1</w:t>
      </w:r>
      <w:r>
        <w:tab/>
      </w:r>
      <w:r>
        <w:t>Definitions</w:t>
      </w:r>
      <w:bookmarkEnd w:id="13"/>
      <w:bookmarkEnd w:id="14"/>
    </w:p>
    <w:p>
      <w:r>
        <w:t xml:space="preserve">For the purposes of the present document, the terms and definitions given in </w:t>
      </w:r>
      <w:bookmarkStart w:id="15" w:name="OLE_LINK8"/>
      <w:bookmarkStart w:id="16" w:name="OLE_LINK6"/>
      <w:bookmarkStart w:id="17" w:name="OLE_LINK7"/>
      <w:r>
        <w:t xml:space="preserve">3GPP </w:t>
      </w:r>
      <w:bookmarkEnd w:id="15"/>
      <w:bookmarkEnd w:id="16"/>
      <w:bookmarkEnd w:id="17"/>
      <w:r>
        <w:t>TR 21.905 [1] and the following apply. A term defined in the present document takes precedence over the definition of the same term, if any, in 3GPP TR 21.905 [1].</w:t>
      </w:r>
    </w:p>
    <w:p>
      <w:pPr>
        <w:rPr>
          <w:b/>
        </w:rPr>
      </w:pPr>
      <w:r>
        <w:rPr>
          <w:b/>
        </w:rPr>
        <w:t>ATG UE: a UE mounted on an aircraft.</w:t>
      </w:r>
    </w:p>
    <w:p>
      <w:r>
        <w:rPr>
          <w:b/>
        </w:rPr>
        <w:t>TAB connector:</w:t>
      </w:r>
      <w:r>
        <w:t xml:space="preserve"> </w:t>
      </w:r>
      <w:r>
        <w:rPr>
          <w:i/>
        </w:rPr>
        <w:t>transceiver array boundary</w:t>
      </w:r>
      <w:r>
        <w:t xml:space="preserve"> connector</w:t>
      </w:r>
    </w:p>
    <w:p>
      <w:pPr>
        <w:rPr>
          <w:rFonts w:eastAsia="宋体" w:cs="v5.0.0"/>
          <w:bCs/>
        </w:rPr>
      </w:pPr>
      <w:r>
        <w:rPr>
          <w:rFonts w:eastAsia="宋体" w:cs="v5.0.0"/>
          <w:b/>
          <w:bCs/>
        </w:rPr>
        <w:t>TRP (total radiated power):</w:t>
      </w:r>
      <w:r>
        <w:rPr>
          <w:rFonts w:eastAsia="宋体" w:cs="v5.0.0"/>
          <w:bCs/>
        </w:rPr>
        <w:t xml:space="preserve"> is the total power radiated by the antenna.</w:t>
      </w:r>
    </w:p>
    <w:p>
      <w:pPr>
        <w:pStyle w:val="62"/>
        <w:rPr>
          <w:rFonts w:eastAsia="宋体"/>
        </w:rPr>
      </w:pPr>
      <w:r>
        <w:rPr>
          <w:rFonts w:eastAsia="宋体"/>
        </w:rPr>
        <w:t>NOTE:</w:t>
      </w:r>
      <w:r>
        <w:rPr>
          <w:rFonts w:eastAsia="宋体"/>
        </w:rPr>
        <w:tab/>
      </w:r>
      <w:r>
        <w:rPr>
          <w:rFonts w:eastAsia="宋体"/>
        </w:rPr>
        <w:t xml:space="preserve">The </w:t>
      </w:r>
      <w:r>
        <w:rPr>
          <w:rFonts w:eastAsia="宋体"/>
          <w:i/>
        </w:rPr>
        <w:t>total radiated power</w:t>
      </w:r>
      <w:r>
        <w:rPr>
          <w:rFonts w:eastAsia="宋体"/>
        </w:rPr>
        <w:t xml:space="preserve"> is the power radiating in all direction for two orthogonal polarizations. </w:t>
      </w:r>
    </w:p>
    <w:p>
      <w:r>
        <w:rPr>
          <w:b/>
        </w:rPr>
        <w:t>RX beam peak direction</w:t>
      </w:r>
      <w:r>
        <w:t>: direction where the maximum total component of RSRP and thus best total component of EIS is found</w:t>
      </w:r>
    </w:p>
    <w:p>
      <w:r>
        <w:rPr>
          <w:b/>
        </w:rPr>
        <w:t>TX beam peak direction:</w:t>
      </w:r>
      <w:r>
        <w:t xml:space="preserve"> direction where the maximum total component of EIRP is found..</w:t>
      </w:r>
    </w:p>
    <w:p>
      <w:pPr>
        <w:pStyle w:val="3"/>
      </w:pPr>
      <w:bookmarkStart w:id="18" w:name="_Toc133498116"/>
      <w:bookmarkStart w:id="19" w:name="_Toc481653280"/>
      <w:r>
        <w:t>3.2</w:t>
      </w:r>
      <w:r>
        <w:tab/>
      </w:r>
      <w:r>
        <w:t>Symbols</w:t>
      </w:r>
      <w:bookmarkEnd w:id="18"/>
      <w:bookmarkEnd w:id="19"/>
    </w:p>
    <w:p>
      <w:pPr>
        <w:keepNext/>
      </w:pPr>
      <w:r>
        <w:t>For the purposes of the present document, the following symbols apply:</w:t>
      </w:r>
    </w:p>
    <w:p>
      <w:pPr>
        <w:rPr>
          <w:rFonts w:eastAsia="MS Mincho"/>
          <w:i/>
        </w:rPr>
      </w:pPr>
      <w:r>
        <w:rPr>
          <w:rFonts w:eastAsia="MS Mincho"/>
          <w:i/>
        </w:rPr>
        <w:t>Symbol format (EW)</w:t>
      </w:r>
    </w:p>
    <w:p>
      <w:pPr>
        <w:keepLines/>
        <w:spacing w:after="0"/>
        <w:ind w:left="1702" w:hanging="1418"/>
      </w:pPr>
      <w:r>
        <w:t>&lt;symbol&gt;</w:t>
      </w:r>
      <w:r>
        <w:tab/>
      </w:r>
      <w:r>
        <w:t>&lt;Explanation&gt;</w:t>
      </w:r>
    </w:p>
    <w:p>
      <w:pPr>
        <w:keepLines/>
        <w:spacing w:after="0"/>
        <w:ind w:left="1702" w:hanging="1418"/>
      </w:pPr>
    </w:p>
    <w:p>
      <w:pPr>
        <w:pStyle w:val="3"/>
      </w:pPr>
      <w:bookmarkStart w:id="20" w:name="_Toc133498117"/>
      <w:bookmarkStart w:id="21" w:name="_Toc481653281"/>
      <w:r>
        <w:t>3.3</w:t>
      </w:r>
      <w:r>
        <w:tab/>
      </w:r>
      <w:r>
        <w:t>Abbreviations</w:t>
      </w:r>
      <w:bookmarkEnd w:id="20"/>
      <w:bookmarkEnd w:id="21"/>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72"/>
      </w:pPr>
      <w:r>
        <w:rPr>
          <w:lang w:eastAsia="zh-CN"/>
        </w:rPr>
        <w:t>AA</w:t>
      </w:r>
      <w:r>
        <w:rPr>
          <w:lang w:eastAsia="zh-CN"/>
        </w:rPr>
        <w:tab/>
      </w:r>
      <w:r>
        <w:rPr>
          <w:lang w:eastAsia="zh-CN"/>
        </w:rPr>
        <w:t>Antenna Array</w:t>
      </w:r>
    </w:p>
    <w:p>
      <w:pPr>
        <w:pStyle w:val="72"/>
      </w:pPr>
      <w:r>
        <w:t>ATG</w:t>
      </w:r>
      <w:r>
        <w:tab/>
      </w:r>
      <w:r>
        <w:t>Air To Ground</w:t>
      </w:r>
    </w:p>
    <w:p>
      <w:pPr>
        <w:pStyle w:val="72"/>
      </w:pPr>
      <w:r>
        <w:t>EIRP</w:t>
      </w:r>
      <w:r>
        <w:tab/>
      </w:r>
      <w:r>
        <w:t>Effective Isotropic Radiated Power</w:t>
      </w:r>
    </w:p>
    <w:p>
      <w:pPr>
        <w:pStyle w:val="72"/>
      </w:pPr>
      <w:r>
        <w:t>RDN</w:t>
      </w:r>
      <w:r>
        <w:tab/>
      </w:r>
      <w:r>
        <w:t>Radio Distribution Network</w:t>
      </w:r>
    </w:p>
    <w:p>
      <w:pPr>
        <w:pStyle w:val="72"/>
      </w:pPr>
      <w:r>
        <w:t>TAB</w:t>
      </w:r>
      <w:r>
        <w:tab/>
      </w:r>
      <w:r>
        <w:t>Transceiver Array Boundary</w:t>
      </w:r>
    </w:p>
    <w:p>
      <w:pPr>
        <w:pStyle w:val="72"/>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pPr>
        <w:pStyle w:val="72"/>
      </w:pPr>
      <w:r>
        <w:t>TRP</w:t>
      </w:r>
      <w:r>
        <w:tab/>
      </w:r>
      <w:r>
        <w:t>Total Radiated Power</w:t>
      </w:r>
    </w:p>
    <w:p>
      <w:pPr>
        <w:pStyle w:val="2"/>
        <w:rPr>
          <w:lang w:eastAsia="zh-CN"/>
        </w:rPr>
      </w:pPr>
      <w:bookmarkStart w:id="22" w:name="_Toc133498118"/>
      <w:r>
        <w:rPr>
          <w:lang w:eastAsia="zh-CN"/>
        </w:rPr>
        <w:t>4</w:t>
      </w:r>
      <w:r>
        <w:rPr>
          <w:lang w:eastAsia="zh-CN"/>
        </w:rPr>
        <w:tab/>
      </w:r>
      <w:r>
        <w:rPr>
          <w:lang w:eastAsia="zh-CN"/>
        </w:rPr>
        <w:t>Background</w:t>
      </w:r>
      <w:bookmarkEnd w:id="12"/>
      <w:bookmarkEnd w:id="22"/>
    </w:p>
    <w:p>
      <w:pPr>
        <w:widowControl w:val="0"/>
        <w:spacing w:after="0"/>
        <w:rPr>
          <w:kern w:val="2"/>
          <w:lang w:val="en-US" w:eastAsia="zh-CN"/>
        </w:rPr>
      </w:pPr>
      <w:r>
        <w:rPr>
          <w:kern w:val="2"/>
          <w:lang w:val="en-US" w:eastAsia="zh-CN"/>
        </w:rPr>
        <w:t>Air-to-ground (ATG) network refers to in-flight connectivity technique, using ground-based cell towers that send signals up to an aircraft’s antenna(s) of onboard ATG terminal. As a plane travels into different sections of airspace, the 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kern w:val="2"/>
          <w:lang w:val="en-US" w:eastAsia="zh-CN"/>
        </w:rPr>
        <w:t>.</w:t>
      </w:r>
    </w:p>
    <w:p>
      <w:pPr>
        <w:widowControl w:val="0"/>
        <w:spacing w:after="0"/>
        <w:rPr>
          <w:kern w:val="2"/>
          <w:lang w:val="en-US" w:eastAsia="zh-CN"/>
        </w:rPr>
      </w:pPr>
    </w:p>
    <w:p>
      <w:pPr>
        <w:widowControl w:val="0"/>
        <w:spacing w:after="0"/>
        <w:rPr>
          <w:kern w:val="2"/>
          <w:lang w:val="en-US" w:eastAsia="zh-CN"/>
        </w:rPr>
      </w:pPr>
      <w:r>
        <w:rPr>
          <w:rFonts w:hint="eastAsia"/>
          <w:kern w:val="2"/>
          <w:lang w:val="en-US" w:eastAsia="zh-CN"/>
        </w:rPr>
        <w:t>From</w:t>
      </w:r>
      <w:r>
        <w:rPr>
          <w:kern w:val="2"/>
          <w:lang w:val="en-US" w:eastAsia="zh-CN"/>
        </w:rPr>
        <w:t xml:space="preserve"> the trials and commercial operation [https://inflight.telekom.net/ean/] of </w:t>
      </w:r>
      <w:r>
        <w:rPr>
          <w:rFonts w:hint="eastAsia"/>
          <w:kern w:val="2"/>
          <w:lang w:val="en-US" w:eastAsia="zh-CN"/>
        </w:rPr>
        <w:t xml:space="preserve">adapted LTE </w:t>
      </w:r>
      <w:r>
        <w:rPr>
          <w:kern w:val="2"/>
          <w:lang w:val="en-US" w:eastAsia="zh-CN"/>
        </w:rPr>
        <w:t>ATG solutions, some characteristics are considered for ATG network deployment scenarios.</w:t>
      </w:r>
    </w:p>
    <w:p>
      <w:pPr>
        <w:pStyle w:val="73"/>
      </w:pPr>
      <w:r>
        <w:rPr>
          <w:b/>
          <w:bCs/>
        </w:rPr>
        <w:t>-</w:t>
      </w:r>
      <w:r>
        <w:rPr>
          <w:b/>
          <w:bCs/>
        </w:rPr>
        <w:tab/>
      </w:r>
      <w:r>
        <w:rPr>
          <w:b/>
          <w:bCs/>
        </w:rPr>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pPr>
        <w:pStyle w:val="73"/>
      </w:pPr>
      <w:r>
        <w:rPr>
          <w:b/>
          <w:bCs/>
        </w:rPr>
        <w:t>-</w:t>
      </w:r>
      <w:r>
        <w:rPr>
          <w:b/>
          <w:bCs/>
        </w:rPr>
        <w:tab/>
      </w:r>
      <w:r>
        <w:rPr>
          <w:b/>
          <w:bCs/>
        </w:rPr>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pPr>
        <w:pStyle w:val="73"/>
      </w:pPr>
      <w:r>
        <w:rPr>
          <w:b/>
          <w:bCs/>
        </w:rPr>
        <w:t>-</w:t>
      </w:r>
      <w:r>
        <w:rPr>
          <w:b/>
          <w:bCs/>
        </w:rPr>
        <w:tab/>
      </w:r>
      <w:r>
        <w:rPr>
          <w:b/>
          <w:bCs/>
        </w:rPr>
        <w:t>Much powerful on-board ATG terminal capacity:</w:t>
      </w:r>
      <w:r>
        <w:t xml:space="preserve"> On-board ATG terminal can be much powerful than normal terrestrial UE, e.g., with higher EIRP via much larger transmission power and/or much larger on-board antenna gain.</w:t>
      </w:r>
    </w:p>
    <w:p>
      <w:pPr>
        <w:rPr>
          <w:lang w:val="en-US" w:eastAsia="zh-CN"/>
        </w:rPr>
      </w:pPr>
    </w:p>
    <w:p>
      <w:pPr>
        <w:pStyle w:val="2"/>
        <w:rPr>
          <w:lang w:eastAsia="zh-CN"/>
        </w:rPr>
      </w:pPr>
      <w:bookmarkStart w:id="23" w:name="_Toc473554000"/>
      <w:bookmarkStart w:id="24" w:name="_Toc133498119"/>
      <w:r>
        <w:rPr>
          <w:lang w:eastAsia="zh-CN"/>
        </w:rPr>
        <w:t>5</w:t>
      </w:r>
      <w:r>
        <w:rPr>
          <w:lang w:eastAsia="zh-CN"/>
        </w:rPr>
        <w:tab/>
      </w:r>
      <w:bookmarkEnd w:id="23"/>
      <w:r>
        <w:rPr>
          <w:rFonts w:hint="eastAsia"/>
          <w:lang w:eastAsia="zh-CN"/>
        </w:rPr>
        <w:t xml:space="preserve">ATG </w:t>
      </w:r>
      <w:r>
        <w:rPr>
          <w:lang w:eastAsia="zh-CN"/>
        </w:rPr>
        <w:t>band</w:t>
      </w:r>
      <w:r>
        <w:rPr>
          <w:rFonts w:hint="eastAsia"/>
          <w:lang w:eastAsia="zh-CN"/>
        </w:rPr>
        <w:t>s</w:t>
      </w:r>
      <w:bookmarkEnd w:id="24"/>
    </w:p>
    <w:p>
      <w:pPr>
        <w:pStyle w:val="99"/>
        <w:rPr>
          <w:rFonts w:eastAsia="MS Mincho"/>
          <w:iCs/>
          <w:kern w:val="2"/>
          <w:lang w:val="en-US" w:eastAsia="zh-CN"/>
        </w:rPr>
      </w:pPr>
      <w:r>
        <w:rPr>
          <w:i w:val="0"/>
          <w:iCs/>
          <w:color w:val="000000" w:themeColor="text1"/>
          <w:kern w:val="2"/>
          <w:lang w:val="en-US" w:eastAsia="zh-CN"/>
          <w14:textFill>
            <w14:solidFill>
              <w14:schemeClr w14:val="tx1"/>
            </w14:solidFill>
          </w14:textFill>
        </w:rPr>
        <w:t>ATG will operate within existing NR operating bands and does not need new bands based on band request received from operators. Depending on the operator’s request so far, the following NR bands are intended for ATG deployment in Rel-18. Other new band request for ATG deployment is not precluded in future.</w:t>
      </w:r>
    </w:p>
    <w:p>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5-1: ATG operating bands</w:t>
      </w:r>
    </w:p>
    <w:tbl>
      <w:tblPr>
        <w:tblStyle w:val="49"/>
        <w:tblW w:w="7737" w:type="dxa"/>
        <w:jc w:val="center"/>
        <w:tblLayout w:type="fixed"/>
        <w:tblCellMar>
          <w:top w:w="0" w:type="dxa"/>
          <w:left w:w="108" w:type="dxa"/>
          <w:bottom w:w="0" w:type="dxa"/>
          <w:right w:w="108" w:type="dxa"/>
        </w:tblCellMar>
      </w:tblPr>
      <w:tblGrid>
        <w:gridCol w:w="1161"/>
        <w:gridCol w:w="2715"/>
        <w:gridCol w:w="2953"/>
        <w:gridCol w:w="908"/>
      </w:tblGrid>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widowControl w:val="0"/>
              <w:spacing w:after="0"/>
              <w:jc w:val="center"/>
              <w:rPr>
                <w:rFonts w:eastAsia="MS Mincho"/>
                <w:b/>
                <w:sz w:val="18"/>
              </w:rPr>
            </w:pPr>
            <w:r>
              <w:rPr>
                <w:rFonts w:eastAsia="MS Mincho"/>
                <w:b/>
                <w:sz w:val="18"/>
              </w:rPr>
              <w:t>NR operating band</w:t>
            </w:r>
          </w:p>
        </w:tc>
        <w:tc>
          <w:tcPr>
            <w:tcW w:w="2715" w:type="dxa"/>
            <w:tcBorders>
              <w:top w:val="single" w:color="auto" w:sz="4" w:space="0"/>
              <w:left w:val="single" w:color="auto" w:sz="4" w:space="0"/>
              <w:bottom w:val="single" w:color="auto" w:sz="4" w:space="0"/>
              <w:right w:val="single" w:color="auto" w:sz="4" w:space="0"/>
            </w:tcBorders>
          </w:tcPr>
          <w:p>
            <w:pPr>
              <w:widowControl w:val="0"/>
              <w:spacing w:after="0"/>
              <w:jc w:val="center"/>
              <w:rPr>
                <w:rFonts w:eastAsia="MS Mincho"/>
                <w:b/>
                <w:sz w:val="18"/>
              </w:rPr>
            </w:pPr>
            <w:r>
              <w:rPr>
                <w:rFonts w:eastAsia="MS Mincho"/>
                <w:b/>
                <w:sz w:val="18"/>
              </w:rPr>
              <w:t xml:space="preserve">Uplink (UL) </w:t>
            </w:r>
            <w:r>
              <w:rPr>
                <w:rFonts w:eastAsia="MS Mincho"/>
                <w:b/>
                <w:i/>
                <w:sz w:val="18"/>
              </w:rPr>
              <w:t>operating band</w:t>
            </w:r>
            <w:r>
              <w:rPr>
                <w:rFonts w:eastAsia="MS Mincho"/>
                <w:b/>
                <w:sz w:val="18"/>
              </w:rPr>
              <w:br w:type="textWrapping"/>
            </w:r>
            <w:r>
              <w:rPr>
                <w:rFonts w:eastAsia="MS Mincho"/>
                <w:b/>
                <w:sz w:val="18"/>
              </w:rPr>
              <w:t>BS receive / UE transmit</w:t>
            </w:r>
          </w:p>
          <w:p>
            <w:pPr>
              <w:widowControl w:val="0"/>
              <w:spacing w:after="0"/>
              <w:jc w:val="center"/>
              <w:rPr>
                <w:rFonts w:eastAsia="MS Mincho"/>
                <w:b/>
                <w:sz w:val="18"/>
                <w:vertAlign w:val="subscript"/>
              </w:rPr>
            </w:pPr>
            <w:r>
              <w:rPr>
                <w:rFonts w:eastAsia="MS Mincho"/>
                <w:b/>
                <w:sz w:val="18"/>
              </w:rPr>
              <w:t>F</w:t>
            </w:r>
            <w:r>
              <w:rPr>
                <w:rFonts w:eastAsia="MS Mincho"/>
                <w:b/>
                <w:sz w:val="18"/>
                <w:vertAlign w:val="subscript"/>
              </w:rPr>
              <w:t xml:space="preserve">UL_low </w:t>
            </w:r>
            <w:r>
              <w:rPr>
                <w:rFonts w:eastAsia="MS Mincho"/>
                <w:b/>
                <w:sz w:val="18"/>
              </w:rPr>
              <w:t xml:space="preserve">  –  F</w:t>
            </w:r>
            <w:r>
              <w:rPr>
                <w:rFonts w:eastAsia="MS Mincho"/>
                <w:b/>
                <w:sz w:val="18"/>
                <w:vertAlign w:val="subscript"/>
              </w:rPr>
              <w:t>UL_high</w:t>
            </w:r>
          </w:p>
        </w:tc>
        <w:tc>
          <w:tcPr>
            <w:tcW w:w="2953" w:type="dxa"/>
            <w:tcBorders>
              <w:top w:val="single" w:color="auto" w:sz="4" w:space="0"/>
              <w:left w:val="single" w:color="auto" w:sz="4" w:space="0"/>
              <w:bottom w:val="single" w:color="auto" w:sz="4" w:space="0"/>
              <w:right w:val="single" w:color="auto" w:sz="4" w:space="0"/>
            </w:tcBorders>
          </w:tcPr>
          <w:p>
            <w:pPr>
              <w:widowControl w:val="0"/>
              <w:spacing w:after="0"/>
              <w:jc w:val="center"/>
              <w:rPr>
                <w:rFonts w:eastAsia="MS Mincho"/>
                <w:b/>
                <w:sz w:val="18"/>
              </w:rPr>
            </w:pPr>
            <w:r>
              <w:rPr>
                <w:rFonts w:eastAsia="MS Mincho"/>
                <w:b/>
                <w:sz w:val="18"/>
              </w:rPr>
              <w:t xml:space="preserve">Downlink (DL) </w:t>
            </w:r>
            <w:r>
              <w:rPr>
                <w:rFonts w:eastAsia="MS Mincho"/>
                <w:b/>
                <w:i/>
                <w:sz w:val="18"/>
              </w:rPr>
              <w:t>operating band</w:t>
            </w:r>
            <w:r>
              <w:rPr>
                <w:rFonts w:eastAsia="MS Mincho"/>
                <w:b/>
                <w:sz w:val="18"/>
              </w:rPr>
              <w:br w:type="textWrapping"/>
            </w:r>
            <w:r>
              <w:rPr>
                <w:rFonts w:eastAsia="MS Mincho"/>
                <w:b/>
                <w:sz w:val="18"/>
              </w:rPr>
              <w:t>BS transmit / UE receive</w:t>
            </w:r>
          </w:p>
          <w:p>
            <w:pPr>
              <w:widowControl w:val="0"/>
              <w:spacing w:after="0"/>
              <w:jc w:val="center"/>
              <w:rPr>
                <w:rFonts w:eastAsia="MS Mincho"/>
                <w:b/>
                <w:sz w:val="18"/>
              </w:rPr>
            </w:pPr>
            <w:r>
              <w:rPr>
                <w:rFonts w:eastAsia="MS Mincho"/>
                <w:b/>
                <w:sz w:val="18"/>
              </w:rPr>
              <w:t>F</w:t>
            </w:r>
            <w:r>
              <w:rPr>
                <w:rFonts w:eastAsia="MS Mincho"/>
                <w:b/>
                <w:sz w:val="18"/>
                <w:vertAlign w:val="subscript"/>
              </w:rPr>
              <w:t>DL_low</w:t>
            </w:r>
            <w:r>
              <w:rPr>
                <w:rFonts w:eastAsia="MS Mincho"/>
                <w:b/>
                <w:sz w:val="18"/>
              </w:rPr>
              <w:t xml:space="preserve">   –  F</w:t>
            </w:r>
            <w:r>
              <w:rPr>
                <w:rFonts w:eastAsia="MS Mincho"/>
                <w:b/>
                <w:sz w:val="18"/>
                <w:vertAlign w:val="subscript"/>
              </w:rPr>
              <w:t>DL_high</w:t>
            </w:r>
          </w:p>
        </w:tc>
        <w:tc>
          <w:tcPr>
            <w:tcW w:w="908" w:type="dxa"/>
            <w:tcBorders>
              <w:top w:val="single" w:color="auto" w:sz="4" w:space="0"/>
              <w:left w:val="single" w:color="auto" w:sz="4" w:space="0"/>
              <w:bottom w:val="nil"/>
              <w:right w:val="single" w:color="auto" w:sz="4" w:space="0"/>
            </w:tcBorders>
          </w:tcPr>
          <w:p>
            <w:pPr>
              <w:widowControl w:val="0"/>
              <w:spacing w:after="0"/>
              <w:jc w:val="center"/>
              <w:rPr>
                <w:rFonts w:eastAsia="MS Mincho"/>
                <w:b/>
                <w:sz w:val="18"/>
              </w:rPr>
            </w:pPr>
            <w:r>
              <w:rPr>
                <w:rFonts w:eastAsia="MS Mincho"/>
                <w:b/>
                <w:sz w:val="18"/>
              </w:rPr>
              <w:t>Duplex Mode</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n1</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1920 MHz – 1980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2110 MHz – 2170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FDD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1710 MHz – 1785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1805 MHz – 1880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FDD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n34</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2010 MHz – 2025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2010 MHz – 2025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n39</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1880 MHz – 1920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1880 MHz – 1920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n41</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2496 MHz – 2690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2496 MHz – 2690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n78</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3300 MHz – 3800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3300 MHz – 3800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n79</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4400 MHz – 5000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4400 MHz – 5000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bl>
    <w:p>
      <w:pPr>
        <w:pStyle w:val="2"/>
        <w:rPr>
          <w:lang w:eastAsia="zh-CN"/>
        </w:rPr>
      </w:pPr>
      <w:bookmarkStart w:id="25" w:name="_Toc133498120"/>
      <w:r>
        <w:rPr>
          <w:rFonts w:hint="eastAsia"/>
          <w:lang w:eastAsia="zh-CN"/>
        </w:rPr>
        <w:t>6</w:t>
      </w:r>
      <w:r>
        <w:tab/>
      </w:r>
      <w:r>
        <w:rPr>
          <w:rFonts w:hint="eastAsia"/>
          <w:lang w:eastAsia="zh-CN"/>
        </w:rPr>
        <w:t>Co-existence study</w:t>
      </w:r>
      <w:bookmarkEnd w:id="25"/>
    </w:p>
    <w:p>
      <w:pPr>
        <w:keepNext/>
        <w:keepLines/>
        <w:overflowPunct/>
        <w:autoSpaceDE/>
        <w:autoSpaceDN/>
        <w:adjustRightInd/>
        <w:spacing w:before="180"/>
        <w:ind w:left="1134" w:hanging="1134"/>
        <w:textAlignment w:val="auto"/>
        <w:outlineLvl w:val="1"/>
        <w:rPr>
          <w:rFonts w:ascii="Arial" w:hAnsi="Arial"/>
          <w:sz w:val="32"/>
          <w:lang w:eastAsia="en-US"/>
        </w:rPr>
      </w:pPr>
      <w:r>
        <w:rPr>
          <w:rFonts w:hint="eastAsia" w:ascii="Arial" w:hAnsi="Arial"/>
          <w:sz w:val="32"/>
          <w:lang w:eastAsia="en-US"/>
        </w:rPr>
        <w:t xml:space="preserve">6.1 </w:t>
      </w:r>
      <w:r>
        <w:rPr>
          <w:rFonts w:ascii="Arial" w:hAnsi="Arial"/>
          <w:sz w:val="32"/>
          <w:lang w:eastAsia="en-US"/>
        </w:rPr>
        <w:t>Co-existence simulation scenario</w:t>
      </w:r>
    </w:p>
    <w:p>
      <w:pPr>
        <w:overflowPunct/>
        <w:autoSpaceDE/>
        <w:autoSpaceDN/>
        <w:adjustRightInd/>
        <w:textAlignment w:val="auto"/>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Assume non-co-located for simulation cases 1, 4, 5, 6, 7, 8, 9, 12, 13, 14. For simulation cases 2, 3, 10, 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6.1-1: Simulation scenarios for ATG coexistence study</w:t>
      </w:r>
    </w:p>
    <w:tbl>
      <w:tblPr>
        <w:tblStyle w:val="4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6"/>
        <w:gridCol w:w="1449"/>
        <w:gridCol w:w="1348"/>
        <w:gridCol w:w="1108"/>
        <w:gridCol w:w="1348"/>
        <w:gridCol w:w="1108"/>
        <w:gridCol w:w="1252"/>
        <w:gridCol w:w="848"/>
        <w:gridCol w:w="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ja-JP"/>
              </w:rPr>
            </w:pPr>
            <w:r>
              <w:rPr>
                <w:rFonts w:ascii="Arial" w:hAnsi="Arial"/>
                <w:b/>
                <w:sz w:val="18"/>
                <w:lang w:eastAsia="en-US"/>
              </w:rPr>
              <w:t>No.</w:t>
            </w:r>
          </w:p>
        </w:tc>
        <w:tc>
          <w:tcPr>
            <w:tcW w:w="73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Combination</w:t>
            </w:r>
          </w:p>
        </w:tc>
        <w:tc>
          <w:tcPr>
            <w:tcW w:w="1246" w:type="pct"/>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Aggressor</w:t>
            </w:r>
          </w:p>
        </w:tc>
        <w:tc>
          <w:tcPr>
            <w:tcW w:w="1246" w:type="pct"/>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Victim</w:t>
            </w:r>
          </w:p>
        </w:tc>
        <w:tc>
          <w:tcPr>
            <w:tcW w:w="63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zh-CN"/>
              </w:rPr>
              <w:t>Simulation frequency</w:t>
            </w:r>
          </w:p>
        </w:tc>
        <w:tc>
          <w:tcPr>
            <w:tcW w:w="43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Notes</w:t>
            </w:r>
          </w:p>
        </w:tc>
        <w:tc>
          <w:tcPr>
            <w:tcW w:w="421"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Study Phase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UL/DL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pPr>
              <w:keepNext/>
              <w:keepLines/>
              <w:overflowPunct/>
              <w:autoSpaceDE/>
              <w:autoSpaceDN/>
              <w:adjustRightInd/>
              <w:spacing w:after="0"/>
              <w:jc w:val="center"/>
              <w:rPr>
                <w:rFonts w:ascii="Arial" w:hAnsi="Arial"/>
                <w:b/>
                <w:sz w:val="18"/>
                <w:lang w:eastAsia="ja-JP"/>
              </w:rPr>
            </w:pPr>
            <w:r>
              <w:rPr>
                <w:rFonts w:ascii="Arial" w:hAnsi="Arial"/>
                <w:b/>
                <w:sz w:val="18"/>
                <w:lang w:eastAsia="zh-CN"/>
              </w:rPr>
              <w:t>UL/DL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sz w:val="18"/>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Yu Mincho"/>
                <w:b/>
                <w:kern w:val="2"/>
                <w:sz w:val="18"/>
                <w:szCs w:val="24"/>
                <w:lang w:val="en-US" w:eastAsia="zh-CN"/>
              </w:rPr>
            </w:pPr>
          </w:p>
        </w:tc>
        <w:tc>
          <w:tcPr>
            <w:tcW w:w="4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lang w:val="en-US"/>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2</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sz w:val="18"/>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lang w:val="en-US" w:eastAsia="en-US"/>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3</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4</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5</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6</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7</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8</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9</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10</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11</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12</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13</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n1/n39</w:t>
            </w: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14</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n39/n1</w:t>
            </w: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9"/>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ind w:left="720" w:hanging="720" w:hangingChars="400"/>
              <w:jc w:val="both"/>
              <w:textAlignment w:val="auto"/>
              <w:rPr>
                <w:rFonts w:ascii="Arial" w:hAnsi="Arial" w:eastAsia="宋体"/>
                <w:sz w:val="18"/>
                <w:lang w:val="en-US" w:eastAsia="zh-CN"/>
              </w:rPr>
            </w:pPr>
            <w:r>
              <w:rPr>
                <w:rFonts w:hint="eastAsia" w:ascii="Arial" w:hAnsi="Arial" w:eastAsia="宋体"/>
                <w:sz w:val="18"/>
                <w:lang w:val="en-US" w:eastAsia="zh-CN"/>
              </w:rPr>
              <w:t>NOTE 1: ACLR/ACS requirement for ATG BS and ATG UE are derived based on the synchronized scenario in Phase 1.</w:t>
            </w:r>
          </w:p>
          <w:p>
            <w:pPr>
              <w:keepNext/>
              <w:keepLines/>
              <w:overflowPunct/>
              <w:autoSpaceDE/>
              <w:autoSpaceDN/>
              <w:adjustRightInd/>
              <w:spacing w:after="0"/>
              <w:ind w:left="720" w:hanging="720" w:hangingChars="400"/>
              <w:jc w:val="both"/>
              <w:textAlignment w:val="auto"/>
              <w:rPr>
                <w:rFonts w:ascii="Arial" w:hAnsi="Arial" w:eastAsia="宋体"/>
                <w:sz w:val="18"/>
                <w:lang w:val="en-US" w:eastAsia="zh-CN" w:bidi="ar"/>
              </w:rPr>
            </w:pPr>
            <w:r>
              <w:rPr>
                <w:rFonts w:hint="eastAsia" w:ascii="Arial" w:hAnsi="Arial" w:eastAsia="宋体"/>
                <w:sz w:val="18"/>
                <w:lang w:val="en-US" w:eastAsia="zh-CN"/>
              </w:rPr>
              <w:t>NOTE 2: the non-synchronized coexistence scenarios listed in phase 2 are mainly used to identify the isolation distance between ATG BS and the the legacy TN BSs. And it</w:t>
            </w:r>
            <w:r>
              <w:rPr>
                <w:rFonts w:ascii="Arial" w:hAnsi="Arial" w:eastAsia="宋体"/>
                <w:sz w:val="18"/>
                <w:lang w:val="en-US" w:eastAsia="zh-CN"/>
              </w:rPr>
              <w:t>’</w:t>
            </w:r>
            <w:r>
              <w:rPr>
                <w:rFonts w:hint="eastAsia" w:ascii="Arial" w:hAnsi="Arial" w:eastAsia="宋体"/>
                <w:sz w:val="18"/>
                <w:lang w:val="en-US" w:eastAsia="zh-CN"/>
              </w:rPr>
              <w:t>s agreed to reuse</w:t>
            </w:r>
            <w:r>
              <w:rPr>
                <w:rFonts w:hint="eastAsia" w:ascii="Arial" w:hAnsi="Arial" w:eastAsia="宋体"/>
                <w:sz w:val="18"/>
                <w:lang w:val="en-US" w:eastAsia="zh-CN" w:bidi="ar"/>
              </w:rPr>
              <w:t xml:space="preserve"> 45dB ACLR and 46dB ACS for both TN and ATG BS for non-synchronized scenarios to derive isolated distance as starting point.</w:t>
            </w:r>
          </w:p>
          <w:p>
            <w:pPr>
              <w:keepNext/>
              <w:keepLines/>
              <w:overflowPunct/>
              <w:autoSpaceDE/>
              <w:autoSpaceDN/>
              <w:adjustRightInd/>
              <w:spacing w:after="0"/>
              <w:ind w:left="720" w:hanging="720" w:hangingChars="400"/>
              <w:jc w:val="both"/>
              <w:textAlignment w:val="auto"/>
              <w:rPr>
                <w:rFonts w:ascii="Arial" w:hAnsi="Arial" w:eastAsia="宋体"/>
                <w:sz w:val="18"/>
                <w:lang w:val="en-US" w:eastAsia="zh-CN" w:bidi="ar"/>
              </w:rPr>
            </w:pPr>
            <w:r>
              <w:rPr>
                <w:rFonts w:hint="eastAsia" w:ascii="Arial" w:hAnsi="Arial" w:eastAsia="宋体"/>
                <w:sz w:val="18"/>
                <w:lang w:val="en-US" w:eastAsia="zh-CN"/>
              </w:rPr>
              <w:t xml:space="preserve">NOTE 3: </w:t>
            </w:r>
            <w:r>
              <w:rPr>
                <w:rFonts w:hint="eastAsia" w:ascii="Arial" w:hAnsi="Arial" w:eastAsia="宋体"/>
                <w:sz w:val="18"/>
                <w:lang w:val="en-US" w:eastAsia="zh-CN" w:bidi="ar"/>
              </w:rPr>
              <w:t>For scenario 11, if simulator doesn</w:t>
            </w:r>
            <w:r>
              <w:rPr>
                <w:rFonts w:ascii="Arial" w:hAnsi="Arial" w:eastAsia="宋体"/>
                <w:sz w:val="18"/>
                <w:lang w:val="en-US" w:eastAsia="zh-CN" w:bidi="ar"/>
              </w:rPr>
              <w:t>’</w:t>
            </w:r>
            <w:r>
              <w:rPr>
                <w:rFonts w:hint="eastAsia" w:ascii="Arial" w:hAnsi="Arial" w:eastAsia="宋体"/>
                <w:sz w:val="18"/>
                <w:lang w:val="en-US" w:eastAsia="zh-CN" w:bidi="ar"/>
              </w:rPr>
              <w:t>t support additional ring of TN network, i.e. additional 18 site and 54 cells, it</w:t>
            </w:r>
            <w:r>
              <w:rPr>
                <w:rFonts w:ascii="Arial" w:hAnsi="Arial" w:eastAsia="宋体"/>
                <w:sz w:val="18"/>
                <w:lang w:val="en-US" w:eastAsia="zh-CN" w:bidi="ar"/>
              </w:rPr>
              <w:t>’</w:t>
            </w:r>
            <w:r>
              <w:rPr>
                <w:rFonts w:hint="eastAsia" w:ascii="Arial" w:hAnsi="Arial" w:eastAsia="宋体"/>
                <w:sz w:val="18"/>
                <w:lang w:val="en-US" w:eastAsia="zh-CN" w:bidi="ar"/>
              </w:rPr>
              <w:t>s allowed to double the aggregate interference power from the 57 TN cells to simplify the platform modification, i.e. interference +3dB.</w:t>
            </w:r>
          </w:p>
          <w:p>
            <w:pPr>
              <w:keepNext/>
              <w:keepLines/>
              <w:overflowPunct/>
              <w:autoSpaceDE/>
              <w:autoSpaceDN/>
              <w:adjustRightInd/>
              <w:spacing w:after="0"/>
              <w:ind w:left="720" w:hanging="720" w:hangingChars="400"/>
              <w:jc w:val="both"/>
              <w:textAlignment w:val="auto"/>
              <w:rPr>
                <w:rFonts w:ascii="Arial" w:hAnsi="Arial" w:eastAsia="宋体"/>
                <w:sz w:val="18"/>
                <w:lang w:val="en-US" w:eastAsia="zh-CN"/>
              </w:rPr>
            </w:pPr>
            <w:r>
              <w:rPr>
                <w:rFonts w:ascii="Arial" w:hAnsi="Arial" w:eastAsia="宋体"/>
                <w:sz w:val="18"/>
                <w:lang w:val="en-US" w:eastAsia="zh-CN"/>
              </w:rPr>
              <w:t xml:space="preserve">NOTE 4: </w:t>
            </w:r>
            <w:r>
              <w:rPr>
                <w:rFonts w:ascii="Arial" w:hAnsi="Arial" w:eastAsia="宋体"/>
                <w:sz w:val="18"/>
                <w:lang w:val="en-US" w:eastAsia="zh-CN" w:bidi="ar"/>
              </w:rPr>
              <w:t xml:space="preserve">For scenario 6, 8 and 13 which is CLI between ATG UE and TN UE,  it’s not expected to have further coexistence </w:t>
            </w:r>
            <w:r>
              <w:rPr>
                <w:rFonts w:hint="eastAsia" w:ascii="Arial" w:hAnsi="Arial" w:eastAsia="宋体"/>
                <w:sz w:val="18"/>
                <w:lang w:val="en-US" w:eastAsia="zh-CN" w:bidi="ar"/>
              </w:rPr>
              <w:t>simulation evaluation</w:t>
            </w:r>
            <w:r>
              <w:rPr>
                <w:rFonts w:ascii="Arial" w:hAnsi="Arial" w:eastAsia="宋体"/>
                <w:sz w:val="18"/>
                <w:lang w:val="en-US" w:eastAsia="zh-CN" w:bidi="ar"/>
              </w:rPr>
              <w:t xml:space="preserve"> in Phase 2 due to low interference level.</w:t>
            </w:r>
          </w:p>
          <w:p>
            <w:pPr>
              <w:keepNext/>
              <w:keepLines/>
              <w:overflowPunct/>
              <w:autoSpaceDE/>
              <w:autoSpaceDN/>
              <w:adjustRightInd/>
              <w:spacing w:after="0"/>
              <w:jc w:val="both"/>
              <w:textAlignment w:val="auto"/>
              <w:rPr>
                <w:rFonts w:ascii="Arial" w:hAnsi="Arial" w:eastAsia="宋体"/>
                <w:sz w:val="18"/>
                <w:lang w:val="en-US" w:eastAsia="zh-CN" w:bidi="ar"/>
              </w:rPr>
            </w:pPr>
          </w:p>
          <w:p>
            <w:pPr>
              <w:keepNext/>
              <w:keepLines/>
              <w:overflowPunct/>
              <w:autoSpaceDE/>
              <w:autoSpaceDN/>
              <w:adjustRightInd/>
              <w:spacing w:after="0"/>
              <w:ind w:left="720" w:hanging="720" w:hangingChars="400"/>
              <w:textAlignment w:val="auto"/>
              <w:rPr>
                <w:rFonts w:ascii="Arial" w:hAnsi="Arial" w:eastAsia="宋体"/>
                <w:sz w:val="18"/>
                <w:lang w:val="en-US" w:eastAsia="zh-CN"/>
              </w:rPr>
            </w:pPr>
          </w:p>
        </w:tc>
      </w:tr>
    </w:tbl>
    <w:p/>
    <w:p>
      <w:pPr>
        <w:pStyle w:val="3"/>
        <w:ind w:left="1170" w:hanging="1170"/>
      </w:pPr>
      <w:bookmarkStart w:id="26" w:name="_Toc133498122"/>
      <w:r>
        <w:rPr>
          <w:rFonts w:hint="eastAsia"/>
        </w:rPr>
        <w:t xml:space="preserve">6.2 </w:t>
      </w:r>
      <w:r>
        <w:t>Co-existence simulation assumption</w:t>
      </w:r>
      <w:bookmarkEnd w:id="26"/>
    </w:p>
    <w:p>
      <w:pPr>
        <w:pStyle w:val="4"/>
      </w:pPr>
      <w:bookmarkStart w:id="27" w:name="_Toc133498123"/>
      <w:r>
        <w:rPr>
          <w:rFonts w:hint="eastAsia" w:eastAsiaTheme="minorEastAsia"/>
        </w:rPr>
        <w:t xml:space="preserve">6.2.1 </w:t>
      </w:r>
      <w:r>
        <w:t>Network layout model</w:t>
      </w:r>
      <w:bookmarkEnd w:id="27"/>
    </w:p>
    <w:p>
      <w:pPr>
        <w:pStyle w:val="5"/>
      </w:pPr>
      <w:bookmarkStart w:id="28" w:name="_Toc133498124"/>
      <w:r>
        <w:rPr>
          <w:rFonts w:hint="eastAsia"/>
          <w:lang w:eastAsia="zh-CN"/>
        </w:rPr>
        <w:t xml:space="preserve">6.2.1.1 </w:t>
      </w:r>
      <w:r>
        <w:t>Co-existence between ATG and NR terrestrial network</w:t>
      </w:r>
      <w:bookmarkEnd w:id="28"/>
    </w:p>
    <w:p>
      <w:r>
        <w:t>Co-existence modelling is based on positioning a single ATG BS/sector and a TN cluster. Two options exist for the positioning of the TN cluster relative to the ATG BS.</w:t>
      </w:r>
    </w:p>
    <w:p>
      <w:r>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ctrlPr>
                  <w:rPr>
                    <w:rFonts w:ascii="Cambria Math" w:hAnsi="Cambria Math"/>
                    <w:i/>
                  </w:rPr>
                </m:ctrlPr>
              </m:deg>
              <m:e>
                <m:r>
                  <m:rPr/>
                  <w:rPr>
                    <w:rFonts w:ascii="Cambria Math" w:hAnsi="Cambria Math"/>
                  </w:rPr>
                  <m:t>3</m:t>
                </m:r>
                <m:ctrlPr>
                  <w:rPr>
                    <w:rFonts w:ascii="Cambria Math" w:hAnsi="Cambria Math"/>
                    <w:i/>
                  </w:rPr>
                </m:ctrlPr>
              </m:e>
            </m:rad>
            <m:ctrlPr>
              <w:rPr>
                <w:rFonts w:ascii="Cambria Math" w:hAnsi="Cambria Math"/>
                <w:i/>
              </w:rPr>
            </m:ctrlPr>
          </m:num>
          <m:den>
            <m:r>
              <m:rPr/>
              <w:rPr>
                <w:rFonts w:ascii="Cambria Math" w:hAnsi="Cambria Math"/>
              </w:rPr>
              <m:t>3</m:t>
            </m:r>
            <m:ctrlPr>
              <w:rPr>
                <w:rFonts w:ascii="Cambria Math" w:hAnsi="Cambria Math"/>
                <w:i/>
              </w:rPr>
            </m:ctrlPr>
          </m:den>
        </m:f>
        <m:sSub>
          <m:sSubPr>
            <m:ctrlPr>
              <w:rPr>
                <w:rFonts w:ascii="Cambria Math" w:hAnsi="Cambria Math"/>
                <w:i/>
              </w:rPr>
            </m:ctrlPr>
          </m:sSubPr>
          <m:e>
            <m:r>
              <m:rPr/>
              <w:rPr>
                <w:rFonts w:ascii="Cambria Math" w:hAnsi="Cambria Math"/>
              </w:rPr>
              <m:t>ISD</m:t>
            </m:r>
            <m:ctrlPr>
              <w:rPr>
                <w:rFonts w:ascii="Cambria Math" w:hAnsi="Cambria Math"/>
                <w:i/>
              </w:rPr>
            </m:ctrlPr>
          </m:e>
          <m:sub>
            <m:r>
              <m:rPr/>
              <w:rPr>
                <w:rFonts w:ascii="Cambria Math" w:hAnsi="Cambria Math"/>
              </w:rPr>
              <m:t>TN</m:t>
            </m:r>
            <m:ctrlPr>
              <w:rPr>
                <w:rFonts w:ascii="Cambria Math" w:hAnsi="Cambria Math"/>
                <w:i/>
              </w:rPr>
            </m:ctrlPr>
          </m:sub>
        </m:sSub>
      </m:oMath>
      <w:r>
        <w:t xml:space="preserve"> as depicted in figure 6.2.1.1-2.</w:t>
      </w:r>
    </w:p>
    <w:p/>
    <w:p>
      <w:pPr>
        <w:jc w:val="center"/>
        <w:rPr>
          <w:rFonts w:ascii="Calibri" w:hAnsi="Calibri" w:cs="Calibri"/>
          <w:sz w:val="22"/>
          <w:szCs w:val="22"/>
          <w:lang w:val="en-US" w:eastAsia="zh-CN"/>
        </w:rPr>
      </w:pPr>
      <w:r>
        <w:rPr>
          <w:rFonts w:ascii="Calibri" w:hAnsi="Calibri" w:cs="Calibri"/>
          <w:sz w:val="22"/>
          <w:szCs w:val="22"/>
          <w:lang w:val="en-US" w:eastAsia="zh-CN"/>
        </w:rPr>
        <w:drawing>
          <wp:inline distT="0" distB="0" distL="0" distR="0">
            <wp:extent cx="3249930" cy="232029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pPr>
        <w:jc w:val="center"/>
        <w:rPr>
          <w:rFonts w:ascii="Calibri" w:hAnsi="Calibri" w:cs="Calibri"/>
          <w:b/>
          <w:bCs/>
          <w:sz w:val="22"/>
          <w:szCs w:val="22"/>
          <w:lang w:val="en-US" w:eastAsia="zh-CN"/>
        </w:rPr>
      </w:pPr>
      <w:r>
        <w:rPr>
          <w:rFonts w:ascii="Calibri" w:hAnsi="Calibri" w:cs="Calibri"/>
          <w:b/>
          <w:bCs/>
          <w:sz w:val="22"/>
          <w:szCs w:val="22"/>
          <w:lang w:val="en-US" w:eastAsia="zh-CN"/>
        </w:rPr>
        <w:t>Figure 6.2.1.1-1 Network layout with TN network located close to ATG BS</w:t>
      </w:r>
    </w:p>
    <w:p>
      <w:pPr>
        <w:jc w:val="center"/>
        <w:rPr>
          <w:rFonts w:ascii="Calibri" w:hAnsi="Calibri" w:cs="Calibri"/>
          <w:b/>
          <w:bCs/>
          <w:sz w:val="22"/>
          <w:szCs w:val="22"/>
          <w:lang w:val="en-US" w:eastAsia="zh-CN"/>
        </w:rPr>
      </w:pPr>
    </w:p>
    <w:p>
      <w:pPr>
        <w:pStyle w:val="75"/>
      </w:pPr>
      <w:r>
        <w:object>
          <v:shape id="_x0000_i1026" o:spt="75" type="#_x0000_t75" style="height:219.9pt;width:288pt;" o:ole="t" filled="f" o:preferrelative="t" stroked="f" coordsize="21600,21600">
            <v:path/>
            <v:fill on="f" focussize="0,0"/>
            <v:stroke on="f" joinstyle="miter"/>
            <v:imagedata r:id="rId16" o:title=""/>
            <o:lock v:ext="edit" aspectratio="t"/>
            <w10:wrap type="none"/>
            <w10:anchorlock/>
          </v:shape>
          <o:OLEObject Type="Embed" ProgID="Visio.Drawing.15" ShapeID="_x0000_i1026" DrawAspect="Content" ObjectID="_1468075726" r:id="rId15">
            <o:LockedField>false</o:LockedField>
          </o:OLEObject>
        </w:object>
      </w:r>
    </w:p>
    <w:p>
      <w:pPr>
        <w:pStyle w:val="82"/>
      </w:pPr>
      <w:r>
        <w:t>Figure 6.2.1.1-2 Offset of ATG BS compared to TN BS grid when the TN cluster is located close to the ATG BS</w:t>
      </w:r>
    </w:p>
    <w:p/>
    <w:p>
      <w:r>
        <w:t>For the remaining simulation cases, if the ATG UE has an omnidirectional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p>
      <w:pPr>
        <w:jc w:val="center"/>
        <w:rPr>
          <w:rFonts w:ascii="Calibri" w:hAnsi="Calibri" w:cs="Calibri"/>
          <w:sz w:val="22"/>
          <w:szCs w:val="22"/>
          <w:lang w:val="en-US" w:eastAsia="zh-CN"/>
        </w:rPr>
      </w:pPr>
      <w:r>
        <w:rPr>
          <w:rFonts w:ascii="Calibri" w:hAnsi="Calibri" w:cs="Calibri"/>
          <w:sz w:val="22"/>
          <w:szCs w:val="22"/>
          <w:lang w:val="en-US" w:eastAsia="zh-CN"/>
        </w:rPr>
        <w:drawing>
          <wp:inline distT="0" distB="0" distL="0" distR="0">
            <wp:extent cx="3840480" cy="19659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pPr>
        <w:jc w:val="center"/>
        <w:rPr>
          <w:rFonts w:ascii="Calibri" w:hAnsi="Calibri" w:cs="Calibri"/>
          <w:b/>
          <w:bCs/>
          <w:sz w:val="22"/>
          <w:szCs w:val="22"/>
          <w:lang w:val="en-US" w:eastAsia="zh-CN"/>
        </w:rPr>
      </w:pPr>
      <w:r>
        <w:rPr>
          <w:rFonts w:ascii="Calibri" w:hAnsi="Calibri" w:cs="Calibri"/>
          <w:b/>
          <w:bCs/>
          <w:sz w:val="22"/>
          <w:szCs w:val="22"/>
          <w:lang w:val="en-US" w:eastAsia="zh-CN"/>
        </w:rPr>
        <w:t>Figure 6.2.1.1-3 Network layout with TN network located directly underneath the aircraft</w:t>
      </w:r>
    </w:p>
    <w:p>
      <w:pPr>
        <w:jc w:val="center"/>
      </w:pPr>
    </w:p>
    <w:p>
      <w:pPr>
        <w:keepNext/>
        <w:keepLines/>
        <w:spacing w:before="120"/>
        <w:ind w:left="1418" w:hanging="1418"/>
        <w:outlineLvl w:val="3"/>
        <w:rPr>
          <w:rFonts w:ascii="Arial" w:hAnsi="Arial"/>
          <w:sz w:val="24"/>
        </w:rPr>
      </w:pPr>
      <w:r>
        <w:rPr>
          <w:rFonts w:hint="eastAsia" w:ascii="Arial" w:hAnsi="Arial"/>
          <w:sz w:val="24"/>
          <w:lang w:eastAsia="zh-CN"/>
        </w:rPr>
        <w:t>6.2.1.</w:t>
      </w:r>
      <w:r>
        <w:rPr>
          <w:rFonts w:ascii="Arial" w:hAnsi="Arial"/>
          <w:sz w:val="24"/>
          <w:lang w:eastAsia="zh-CN"/>
        </w:rPr>
        <w:t>2</w:t>
      </w:r>
      <w:r>
        <w:rPr>
          <w:rFonts w:hint="eastAsia" w:ascii="Arial" w:hAnsi="Arial"/>
          <w:sz w:val="24"/>
          <w:lang w:eastAsia="zh-CN"/>
        </w:rPr>
        <w:t xml:space="preserve"> </w:t>
      </w:r>
      <w:r>
        <w:rPr>
          <w:rFonts w:ascii="Arial" w:hAnsi="Arial"/>
          <w:sz w:val="24"/>
        </w:rPr>
        <w:t>TN Network Layout</w:t>
      </w:r>
    </w:p>
    <w:p>
      <w:r>
        <w:t>A rural hexagonal grid layout is assumed for TN network clusters with the parameters of table 6.2.1.1.</w:t>
      </w:r>
    </w:p>
    <w:p>
      <w:pPr>
        <w:keepNext/>
        <w:keepLines/>
        <w:spacing w:before="60"/>
        <w:jc w:val="center"/>
        <w:rPr>
          <w:rFonts w:ascii="Arial" w:hAnsi="Arial"/>
          <w:b/>
        </w:rPr>
      </w:pPr>
      <w:r>
        <w:rPr>
          <w:rFonts w:ascii="Arial" w:hAnsi="Arial"/>
          <w:b/>
        </w:rPr>
        <w:t>Table 6.2.1.2-1: Simulation scenarios for ATG coexistence study</w:t>
      </w:r>
    </w:p>
    <w:tbl>
      <w:tblPr>
        <w:tblStyle w:val="49"/>
        <w:tblW w:w="9780" w:type="dxa"/>
        <w:tblInd w:w="534" w:type="dxa"/>
        <w:tblLayout w:type="autofit"/>
        <w:tblCellMar>
          <w:top w:w="0" w:type="dxa"/>
          <w:left w:w="0" w:type="dxa"/>
          <w:bottom w:w="0" w:type="dxa"/>
          <w:right w:w="0" w:type="dxa"/>
        </w:tblCellMar>
      </w:tblPr>
      <w:tblGrid>
        <w:gridCol w:w="837"/>
        <w:gridCol w:w="3845"/>
        <w:gridCol w:w="5098"/>
      </w:tblGrid>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Parameters</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Values</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Network layout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ascii="Arial" w:hAnsi="Arial" w:cs="Arial"/>
                <w:sz w:val="18"/>
                <w:lang w:eastAsia="ja-JP"/>
              </w:rPr>
              <w:t>For scenario 11: hexagonal grid, 37 macro sites, 3 sectors per site with wrap around</w:t>
            </w:r>
          </w:p>
          <w:p>
            <w:pPr>
              <w:keepNext/>
              <w:keepLines/>
              <w:spacing w:after="0"/>
              <w:jc w:val="center"/>
              <w:rPr>
                <w:rFonts w:ascii="Arial" w:hAnsi="Arial" w:eastAsia="MS PGothic" w:cs="Arial"/>
                <w:sz w:val="18"/>
                <w:lang w:eastAsia="ja-JP"/>
              </w:rPr>
            </w:pPr>
            <w:r>
              <w:rPr>
                <w:rFonts w:ascii="Arial" w:hAnsi="Arial" w:cs="Arial"/>
                <w:sz w:val="18"/>
                <w:lang w:eastAsia="ja-JP"/>
              </w:rPr>
              <w:t>For other scenarios:</w:t>
            </w:r>
            <w:r>
              <w:rPr>
                <w:rFonts w:ascii="Arial" w:hAnsi="Arial"/>
                <w:sz w:val="18"/>
                <w:lang w:eastAsia="ja-JP"/>
              </w:rPr>
              <w:t xml:space="preserve"> hexagonal grid, 19 macro sites, 3 sectors per site with wrap around</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Inter-site distance</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ascii="Arial" w:hAnsi="Arial" w:cs="Arial"/>
                <w:sz w:val="18"/>
                <w:lang w:eastAsia="ja-JP"/>
              </w:rPr>
              <w:t>7.5 km</w:t>
            </w:r>
            <w:r>
              <w:rPr>
                <w:rFonts w:hint="eastAsia" w:ascii="Arial" w:hAnsi="Arial" w:cs="Arial"/>
                <w:sz w:val="18"/>
                <w:lang w:eastAsia="ja-JP"/>
              </w:rPr>
              <w:t xml:space="preserve"> (</w:t>
            </w:r>
            <w:r>
              <w:rPr>
                <w:rFonts w:ascii="Arial" w:hAnsi="Arial" w:cs="Arial"/>
                <w:sz w:val="18"/>
                <w:lang w:eastAsia="ja-JP"/>
              </w:rPr>
              <w:t>4GHz)</w:t>
            </w:r>
          </w:p>
          <w:p>
            <w:pPr>
              <w:keepNext/>
              <w:keepLines/>
              <w:spacing w:after="0"/>
              <w:jc w:val="center"/>
              <w:rPr>
                <w:rFonts w:ascii="Arial" w:hAnsi="Arial" w:cs="Arial"/>
                <w:sz w:val="18"/>
                <w:lang w:eastAsia="ja-JP"/>
              </w:rPr>
            </w:pPr>
            <w:r>
              <w:rPr>
                <w:rFonts w:ascii="Arial" w:hAnsi="Arial" w:cs="Arial"/>
                <w:sz w:val="18"/>
                <w:lang w:eastAsia="ja-JP"/>
              </w:rPr>
              <w:t>3.5 k</w:t>
            </w:r>
            <w:r>
              <w:rPr>
                <w:rFonts w:hint="eastAsia" w:ascii="Arial" w:hAnsi="Arial" w:cs="Arial"/>
                <w:sz w:val="18"/>
                <w:lang w:eastAsia="ja-JP"/>
              </w:rPr>
              <w:t>m (</w:t>
            </w:r>
            <w:r>
              <w:rPr>
                <w:rFonts w:ascii="Arial" w:hAnsi="Arial" w:cs="Arial"/>
                <w:sz w:val="18"/>
                <w:lang w:eastAsia="ja-JP"/>
              </w:rPr>
              <w:t>2GHz</w:t>
            </w:r>
            <w:r>
              <w:rPr>
                <w:rFonts w:hint="eastAsia" w:ascii="Arial" w:hAnsi="Arial" w:cs="Arial"/>
                <w:sz w:val="18"/>
                <w:lang w:eastAsia="ja-JP"/>
              </w:rPr>
              <w:t>)</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BS antenna height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30 m</w:t>
            </w:r>
          </w:p>
        </w:tc>
      </w:tr>
      <w:tr>
        <w:tblPrEx>
          <w:tblCellMar>
            <w:top w:w="0" w:type="dxa"/>
            <w:left w:w="0" w:type="dxa"/>
            <w:bottom w:w="0" w:type="dxa"/>
            <w:right w:w="0" w:type="dxa"/>
          </w:tblCellMar>
        </w:tblPrEx>
        <w:tc>
          <w:tcPr>
            <w:tcW w:w="837"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UE location</w:t>
            </w: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Outdoor/indoor</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Outdoor only</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Indoor UE ratio</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ascii="Arial" w:hAnsi="Arial"/>
                <w:sz w:val="18"/>
                <w:lang w:eastAsia="ja-JP"/>
              </w:rPr>
              <w:t>0</w:t>
            </w:r>
            <w:r>
              <w:rPr>
                <w:rFonts w:hint="eastAsia" w:ascii="Arial" w:hAnsi="Arial"/>
                <w:sz w:val="18"/>
                <w:lang w:eastAsia="ja-JP"/>
              </w:rPr>
              <w:t>%</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LOS/NLOS</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LOS and NLOS, see subclause 6.2.5</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UE antenna height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val="nl-NL" w:eastAsia="ja-JP"/>
              </w:rPr>
              <w:t>1.5m</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UE distribution (horizontal)</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Uniform</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Minimum BS - UE distance (2D)</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35 m</w:t>
            </w:r>
          </w:p>
        </w:tc>
      </w:tr>
    </w:tbl>
    <w:p/>
    <w:p>
      <w:pPr>
        <w:keepNext/>
        <w:keepLines/>
        <w:spacing w:before="120"/>
        <w:ind w:left="1418" w:hanging="1418"/>
        <w:outlineLvl w:val="3"/>
        <w:rPr>
          <w:rFonts w:ascii="Arial" w:hAnsi="Arial"/>
          <w:sz w:val="24"/>
        </w:rPr>
      </w:pPr>
      <w:r>
        <w:rPr>
          <w:rFonts w:hint="eastAsia" w:ascii="Arial" w:hAnsi="Arial"/>
          <w:sz w:val="24"/>
          <w:lang w:eastAsia="zh-CN"/>
        </w:rPr>
        <w:t>6.2.1.</w:t>
      </w:r>
      <w:r>
        <w:rPr>
          <w:rFonts w:ascii="Arial" w:hAnsi="Arial"/>
          <w:sz w:val="24"/>
          <w:lang w:eastAsia="zh-CN"/>
        </w:rPr>
        <w:t>3</w:t>
      </w:r>
      <w:r>
        <w:rPr>
          <w:rFonts w:hint="eastAsia" w:ascii="Arial" w:hAnsi="Arial"/>
          <w:sz w:val="24"/>
          <w:lang w:eastAsia="zh-CN"/>
        </w:rPr>
        <w:t xml:space="preserve"> </w:t>
      </w:r>
      <w:r>
        <w:rPr>
          <w:rFonts w:ascii="Arial" w:hAnsi="Arial"/>
          <w:sz w:val="24"/>
        </w:rPr>
        <w:t>ATG Network Layout</w:t>
      </w:r>
    </w:p>
    <w:p>
      <w:pPr>
        <w:rPr>
          <w:iCs/>
          <w:lang w:eastAsia="zh-CN"/>
        </w:rPr>
      </w:pPr>
      <w:r>
        <w:rPr>
          <w:iCs/>
          <w:lang w:eastAsia="zh-CN"/>
        </w:rPr>
        <w:t xml:space="preserve">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6.2.1.3-1 and depend on the assumption of sub-arrays or not for the antenna model </w:t>
      </w:r>
    </w:p>
    <w:p>
      <w:pPr>
        <w:rPr>
          <w:iCs/>
          <w:lang w:eastAsia="zh-CN"/>
        </w:rPr>
      </w:pPr>
      <w:r>
        <w:rPr>
          <w:iCs/>
          <w:lang w:eastAsia="zh-CN"/>
        </w:rPr>
        <w:t>In the vertical domain, ATG UEs are distributed in height between 3000m and 10000m</w:t>
      </w:r>
    </w:p>
    <w:p>
      <w:pPr>
        <w:keepNext/>
        <w:keepLines/>
        <w:spacing w:before="60"/>
        <w:jc w:val="center"/>
        <w:rPr>
          <w:rFonts w:ascii="Arial" w:hAnsi="Arial"/>
          <w:b/>
        </w:rPr>
      </w:pPr>
      <w:r>
        <w:rPr>
          <w:rFonts w:ascii="Arial" w:hAnsi="Arial"/>
          <w:b/>
        </w:rPr>
        <w:t>Table 6.2.1.2-1: Simulation scenarios for ATG coexistence study</w:t>
      </w:r>
    </w:p>
    <w:tbl>
      <w:tblPr>
        <w:tblStyle w:val="49"/>
        <w:tblW w:w="9323" w:type="dxa"/>
        <w:tblInd w:w="534" w:type="dxa"/>
        <w:tblLayout w:type="autofit"/>
        <w:tblCellMar>
          <w:top w:w="0" w:type="dxa"/>
          <w:left w:w="0" w:type="dxa"/>
          <w:bottom w:w="0" w:type="dxa"/>
          <w:right w:w="0" w:type="dxa"/>
        </w:tblCellMar>
      </w:tblPr>
      <w:tblGrid>
        <w:gridCol w:w="4400"/>
        <w:gridCol w:w="2475"/>
        <w:gridCol w:w="2448"/>
      </w:tblGrid>
      <w:tr>
        <w:tblPrEx>
          <w:tblCellMar>
            <w:top w:w="0" w:type="dxa"/>
            <w:left w:w="0" w:type="dxa"/>
            <w:bottom w:w="0" w:type="dxa"/>
            <w:right w:w="0" w:type="dxa"/>
          </w:tblCellMar>
        </w:tblPrEx>
        <w:trPr>
          <w:trHeight w:val="193" w:hRule="atLeast"/>
        </w:trPr>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Parameters</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No sub-arrays</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b/>
                <w:sz w:val="18"/>
                <w:lang w:eastAsia="ja-JP"/>
              </w:rPr>
            </w:pPr>
            <w:r>
              <w:rPr>
                <w:rFonts w:ascii="Arial" w:hAnsi="Arial"/>
                <w:b/>
                <w:sz w:val="18"/>
                <w:lang w:eastAsia="ja-JP"/>
              </w:rPr>
              <w:t>Sub-arrays</w:t>
            </w:r>
          </w:p>
        </w:tc>
      </w:tr>
      <w:tr>
        <w:tblPrEx>
          <w:tblCellMar>
            <w:top w:w="0" w:type="dxa"/>
            <w:left w:w="0" w:type="dxa"/>
            <w:bottom w:w="0" w:type="dxa"/>
            <w:right w:w="0" w:type="dxa"/>
          </w:tblCellMar>
        </w:tblPrEx>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Minimum ATG BS-UE horizontal distance</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20km</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50km</w:t>
            </w:r>
          </w:p>
        </w:tc>
      </w:tr>
      <w:tr>
        <w:tblPrEx>
          <w:tblCellMar>
            <w:top w:w="0" w:type="dxa"/>
            <w:left w:w="0" w:type="dxa"/>
            <w:bottom w:w="0" w:type="dxa"/>
            <w:right w:w="0" w:type="dxa"/>
          </w:tblCellMar>
        </w:tblPrEx>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Maximum ATG BS-UE horizontal distance</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ascii="Arial" w:hAnsi="Arial" w:cs="Arial"/>
                <w:sz w:val="18"/>
                <w:lang w:eastAsia="ja-JP"/>
              </w:rPr>
              <w:t>100km</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cs="Arial"/>
                <w:sz w:val="18"/>
                <w:lang w:eastAsia="ja-JP"/>
              </w:rPr>
            </w:pPr>
            <w:r>
              <w:rPr>
                <w:rFonts w:ascii="Arial" w:hAnsi="Arial" w:cs="Arial"/>
                <w:sz w:val="18"/>
                <w:lang w:eastAsia="ja-JP"/>
              </w:rPr>
              <w:t>100km</w:t>
            </w:r>
          </w:p>
        </w:tc>
      </w:tr>
    </w:tbl>
    <w:p>
      <w:pPr>
        <w:rPr>
          <w:iCs/>
          <w:lang w:eastAsia="zh-CN"/>
        </w:rPr>
      </w:pPr>
    </w:p>
    <w:p>
      <w:pPr>
        <w:jc w:val="center"/>
        <w:rPr>
          <w:iCs/>
          <w:lang w:eastAsia="zh-CN"/>
        </w:rPr>
      </w:pPr>
      <w:r>
        <w:rPr>
          <w:iCs/>
          <w:lang w:eastAsia="zh-CN"/>
        </w:rPr>
        <w:drawing>
          <wp:inline distT="0" distB="0" distL="0" distR="0">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pPr>
        <w:jc w:val="center"/>
        <w:rPr>
          <w:rFonts w:ascii="Calibri" w:hAnsi="Calibri" w:cs="Calibri"/>
          <w:b/>
          <w:bCs/>
          <w:sz w:val="22"/>
          <w:szCs w:val="22"/>
          <w:lang w:val="en-US" w:eastAsia="zh-CN"/>
        </w:rPr>
      </w:pPr>
      <w:r>
        <w:rPr>
          <w:rFonts w:ascii="Calibri" w:hAnsi="Calibri" w:cs="Calibri"/>
          <w:b/>
          <w:bCs/>
          <w:sz w:val="22"/>
          <w:szCs w:val="22"/>
          <w:lang w:val="en-US" w:eastAsia="zh-CN"/>
        </w:rPr>
        <w:t>Figure 6.2.1.3-1 ATG BS layout (In horizontal boresight direction of ATG antenna)</w:t>
      </w:r>
    </w:p>
    <w:p>
      <w:pPr>
        <w:tabs>
          <w:tab w:val="left" w:pos="1622"/>
        </w:tabs>
        <w:spacing w:after="0" w:line="259" w:lineRule="auto"/>
        <w:rPr>
          <w:rFonts w:ascii="Arial" w:hAnsi="Arial" w:eastAsia="MS Mincho" w:cs="Arial"/>
          <w:szCs w:val="24"/>
          <w:lang w:val="en-US" w:eastAsia="zh-CN"/>
        </w:rPr>
      </w:pPr>
    </w:p>
    <w:p>
      <w:pPr>
        <w:rPr>
          <w:lang w:eastAsia="zh-CN"/>
        </w:rPr>
      </w:pPr>
      <w:r>
        <w:rPr>
          <w:lang w:eastAsia="zh-CN"/>
        </w:rPr>
        <w:t>For Scenarios 2, 3, 10, 11, in addition to simulations in the above assumptions some extra simulations were carried out in which the ATG UE is assumed to be around 300km from the ATG BS. The TN network is also located at 300km, and the ATG UE is assumed to be positioned within a straight line from the ATG BS and within the TN ground network area.</w:t>
      </w:r>
    </w:p>
    <w:p>
      <w:pPr>
        <w:numPr>
          <w:ilvl w:val="255"/>
          <w:numId w:val="0"/>
        </w:numPr>
        <w:overflowPunct/>
        <w:autoSpaceDE/>
        <w:autoSpaceDN/>
        <w:adjustRightInd/>
        <w:textAlignment w:val="auto"/>
        <w:rPr>
          <w:rFonts w:eastAsia="等线"/>
          <w:lang w:val="en-US" w:eastAsia="zh-CN" w:bidi="ar"/>
        </w:rPr>
      </w:pPr>
      <w:r>
        <w:rPr>
          <w:rFonts w:eastAsia="等线"/>
          <w:lang w:val="en-US" w:eastAsia="zh-CN" w:bidi="ar"/>
        </w:rPr>
        <w:t>For</w:t>
      </w:r>
      <w:r>
        <w:rPr>
          <w:rFonts w:hint="eastAsia" w:eastAsia="等线"/>
          <w:lang w:val="en-US" w:eastAsia="zh-CN" w:bidi="ar"/>
        </w:rPr>
        <w:t xml:space="preserve"> Scenario 2,3,10,11, it is agreed to</w:t>
      </w:r>
      <w:r>
        <w:rPr>
          <w:rFonts w:eastAsia="等线"/>
          <w:lang w:val="en-US" w:eastAsia="zh-CN" w:bidi="ar"/>
        </w:rPr>
        <w:t xml:space="preserve"> conclude simulation results based on that ATG UEs flying over a TN cluster while ATG BS is 100km away as shown below.</w:t>
      </w:r>
    </w:p>
    <w:p>
      <w:pPr>
        <w:pStyle w:val="73"/>
        <w:rPr>
          <w:rFonts w:eastAsia="等线"/>
          <w:lang w:val="en-US" w:eastAsia="ko" w:bidi="ar"/>
        </w:rPr>
      </w:pPr>
      <w:r>
        <w:rPr>
          <w:rFonts w:eastAsia="等线"/>
          <w:lang w:val="en-US" w:eastAsia="ko" w:bidi="ar"/>
        </w:rPr>
        <w:t>-</w:t>
      </w:r>
      <w:r>
        <w:rPr>
          <w:rFonts w:eastAsia="等线"/>
          <w:lang w:val="en-US" w:eastAsia="ko" w:bidi="ar"/>
        </w:rPr>
        <w:tab/>
      </w:r>
      <w:r>
        <w:rPr>
          <w:rFonts w:eastAsia="等线"/>
          <w:lang w:val="en-US" w:eastAsia="ko" w:bidi="ar"/>
        </w:rPr>
        <w:t xml:space="preserve">Optional: ATG BS is 300km away.  </w:t>
      </w:r>
    </w:p>
    <w:p>
      <w:pPr>
        <w:overflowPunct/>
        <w:autoSpaceDE/>
        <w:autoSpaceDN/>
        <w:adjustRightInd/>
        <w:spacing w:after="120"/>
        <w:textAlignment w:val="auto"/>
        <w:rPr>
          <w:szCs w:val="24"/>
          <w:lang w:val="en-US" w:eastAsia="zh-CN"/>
        </w:rPr>
      </w:pPr>
      <w:r>
        <w:rPr>
          <w:szCs w:val="24"/>
          <w:lang w:val="en-US" w:eastAsia="zh-CN" w:bidi="ar"/>
        </w:rPr>
        <w:t xml:space="preserve"> </w:t>
      </w:r>
    </w:p>
    <w:p>
      <w:pPr>
        <w:pStyle w:val="75"/>
        <w:rPr>
          <w:lang w:val="en-US" w:eastAsia="zh-CN" w:bidi="ar"/>
        </w:rPr>
      </w:pPr>
      <w:r>
        <w:rPr>
          <w:lang w:val="en-US" w:eastAsia="zh-CN" w:bidi="ar"/>
        </w:rPr>
        <w:drawing>
          <wp:inline distT="0" distB="0" distL="114300" distR="114300">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2978150" cy="1790700"/>
                    </a:xfrm>
                    <a:prstGeom prst="rect">
                      <a:avLst/>
                    </a:prstGeom>
                    <a:noFill/>
                    <a:ln>
                      <a:noFill/>
                    </a:ln>
                  </pic:spPr>
                </pic:pic>
              </a:graphicData>
            </a:graphic>
          </wp:inline>
        </w:drawing>
      </w:r>
    </w:p>
    <w:p>
      <w:pPr>
        <w:pStyle w:val="82"/>
        <w:rPr>
          <w:lang w:val="en-US" w:eastAsia="zh-CN"/>
        </w:rPr>
      </w:pPr>
      <w:r>
        <w:rPr>
          <w:lang w:val="en-US" w:eastAsia="zh-CN"/>
        </w:rPr>
        <w:t>Figure 6.2.1.3-</w:t>
      </w:r>
      <w:r>
        <w:rPr>
          <w:rFonts w:hint="eastAsia"/>
          <w:lang w:val="en-US" w:eastAsia="zh-CN"/>
        </w:rPr>
        <w:t>2</w:t>
      </w:r>
      <w:r>
        <w:rPr>
          <w:lang w:val="en-US" w:eastAsia="zh-CN"/>
        </w:rPr>
        <w:t xml:space="preserve"> ATG BS layout (</w:t>
      </w:r>
      <w:r>
        <w:rPr>
          <w:rFonts w:hint="eastAsia"/>
          <w:lang w:val="en-US" w:eastAsia="zh-CN"/>
        </w:rPr>
        <w:t>Case 2,3, 10 and 11</w:t>
      </w:r>
      <w:r>
        <w:rPr>
          <w:lang w:val="en-US" w:eastAsia="zh-CN"/>
        </w:rPr>
        <w:t>)</w:t>
      </w:r>
    </w:p>
    <w:p>
      <w:pPr>
        <w:overflowPunct/>
        <w:autoSpaceDE/>
        <w:autoSpaceDN/>
        <w:adjustRightInd/>
        <w:spacing w:after="160" w:line="259" w:lineRule="auto"/>
        <w:textAlignment w:val="auto"/>
        <w:rPr>
          <w:rFonts w:ascii="Arial" w:hAnsi="Arial" w:eastAsia="Calibri" w:cs="Arial"/>
          <w:szCs w:val="22"/>
          <w:lang w:val="en-US" w:eastAsia="ja-JP"/>
        </w:rPr>
      </w:pPr>
    </w:p>
    <w:p>
      <w:pPr>
        <w:overflowPunct/>
        <w:autoSpaceDE/>
        <w:autoSpaceDN/>
        <w:adjustRightInd/>
        <w:textAlignment w:val="auto"/>
        <w:rPr>
          <w:b/>
          <w:u w:val="single"/>
          <w:lang w:val="en-US" w:eastAsia="ko"/>
        </w:rPr>
      </w:pPr>
      <w:r>
        <w:rPr>
          <w:b/>
          <w:u w:val="single"/>
          <w:lang w:val="en-US" w:eastAsia="ko" w:bidi="ar"/>
        </w:rPr>
        <w:t>Issue 1-3-2: location relationship between ATG UE and TN network for non-synchronized scenario to conclude isolation distance</w:t>
      </w:r>
    </w:p>
    <w:p>
      <w:pPr>
        <w:overflowPunct/>
        <w:autoSpaceDE/>
        <w:autoSpaceDN/>
        <w:adjustRightInd/>
        <w:spacing w:after="120"/>
        <w:textAlignment w:val="auto"/>
        <w:rPr>
          <w:rFonts w:eastAsia="等线"/>
          <w:b/>
          <w:bCs/>
          <w:iCs/>
          <w:u w:val="single"/>
          <w:lang w:val="en-US" w:eastAsia="zh-CN"/>
        </w:rPr>
      </w:pPr>
      <w:r>
        <w:rPr>
          <w:rFonts w:eastAsia="等线"/>
          <w:b/>
          <w:bCs/>
          <w:iCs/>
          <w:u w:val="single"/>
          <w:lang w:val="en-US" w:eastAsia="zh-CN"/>
        </w:rPr>
        <w:t>FFS and conclude in May meeting to simulate the worst case.</w:t>
      </w:r>
    </w:p>
    <w:p>
      <w:pPr>
        <w:pStyle w:val="73"/>
        <w:rPr>
          <w:lang w:val="en-US" w:eastAsia="zh-CN"/>
        </w:rPr>
      </w:pPr>
      <w:r>
        <w:rPr>
          <w:lang w:val="en-US" w:eastAsia="zh-CN"/>
        </w:rPr>
        <w:t>-</w:t>
      </w:r>
      <w:r>
        <w:rPr>
          <w:lang w:val="en-US" w:eastAsia="zh-CN"/>
        </w:rPr>
        <w:tab/>
      </w:r>
      <w:r>
        <w:rPr>
          <w:lang w:val="en-US" w:eastAsia="zh-CN"/>
        </w:rPr>
        <w:t>ATG UE and T</w:t>
      </w:r>
      <w:r>
        <w:rPr>
          <w:rFonts w:eastAsia="宋体"/>
          <w:lang w:val="en-US" w:eastAsia="zh-CN"/>
        </w:rPr>
        <w:t>N</w:t>
      </w:r>
      <w:r>
        <w:rPr>
          <w:lang w:val="en-US" w:eastAsia="zh-CN"/>
        </w:rPr>
        <w:t xml:space="preserve"> cluster are on the same side of ATG BS, i.e. ATG BS actually point at TN cluster to consider the worst case.</w:t>
      </w:r>
    </w:p>
    <w:p>
      <w:pPr>
        <w:pStyle w:val="73"/>
        <w:rPr>
          <w:lang w:val="en-US" w:eastAsia="zh-CN"/>
        </w:rPr>
      </w:pPr>
      <w:r>
        <w:rPr>
          <w:lang w:val="en-US" w:eastAsia="zh-CN"/>
        </w:rPr>
        <w:t>-</w:t>
      </w:r>
      <w:r>
        <w:rPr>
          <w:lang w:val="en-US" w:eastAsia="zh-CN"/>
        </w:rPr>
        <w:tab/>
      </w:r>
      <w:r>
        <w:rPr>
          <w:lang w:val="en-US" w:eastAsia="zh-CN"/>
        </w:rPr>
        <w:t>Minimum distance between ATG BS and ATG UE is 20/50km</w:t>
      </w:r>
    </w:p>
    <w:p>
      <w:pPr>
        <w:pStyle w:val="73"/>
        <w:rPr>
          <w:lang w:val="en-US" w:eastAsia="zh-CN"/>
        </w:rPr>
      </w:pPr>
      <w:r>
        <w:rPr>
          <w:rFonts w:eastAsia="宋体"/>
          <w:lang w:val="en-US" w:eastAsia="zh-CN"/>
        </w:rPr>
        <w:t>-</w:t>
      </w:r>
      <w:r>
        <w:rPr>
          <w:rFonts w:eastAsia="宋体"/>
          <w:lang w:val="en-US" w:eastAsia="zh-CN"/>
        </w:rPr>
        <w:tab/>
      </w:r>
      <w:r>
        <w:rPr>
          <w:rFonts w:eastAsia="宋体"/>
          <w:lang w:val="en-US" w:eastAsia="zh-CN"/>
        </w:rPr>
        <w:t xml:space="preserve">There is no additional restriction between ATG BS and ATG UE. Companies are welcome to provide their results for worst case with detailed deployment illustration. </w:t>
      </w:r>
    </w:p>
    <w:p>
      <w:pPr>
        <w:pStyle w:val="73"/>
        <w:rPr>
          <w:lang w:val="en-US" w:eastAsia="zh-CN"/>
        </w:rPr>
      </w:pPr>
      <w:r>
        <w:rPr>
          <w:rFonts w:eastAsia="宋体"/>
          <w:lang w:val="en-US" w:eastAsia="zh-CN"/>
        </w:rPr>
        <w:t>-</w:t>
      </w:r>
      <w:r>
        <w:rPr>
          <w:rFonts w:eastAsia="宋体"/>
          <w:lang w:val="en-US" w:eastAsia="zh-CN"/>
        </w:rPr>
        <w:tab/>
      </w:r>
      <w:r>
        <w:rPr>
          <w:rFonts w:eastAsia="宋体"/>
          <w:lang w:val="en-US" w:eastAsia="zh-CN"/>
        </w:rPr>
        <w:t>Following show one example for simulation</w:t>
      </w:r>
    </w:p>
    <w:p>
      <w:pPr>
        <w:pStyle w:val="84"/>
        <w:rPr>
          <w:lang w:val="en-US" w:eastAsia="zh-CN"/>
        </w:rPr>
      </w:pPr>
      <w:r>
        <w:rPr>
          <w:lang w:val="en-US" w:eastAsia="zh-CN"/>
        </w:rPr>
        <w:t>-</w:t>
      </w:r>
      <w:r>
        <w:rPr>
          <w:lang w:val="en-US" w:eastAsia="zh-CN"/>
        </w:rPr>
        <w:tab/>
      </w:r>
      <w:r>
        <w:rPr>
          <w:lang w:val="en-US" w:eastAsia="zh-CN"/>
        </w:rPr>
        <w:t>if isolation distance between TN cluster and ATG BS is larger than 20/50km, ATG UE is always on top of TN cluster</w:t>
      </w:r>
    </w:p>
    <w:p>
      <w:pPr>
        <w:pStyle w:val="84"/>
        <w:rPr>
          <w:lang w:val="en-US" w:eastAsia="zh-CN" w:bidi="ar"/>
        </w:rPr>
      </w:pPr>
      <w:r>
        <w:rPr>
          <w:lang w:val="en-US" w:eastAsia="zh-CN"/>
        </w:rPr>
        <w:t>-</w:t>
      </w:r>
      <w:r>
        <w:rPr>
          <w:lang w:val="en-US" w:eastAsia="zh-CN"/>
        </w:rPr>
        <w:tab/>
      </w:r>
      <w:r>
        <w:rPr>
          <w:lang w:val="en-US" w:eastAsia="zh-CN"/>
        </w:rPr>
        <w:t>if isolation distance between TN cluster and ATG BS is less than 20/50km, ATG UE is dropped 20/50km distant from ATG BS</w:t>
      </w:r>
    </w:p>
    <w:p>
      <w:pPr>
        <w:pStyle w:val="73"/>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The isolation distance is the distance from the ATG BS to the nearest TN BS. The ATG BS sector and nearest TN BS sector should be pointing towards one another in azimuth. The diagram below is illustrative and does not capture this.</w:t>
      </w:r>
    </w:p>
    <w:p>
      <w:pPr>
        <w:overflowPunct/>
        <w:autoSpaceDE/>
        <w:autoSpaceDN/>
        <w:adjustRightInd/>
        <w:spacing w:after="120"/>
        <w:jc w:val="center"/>
        <w:textAlignment w:val="auto"/>
        <w:rPr>
          <w:lang w:val="en-US" w:eastAsia="zh-CN" w:bidi="ar"/>
        </w:rPr>
      </w:pPr>
      <w:r>
        <w:rPr>
          <w:lang w:val="en-US" w:eastAsia="zh-CN" w:bidi="ar"/>
        </w:rPr>
        <w:object>
          <v:shape id="_x0000_i1027" o:spt="75" type="#_x0000_t75" style="height:182.2pt;width:333.95pt;" o:ole="t" filled="f" o:preferrelative="t" stroked="f" coordsize="21600,21600">
            <v:path/>
            <v:fill on="f" focussize="0,0"/>
            <v:stroke on="f" joinstyle="miter"/>
            <v:imagedata r:id="rId21" o:title=""/>
            <o:lock v:ext="edit" aspectratio="t"/>
            <w10:wrap type="none"/>
            <w10:anchorlock/>
          </v:shape>
          <o:OLEObject Type="Embed" ProgID="Visio.Drawing.15" ShapeID="_x0000_i1027" DrawAspect="Content" ObjectID="_1468075727" r:id="rId20">
            <o:LockedField>false</o:LockedField>
          </o:OLEObject>
        </w:object>
      </w:r>
    </w:p>
    <w:p>
      <w:pPr>
        <w:overflowPunct/>
        <w:autoSpaceDE/>
        <w:autoSpaceDN/>
        <w:adjustRightInd/>
        <w:spacing w:after="160" w:line="259" w:lineRule="auto"/>
        <w:textAlignment w:val="auto"/>
        <w:rPr>
          <w:rFonts w:ascii="Arial" w:hAnsi="Arial" w:eastAsia="Calibri" w:cs="Arial"/>
          <w:szCs w:val="22"/>
          <w:lang w:val="en-US" w:eastAsia="ja-JP"/>
        </w:rPr>
      </w:pPr>
    </w:p>
    <w:p>
      <w:pPr>
        <w:overflowPunct/>
        <w:autoSpaceDE/>
        <w:autoSpaceDN/>
        <w:adjustRightInd/>
        <w:spacing w:after="160" w:line="259" w:lineRule="auto"/>
        <w:textAlignment w:val="auto"/>
        <w:rPr>
          <w:rFonts w:ascii="Arial" w:hAnsi="Arial" w:eastAsia="Calibri" w:cs="Arial"/>
          <w:szCs w:val="22"/>
          <w:lang w:val="en-US" w:eastAsia="ja-JP"/>
        </w:rPr>
      </w:pPr>
      <w:r>
        <w:rPr>
          <w:lang w:val="en-US" w:eastAsia="zh-CN" w:bidi="ar"/>
        </w:rPr>
        <w:pict>
          <v:shape id="Object 4" o:spid="_x0000_s2116" o:spt="75" type="#_x0000_t75" style="position:absolute;left:0pt;margin-left:124.65pt;margin-top:10.5pt;height:183pt;width:387.5pt;mso-wrap-distance-bottom:0pt;mso-wrap-distance-top:0pt;z-index:251659264;mso-width-relative:page;mso-height-relative:page;" o:ole="t" filled="f" o:preferrelative="t" stroked="f" coordsize="21600,21600">
            <v:path/>
            <v:fill on="f" focussize="0,0"/>
            <v:stroke on="f" joinstyle="miter"/>
            <v:imagedata r:id="rId23" o:title=""/>
            <o:lock v:ext="edit" aspectratio="t"/>
            <w10:wrap type="topAndBottom"/>
          </v:shape>
          <o:OLEObject Type="Embed" ProgID="Visio.Drawing.15" ShapeID="Object 4" DrawAspect="Content" ObjectID="_1468075728" r:id="rId22">
            <o:LockedField>false</o:LockedField>
          </o:OLEObject>
        </w:pict>
      </w:r>
    </w:p>
    <w:p>
      <w:pPr>
        <w:spacing w:after="160" w:line="259" w:lineRule="auto"/>
        <w:rPr>
          <w:rFonts w:ascii="Arial" w:hAnsi="Arial" w:eastAsia="Calibri" w:cs="Arial"/>
          <w:szCs w:val="22"/>
          <w:lang w:val="en-US" w:eastAsia="ja-JP"/>
        </w:rPr>
      </w:pPr>
    </w:p>
    <w:p>
      <w:pPr>
        <w:keepNext/>
        <w:keepLines/>
        <w:spacing w:before="120"/>
        <w:ind w:left="1134" w:hanging="1134"/>
        <w:outlineLvl w:val="2"/>
        <w:rPr>
          <w:rFonts w:ascii="Arial" w:hAnsi="Arial"/>
          <w:sz w:val="28"/>
        </w:rPr>
      </w:pPr>
      <w:r>
        <w:rPr>
          <w:rFonts w:hint="eastAsia" w:ascii="Arial" w:hAnsi="Arial"/>
          <w:sz w:val="28"/>
          <w:lang w:eastAsia="zh-CN"/>
        </w:rPr>
        <w:t xml:space="preserve">6.2.2 </w:t>
      </w:r>
      <w:r>
        <w:rPr>
          <w:rFonts w:ascii="Arial" w:hAnsi="Arial"/>
          <w:sz w:val="28"/>
        </w:rPr>
        <w:t>System parameters</w:t>
      </w:r>
    </w:p>
    <w:p>
      <w:pPr>
        <w:keepNext/>
        <w:keepLines/>
        <w:spacing w:before="120"/>
        <w:ind w:left="1418" w:hanging="1418"/>
        <w:outlineLvl w:val="3"/>
        <w:rPr>
          <w:rFonts w:ascii="Arial" w:hAnsi="Arial"/>
          <w:sz w:val="24"/>
        </w:rPr>
      </w:pPr>
      <w:r>
        <w:rPr>
          <w:rFonts w:hint="eastAsia" w:ascii="Arial" w:hAnsi="Arial"/>
          <w:sz w:val="24"/>
        </w:rPr>
        <w:t xml:space="preserve">6.2.2.1 </w:t>
      </w:r>
      <w:r>
        <w:rPr>
          <w:rFonts w:ascii="Arial" w:hAnsi="Arial"/>
          <w:sz w:val="24"/>
        </w:rPr>
        <w:t>ATG parameters</w:t>
      </w:r>
    </w:p>
    <w:p>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pPr>
        <w:keepNext/>
        <w:keepLines/>
        <w:spacing w:before="60"/>
        <w:jc w:val="center"/>
        <w:rPr>
          <w:rFonts w:ascii="Arial" w:hAnsi="Arial"/>
          <w:b/>
        </w:rPr>
      </w:pPr>
      <w:r>
        <w:rPr>
          <w:rFonts w:ascii="Arial" w:hAnsi="Arial"/>
          <w:b/>
        </w:rPr>
        <w:t>Table 6.2.2.1-1: system parameters for ATG BS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09"/>
        <w:gridCol w:w="7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 xml:space="preserve">ATG </w:t>
            </w:r>
            <w:r>
              <w:rPr>
                <w:rFonts w:ascii="Arial" w:hAnsi="Arial"/>
                <w:sz w:val="18"/>
                <w:lang w:eastAsia="zh-CN"/>
              </w:rPr>
              <w:t>BS</w:t>
            </w:r>
            <w:r>
              <w:rPr>
                <w:rFonts w:ascii="Arial" w:hAnsi="Arial"/>
                <w:sz w:val="18"/>
              </w:rPr>
              <w:t xml:space="preserve"> altitude </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30m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 xml:space="preserve">Carrier frequency </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 xml:space="preserve">2GHz, </w:t>
            </w:r>
            <w:r>
              <w:rPr>
                <w:rFonts w:hint="eastAsia" w:ascii="Arial" w:hAnsi="Arial"/>
                <w:sz w:val="18"/>
                <w:lang w:eastAsia="zh-CN"/>
              </w:rPr>
              <w:t>4</w:t>
            </w:r>
            <w:r>
              <w:rPr>
                <w:rFonts w:ascii="Arial" w:hAnsi="Arial"/>
                <w:sz w:val="18"/>
              </w:rPr>
              <w:t xml:space="preserve">GHz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Frequency reuse factor</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Duplex mode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FDD@2GHz, TDD@</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Channel bandwidth</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20MHz@2GHz, 100MHz@</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Subcarrier spacing (SCS)</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15k@2GHz, 30k@</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cells</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one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UE distribution</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Single ATG UE per ATG cell</w:t>
            </w:r>
          </w:p>
          <w:p>
            <w:pPr>
              <w:keepNext/>
              <w:keepLines/>
              <w:spacing w:after="20"/>
              <w:rPr>
                <w:rFonts w:ascii="Arial" w:hAnsi="Arial"/>
                <w:sz w:val="18"/>
              </w:rPr>
            </w:pPr>
            <w:r>
              <w:rPr>
                <w:rFonts w:ascii="Arial" w:hAnsi="Arial"/>
                <w:sz w:val="18"/>
              </w:rPr>
              <w:t xml:space="preserve">Horizontal: Random between minimum and maximum distance in the straight line </w:t>
            </w:r>
            <w:r>
              <w:rPr>
                <w:rFonts w:ascii="Arial" w:hAnsi="Arial"/>
                <w:sz w:val="18"/>
                <w:szCs w:val="18"/>
              </w:rPr>
              <w:t>within range described in section 6.2.1.3</w:t>
            </w:r>
          </w:p>
          <w:p>
            <w:pPr>
              <w:keepNext/>
              <w:keepLines/>
              <w:spacing w:after="20"/>
              <w:rPr>
                <w:rFonts w:ascii="Arial" w:hAnsi="Arial"/>
                <w:sz w:val="18"/>
              </w:rPr>
            </w:pPr>
            <w:r>
              <w:rPr>
                <w:rFonts w:ascii="Arial" w:hAnsi="Arial"/>
                <w:sz w:val="18"/>
              </w:rPr>
              <w:t>Vertical: Based on ATG UE uniform distribution among 3 to 10km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Indoor UE percentage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DL active UEs per cell (NOTE 2)</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one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UL active UEs per cell</w:t>
            </w:r>
          </w:p>
          <w:p>
            <w:pPr>
              <w:keepNext/>
              <w:keepLines/>
              <w:spacing w:after="20"/>
              <w:rPr>
                <w:rFonts w:ascii="Arial" w:hAnsi="Arial"/>
                <w:sz w:val="18"/>
              </w:rPr>
            </w:pPr>
            <w:r>
              <w:rPr>
                <w:rFonts w:ascii="Arial" w:hAnsi="Arial"/>
                <w:sz w:val="18"/>
              </w:rPr>
              <w:t>(NOTE 2)</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one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DL scheduled bandwidth per UE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Full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UL scheduled bandwidth per UE</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Full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lang w:eastAsia="zh-CN"/>
              </w:rPr>
              <w:t>UL target SNR (NOTE 3)</w:t>
            </w:r>
          </w:p>
        </w:tc>
        <w:tc>
          <w:tcPr>
            <w:tcW w:w="0" w:type="auto"/>
            <w:tcMar>
              <w:top w:w="28" w:type="dxa"/>
              <w:bottom w:w="28" w:type="dxa"/>
            </w:tcMar>
            <w:vAlign w:val="center"/>
          </w:tcPr>
          <w:p>
            <w:pPr>
              <w:keepNext/>
              <w:keepLines/>
              <w:spacing w:after="20"/>
              <w:rPr>
                <w:rFonts w:ascii="Arial" w:hAnsi="Arial"/>
                <w:sz w:val="18"/>
                <w:lang w:eastAsia="zh-CN"/>
              </w:rPr>
            </w:pPr>
            <w:r>
              <w:rPr>
                <w:rFonts w:hint="eastAsia" w:ascii="Arial" w:hAnsi="Arial"/>
                <w:sz w:val="18"/>
                <w:lang w:eastAsia="zh-CN"/>
              </w:rPr>
              <w:t>1</w:t>
            </w:r>
            <w:r>
              <w:rPr>
                <w:rFonts w:ascii="Arial" w:hAnsi="Arial"/>
                <w:sz w:val="18"/>
                <w:lang w:eastAsia="zh-CN"/>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Traffic model</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Full 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ATG BS</w:t>
            </w:r>
            <w:r>
              <w:rPr>
                <w:rFonts w:ascii="Arial" w:hAnsi="Arial"/>
                <w:sz w:val="18"/>
              </w:rPr>
              <w:t xml:space="preserve"> maximum output power</w:t>
            </w:r>
          </w:p>
        </w:tc>
        <w:tc>
          <w:tcPr>
            <w:tcW w:w="0" w:type="auto"/>
            <w:tcMar>
              <w:top w:w="28" w:type="dxa"/>
              <w:bottom w:w="28" w:type="dxa"/>
            </w:tcMar>
            <w:vAlign w:val="center"/>
          </w:tcPr>
          <w:p>
            <w:pPr>
              <w:keepNext/>
              <w:keepLines/>
              <w:spacing w:after="20"/>
              <w:rPr>
                <w:rFonts w:ascii="Arial" w:hAnsi="Arial" w:eastAsia="宋体"/>
                <w:sz w:val="18"/>
                <w:lang w:eastAsia="zh-CN"/>
              </w:rPr>
            </w:pPr>
            <w:r>
              <w:rPr>
                <w:rFonts w:ascii="Arial" w:hAnsi="Arial" w:eastAsia="宋体"/>
                <w:sz w:val="18"/>
                <w:lang w:eastAsia="zh-CN"/>
              </w:rPr>
              <w:t>46dBm sum of two polarizations</w:t>
            </w:r>
            <w:r>
              <w:rPr>
                <w:rFonts w:hint="eastAsia" w:ascii="Arial" w:hAnsi="Arial" w:eastAsia="宋体"/>
                <w:sz w:val="18"/>
                <w:lang w:eastAsia="zh-CN"/>
              </w:rPr>
              <w:t xml:space="preserve"> </w:t>
            </w:r>
            <w:r>
              <w:rPr>
                <w:rFonts w:ascii="Arial" w:hAnsi="Arial" w:eastAsia="宋体"/>
                <w:sz w:val="18"/>
                <w:lang w:eastAsia="zh-CN"/>
              </w:rPr>
              <w:t>for 2GHz</w:t>
            </w:r>
          </w:p>
          <w:p>
            <w:pPr>
              <w:keepNext/>
              <w:keepLines/>
              <w:spacing w:after="20"/>
              <w:rPr>
                <w:rFonts w:ascii="Arial" w:hAnsi="Arial" w:eastAsia="宋体"/>
                <w:sz w:val="18"/>
                <w:lang w:eastAsia="zh-CN"/>
              </w:rPr>
            </w:pPr>
            <w:r>
              <w:rPr>
                <w:rFonts w:hint="eastAsia" w:ascii="Arial" w:hAnsi="Arial" w:eastAsia="宋体"/>
                <w:sz w:val="18"/>
                <w:lang w:eastAsia="zh-CN"/>
              </w:rPr>
              <w:t xml:space="preserve">53dBm </w:t>
            </w:r>
            <w:r>
              <w:rPr>
                <w:rFonts w:ascii="Arial" w:hAnsi="Arial"/>
                <w:sz w:val="18"/>
                <w:lang w:eastAsia="zh-CN"/>
              </w:rPr>
              <w:t>sum of two polarizations</w:t>
            </w:r>
            <w:r>
              <w:rPr>
                <w:rFonts w:hint="eastAsia" w:ascii="Arial" w:hAnsi="Arial" w:eastAsia="宋体"/>
                <w:sz w:val="18"/>
                <w:lang w:eastAsia="zh-CN"/>
              </w:rPr>
              <w:t xml:space="preserve">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ATG BS</w:t>
            </w:r>
            <w:r>
              <w:rPr>
                <w:rFonts w:ascii="Arial" w:hAnsi="Arial"/>
                <w:sz w:val="18"/>
              </w:rPr>
              <w:t xml:space="preserve"> noise figure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lang w:eastAsia="zh-CN"/>
              </w:rPr>
              <w:t>Handover margin</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2"/>
            <w:tcMar>
              <w:top w:w="28" w:type="dxa"/>
              <w:bottom w:w="28" w:type="dxa"/>
            </w:tcMar>
            <w:vAlign w:val="center"/>
          </w:tcPr>
          <w:p>
            <w:pPr>
              <w:keepNext/>
              <w:keepLines/>
              <w:spacing w:after="20"/>
              <w:rPr>
                <w:rFonts w:ascii="Arial" w:hAnsi="Arial"/>
                <w:sz w:val="18"/>
                <w:lang w:eastAsia="zh-CN"/>
              </w:rPr>
            </w:pPr>
            <w:r>
              <w:rPr>
                <w:rFonts w:ascii="Arial" w:hAnsi="Arial"/>
                <w:sz w:val="18"/>
              </w:rPr>
              <w:t>NOTE 1:</w:t>
            </w:r>
            <w:r>
              <w:rPr>
                <w:rFonts w:ascii="Arial" w:hAnsi="Arial"/>
                <w:sz w:val="18"/>
                <w:lang w:eastAsia="zh-CN"/>
              </w:rPr>
              <w:t xml:space="preserve"> </w:t>
            </w:r>
            <w:r>
              <w:rPr>
                <w:rFonts w:ascii="Arial" w:hAnsi="Arial"/>
                <w:sz w:val="18"/>
                <w:lang w:eastAsia="zh-CN"/>
              </w:rPr>
              <w:tab/>
            </w:r>
            <w:r>
              <w:rPr>
                <w:rFonts w:hint="eastAsia" w:ascii="Arial" w:hAnsi="Arial"/>
                <w:sz w:val="18"/>
                <w:lang w:eastAsia="zh-CN"/>
              </w:rPr>
              <w:t>ATG BS</w:t>
            </w:r>
            <w:r>
              <w:rPr>
                <w:rFonts w:ascii="Arial" w:hAnsi="Arial"/>
                <w:sz w:val="18"/>
              </w:rPr>
              <w:t xml:space="preserve"> is assumed to serve UEs in the rural environment</w:t>
            </w:r>
            <w:r>
              <w:rPr>
                <w:rFonts w:hint="eastAsia" w:ascii="Arial" w:hAnsi="Arial"/>
                <w:sz w:val="18"/>
                <w:lang w:eastAsia="zh-CN"/>
              </w:rPr>
              <w:t>.</w:t>
            </w:r>
          </w:p>
          <w:p>
            <w:pPr>
              <w:keepNext/>
              <w:keepLines/>
              <w:spacing w:after="20"/>
              <w:rPr>
                <w:rFonts w:ascii="Arial" w:hAnsi="Arial"/>
                <w:sz w:val="18"/>
              </w:rPr>
            </w:pPr>
            <w:r>
              <w:rPr>
                <w:rFonts w:ascii="Arial" w:hAnsi="Arial"/>
                <w:sz w:val="18"/>
              </w:rPr>
              <w:t>NOTE 2:</w:t>
            </w:r>
            <w:r>
              <w:rPr>
                <w:rFonts w:ascii="Arial" w:hAnsi="Arial"/>
                <w:sz w:val="18"/>
              </w:rPr>
              <w:tab/>
            </w:r>
            <w:r>
              <w:rPr>
                <w:rFonts w:ascii="Arial" w:hAnsi="Arial"/>
                <w:sz w:val="18"/>
              </w:rPr>
              <w:t>Same as the number of BS beam(s).</w:t>
            </w:r>
          </w:p>
          <w:p>
            <w:pPr>
              <w:keepNext/>
              <w:keepLines/>
              <w:spacing w:after="20"/>
              <w:ind w:left="900" w:hanging="900" w:hangingChars="500"/>
              <w:rPr>
                <w:rFonts w:ascii="Arial" w:hAnsi="Arial"/>
                <w:sz w:val="18"/>
              </w:rPr>
            </w:pPr>
            <w:r>
              <w:rPr>
                <w:rFonts w:ascii="Arial" w:hAnsi="Arial"/>
                <w:sz w:val="18"/>
              </w:rPr>
              <w:t>NOTE 3:</w:t>
            </w:r>
            <w:r>
              <w:rPr>
                <w:rFonts w:ascii="Arial" w:hAnsi="Arial"/>
                <w:sz w:val="18"/>
              </w:rPr>
              <w:tab/>
            </w:r>
            <w:r>
              <w:rPr>
                <w:rFonts w:ascii="Arial" w:hAnsi="Arial"/>
                <w:sz w:val="18"/>
              </w:rPr>
              <w:t>Target SNR for simulation is based on CL values and only compensates pathloss in the simulation assumptions.</w:t>
            </w:r>
          </w:p>
          <w:p>
            <w:pPr>
              <w:keepNext/>
              <w:keepLines/>
              <w:spacing w:after="20"/>
              <w:rPr>
                <w:rFonts w:ascii="Arial" w:hAnsi="Arial"/>
                <w:sz w:val="18"/>
              </w:rPr>
            </w:pPr>
          </w:p>
        </w:tc>
      </w:tr>
    </w:tbl>
    <w:p/>
    <w:p>
      <w:pPr>
        <w:keepNext/>
        <w:keepLines/>
        <w:spacing w:before="120"/>
        <w:ind w:left="1418" w:hanging="1418"/>
        <w:outlineLvl w:val="3"/>
        <w:rPr>
          <w:rFonts w:ascii="Arial" w:hAnsi="Arial"/>
          <w:sz w:val="24"/>
        </w:rPr>
      </w:pPr>
      <w:r>
        <w:rPr>
          <w:rFonts w:hint="eastAsia" w:ascii="Arial" w:hAnsi="Arial"/>
          <w:sz w:val="24"/>
        </w:rPr>
        <w:t xml:space="preserve">6.2.2.2 </w:t>
      </w:r>
      <w:r>
        <w:rPr>
          <w:rFonts w:ascii="Arial" w:hAnsi="Arial"/>
          <w:sz w:val="24"/>
        </w:rPr>
        <w:t>ATG UE parameters</w:t>
      </w:r>
    </w:p>
    <w:p>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pPr>
        <w:keepNext/>
        <w:keepLines/>
        <w:spacing w:before="60"/>
        <w:jc w:val="center"/>
        <w:rPr>
          <w:rFonts w:ascii="Arial" w:hAnsi="Arial"/>
          <w:b/>
          <w:lang w:val="en-US" w:eastAsia="zh-CN"/>
        </w:rPr>
      </w:pPr>
      <w:r>
        <w:rPr>
          <w:rFonts w:ascii="Arial" w:hAnsi="Arial"/>
          <w:b/>
        </w:rPr>
        <w:t>Table 6.2.2.</w:t>
      </w:r>
      <w:r>
        <w:rPr>
          <w:rFonts w:hint="eastAsia" w:ascii="Arial" w:hAnsi="Arial"/>
          <w:b/>
          <w:lang w:val="en-US" w:eastAsia="zh-CN"/>
        </w:rPr>
        <w:t>2</w:t>
      </w:r>
      <w:r>
        <w:rPr>
          <w:rFonts w:ascii="Arial" w:hAnsi="Arial"/>
          <w:b/>
        </w:rPr>
        <w:t xml:space="preserve">-1: system parameters for ATG </w:t>
      </w:r>
      <w:r>
        <w:rPr>
          <w:rFonts w:hint="eastAsia" w:ascii="Arial" w:hAnsi="Arial"/>
          <w:b/>
          <w:lang w:val="en-US" w:eastAsia="zh-CN"/>
        </w:rPr>
        <w:t>UE</w:t>
      </w:r>
    </w:p>
    <w:tbl>
      <w:tblPr>
        <w:tblStyle w:val="49"/>
        <w:tblW w:w="59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7"/>
        <w:gridCol w:w="4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altitude </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lang w:eastAsia="zh-CN"/>
              </w:rPr>
            </w:pPr>
            <w:r>
              <w:rPr>
                <w:rFonts w:ascii="Arial" w:hAnsi="Arial"/>
                <w:sz w:val="18"/>
              </w:rPr>
              <w:t>Vertical: Distributed between 3km and 10km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ascii="Arial" w:hAnsi="Arial" w:cs="宋体"/>
                <w:sz w:val="18"/>
                <w:szCs w:val="24"/>
              </w:rPr>
              <w:t xml:space="preserve">Carrier frequency </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lang w:eastAsia="zh-CN"/>
              </w:rPr>
            </w:pPr>
            <w:r>
              <w:rPr>
                <w:rFonts w:ascii="Arial" w:hAnsi="Arial" w:cs="宋体"/>
                <w:sz w:val="18"/>
                <w:szCs w:val="24"/>
              </w:rPr>
              <w:t>2</w:t>
            </w:r>
            <w:r>
              <w:rPr>
                <w:rFonts w:hint="eastAsia" w:ascii="Arial" w:hAnsi="Arial" w:eastAsia="宋体" w:cs="宋体"/>
                <w:sz w:val="18"/>
                <w:szCs w:val="24"/>
                <w:lang w:eastAsia="zh-CN"/>
              </w:rPr>
              <w:t>GHz</w:t>
            </w:r>
            <w:r>
              <w:rPr>
                <w:rFonts w:ascii="Arial" w:hAnsi="Arial" w:cs="宋体"/>
                <w:sz w:val="18"/>
                <w:szCs w:val="24"/>
              </w:rPr>
              <w:t xml:space="preserve">, </w:t>
            </w:r>
            <w:r>
              <w:rPr>
                <w:rFonts w:hint="eastAsia" w:ascii="Arial" w:hAnsi="Arial" w:eastAsia="宋体" w:cs="宋体"/>
                <w:sz w:val="18"/>
                <w:szCs w:val="24"/>
                <w:lang w:eastAsia="zh-CN"/>
              </w:rPr>
              <w:t>4</w:t>
            </w:r>
            <w:r>
              <w:rPr>
                <w:rFonts w:ascii="Arial" w:hAnsi="Arial" w:cs="宋体"/>
                <w:sz w:val="18"/>
                <w:szCs w:val="24"/>
              </w:rPr>
              <w:t xml:space="preserve">GHz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max TX power in dBm</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ascii="Arial" w:hAnsi="Arial" w:cs="宋体"/>
                <w:sz w:val="18"/>
                <w:szCs w:val="24"/>
              </w:rPr>
              <w:t>40dBm TRP for 2GHz</w:t>
            </w:r>
          </w:p>
          <w:p>
            <w:pPr>
              <w:keepNext/>
              <w:keepLines/>
              <w:spacing w:before="100" w:beforeAutospacing="1" w:after="100" w:afterAutospacing="1"/>
              <w:rPr>
                <w:rFonts w:ascii="Arial" w:hAnsi="Arial" w:eastAsia="宋体" w:cs="宋体"/>
                <w:sz w:val="18"/>
                <w:szCs w:val="24"/>
                <w:lang w:eastAsia="zh-CN"/>
              </w:rPr>
            </w:pPr>
            <w:r>
              <w:rPr>
                <w:rFonts w:ascii="Arial" w:hAnsi="Arial" w:cs="宋体"/>
                <w:sz w:val="18"/>
                <w:szCs w:val="24"/>
              </w:rPr>
              <w:t>43dBm EIRP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rPr>
              <w:t xml:space="preserve">ATG </w:t>
            </w:r>
            <w:r>
              <w:rPr>
                <w:rFonts w:ascii="Arial" w:hAnsi="Arial" w:cs="宋体"/>
                <w:sz w:val="18"/>
                <w:szCs w:val="24"/>
              </w:rPr>
              <w:t>UE min TX power in dBm</w:t>
            </w:r>
          </w:p>
        </w:tc>
        <w:tc>
          <w:tcPr>
            <w:tcW w:w="4900" w:type="dxa"/>
            <w:tcMar>
              <w:top w:w="28" w:type="dxa"/>
              <w:bottom w:w="28" w:type="dxa"/>
            </w:tcMar>
            <w:vAlign w:val="center"/>
          </w:tcPr>
          <w:p>
            <w:r>
              <w:rPr>
                <w:rFonts w:hint="eastAsia"/>
              </w:rPr>
              <w:t>[-33dBm] for 100MHz</w:t>
            </w:r>
          </w:p>
          <w:p>
            <w:r>
              <w:rPr>
                <w:rFonts w:hint="eastAsia"/>
              </w:rPr>
              <w:t>[-40dBm] for 20MHz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noise figure</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eastAsia="宋体" w:cs="宋体"/>
                <w:sz w:val="18"/>
                <w:szCs w:val="24"/>
                <w:lang w:eastAsia="zh-CN"/>
              </w:rPr>
              <w:t>9dB</w:t>
            </w:r>
          </w:p>
        </w:tc>
      </w:tr>
    </w:tbl>
    <w:p/>
    <w:p>
      <w:pPr>
        <w:keepNext/>
        <w:keepLines/>
        <w:spacing w:before="120"/>
        <w:ind w:left="1418" w:hanging="1418"/>
        <w:outlineLvl w:val="3"/>
        <w:rPr>
          <w:rFonts w:ascii="Arial" w:hAnsi="Arial"/>
          <w:sz w:val="24"/>
        </w:rPr>
      </w:pPr>
      <w:r>
        <w:rPr>
          <w:rFonts w:hint="eastAsia" w:ascii="Arial" w:hAnsi="Arial"/>
          <w:sz w:val="24"/>
        </w:rPr>
        <w:t xml:space="preserve">6.2.2.3 </w:t>
      </w:r>
      <w:r>
        <w:rPr>
          <w:rFonts w:ascii="Arial" w:hAnsi="Arial"/>
          <w:sz w:val="24"/>
        </w:rPr>
        <w:t>TN BS and UE parameters</w:t>
      </w:r>
    </w:p>
    <w:p>
      <w:pPr>
        <w:rPr>
          <w:lang w:eastAsia="zh-CN"/>
        </w:rPr>
      </w:pPr>
      <w:r>
        <w:rPr>
          <w:lang w:eastAsia="zh-CN"/>
        </w:rPr>
        <w:t>The system parameters for TN BS and TN UE are assumed as below.</w:t>
      </w:r>
    </w:p>
    <w:p>
      <w:pPr>
        <w:keepNext/>
        <w:keepLines/>
        <w:spacing w:before="60"/>
        <w:jc w:val="center"/>
        <w:rPr>
          <w:rFonts w:ascii="Arial" w:hAnsi="Arial"/>
          <w:b/>
        </w:rPr>
      </w:pPr>
      <w:r>
        <w:rPr>
          <w:rFonts w:ascii="Arial" w:hAnsi="Arial"/>
          <w:b/>
        </w:rPr>
        <w:t>Table 6.2.2.3-1: system parameters for TN BS and UE</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0"/>
        <w:gridCol w:w="1275"/>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b/>
                <w:sz w:val="18"/>
                <w:lang w:eastAsia="ja-JP"/>
              </w:rPr>
            </w:pPr>
            <w:r>
              <w:rPr>
                <w:rFonts w:ascii="Arial" w:hAnsi="Arial" w:eastAsia="MS Mincho"/>
                <w:b/>
                <w:sz w:val="18"/>
              </w:rPr>
              <w:t>Parameters</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zh-CN"/>
              </w:rPr>
            </w:pPr>
            <w:r>
              <w:rPr>
                <w:rFonts w:hint="eastAsia" w:ascii="Arial" w:hAnsi="Arial" w:eastAsia="宋体"/>
                <w:b/>
                <w:sz w:val="18"/>
                <w:lang w:eastAsia="zh-CN"/>
              </w:rPr>
              <w:t>R</w:t>
            </w:r>
            <w:r>
              <w:rPr>
                <w:rFonts w:ascii="Arial" w:hAnsi="Arial" w:eastAsia="宋体"/>
                <w:b/>
                <w:sz w:val="18"/>
                <w:lang w:eastAsia="zh-CN"/>
              </w:rPr>
              <w:t>ural</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zh-CN"/>
              </w:rPr>
            </w:pPr>
            <w:r>
              <w:rPr>
                <w:rFonts w:hint="eastAsia" w:ascii="Arial" w:hAnsi="Arial" w:eastAsia="宋体"/>
                <w:b/>
                <w:sz w:val="18"/>
                <w:lang w:eastAsia="zh-CN"/>
              </w:rPr>
              <w:t>R</w:t>
            </w:r>
            <w:r>
              <w:rPr>
                <w:rFonts w:ascii="Arial" w:hAnsi="Arial" w:eastAsia="宋体"/>
                <w:b/>
                <w:sz w:val="18"/>
                <w:lang w:eastAsia="zh-CN"/>
              </w:rPr>
              <w:t>ural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Carrier frequency</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bCs/>
                <w:sz w:val="18"/>
                <w:lang w:eastAsia="zh-CN"/>
              </w:rPr>
            </w:pPr>
            <w:r>
              <w:rPr>
                <w:rFonts w:ascii="Arial" w:hAnsi="Arial" w:eastAsia="宋体"/>
                <w:bCs/>
                <w:sz w:val="18"/>
                <w:lang w:eastAsia="zh-CN"/>
              </w:rPr>
              <w:t>2GHz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ascii="Arial" w:hAnsi="Arial" w:eastAsia="宋体"/>
                <w:sz w:val="18"/>
                <w:lang w:eastAsia="zh-CN"/>
              </w:rPr>
              <w:t>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Channel bandwidth</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2</w:t>
            </w:r>
            <w:r>
              <w:rPr>
                <w:rFonts w:ascii="Arial" w:hAnsi="Arial" w:eastAsia="宋体"/>
                <w:sz w:val="18"/>
                <w:lang w:eastAsia="zh-CN"/>
              </w:rPr>
              <w:t>0MHz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r>
              <w:rPr>
                <w:rFonts w:ascii="Arial" w:hAnsi="Arial" w:eastAsia="宋体"/>
                <w:sz w:val="18"/>
                <w:lang w:eastAsia="zh-CN"/>
              </w:rPr>
              <w:t>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Scheduled channel bandwidth per UE (DL)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Scheduled channel bandwidth per UE (UL)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val="de-DE" w:eastAsia="zh-CN"/>
              </w:rPr>
            </w:pPr>
            <w:r>
              <w:rPr>
                <w:rFonts w:ascii="Arial" w:hAnsi="Arial" w:eastAsia="宋体"/>
                <w:sz w:val="18"/>
                <w:lang w:val="de-DE"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val="de-DE" w:eastAsia="zh-CN"/>
              </w:rPr>
            </w:pPr>
            <w:r>
              <w:rPr>
                <w:rFonts w:ascii="Arial" w:hAnsi="Arial" w:eastAsia="宋体"/>
                <w:sz w:val="18"/>
                <w:lang w:val="de-DE"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The number of active UE (DL) (NOTE 1)</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eastAsia="MS Mincho"/>
                <w:sz w:val="18"/>
                <w:lang w:eastAsia="ja-JP"/>
              </w:rPr>
              <w:t>The number of active UE (UL) (NOTE 1)</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Traffic model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f</w:t>
            </w:r>
            <w:r>
              <w:rPr>
                <w:rFonts w:ascii="Arial" w:hAnsi="Arial" w:eastAsia="宋体"/>
                <w:sz w:val="18"/>
                <w:lang w:eastAsia="zh-CN"/>
              </w:rPr>
              <w:t>ull buffer</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hint="eastAsia" w:ascii="Arial" w:hAnsi="Arial" w:eastAsia="宋体"/>
                <w:sz w:val="18"/>
                <w:lang w:eastAsia="zh-CN"/>
              </w:rPr>
              <w:t>f</w:t>
            </w:r>
            <w:r>
              <w:rPr>
                <w:rFonts w:ascii="Arial" w:hAnsi="Arial" w:eastAsia="宋体"/>
                <w:sz w:val="18"/>
                <w:lang w:eastAsia="zh-CN"/>
              </w:rPr>
              <w:t>ull 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DL power control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N</w:t>
            </w:r>
            <w:r>
              <w:rPr>
                <w:rFonts w:ascii="Arial" w:hAnsi="Arial" w:eastAsia="宋体"/>
                <w:sz w:val="18"/>
                <w:lang w:eastAsia="zh-CN"/>
              </w:rPr>
              <w:t>o</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N</w:t>
            </w:r>
            <w:r>
              <w:rPr>
                <w:rFonts w:ascii="Arial" w:hAnsi="Arial" w:eastAsia="宋体"/>
                <w:sz w:val="18"/>
                <w:lang w:eastAsia="zh-CN"/>
              </w:rPr>
              <w: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sz w:val="18"/>
                <w:lang w:eastAsia="ja-JP"/>
              </w:rPr>
              <w:t>UL power control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Y</w:t>
            </w:r>
            <w:r>
              <w:rPr>
                <w:rFonts w:ascii="Arial" w:hAnsi="Arial" w:eastAsia="宋体"/>
                <w:sz w:val="18"/>
                <w:lang w:eastAsia="zh-CN"/>
              </w:rPr>
              <w:t>es</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Y</w:t>
            </w:r>
            <w:r>
              <w:rPr>
                <w:rFonts w:ascii="Arial" w:hAnsi="Arial" w:eastAsia="宋体"/>
                <w:sz w:val="18"/>
                <w:lang w:eastAsia="zh-CN"/>
              </w:rPr>
              <w: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hint="eastAsia" w:ascii="Arial" w:hAnsi="Arial"/>
                <w:sz w:val="18"/>
                <w:lang w:eastAsia="zh-CN"/>
              </w:rPr>
              <w:t>U</w:t>
            </w:r>
            <w:r>
              <w:rPr>
                <w:rFonts w:ascii="Arial" w:hAnsi="Arial"/>
                <w:sz w:val="18"/>
                <w:lang w:eastAsia="zh-CN"/>
              </w:rPr>
              <w:t>L target SNR (NOTE 3)</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r>
              <w:rPr>
                <w:rFonts w:ascii="Arial" w:hAnsi="Arial" w:eastAsia="宋体"/>
                <w:sz w:val="18"/>
                <w:lang w:eastAsia="zh-CN"/>
              </w:rPr>
              <w:t>5dB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r>
              <w:rPr>
                <w:rFonts w:ascii="Arial" w:hAnsi="Arial" w:eastAsia="宋体"/>
                <w:sz w:val="18"/>
                <w:lang w:eastAsia="zh-CN"/>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TN BS-UE min distance in meters</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3</w:t>
            </w:r>
            <w:r>
              <w:rPr>
                <w:rFonts w:ascii="Arial" w:hAnsi="Arial" w:eastAsia="宋体"/>
                <w:sz w:val="18"/>
                <w:lang w:eastAsia="zh-CN"/>
              </w:rPr>
              <w:t>5m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3</w:t>
            </w:r>
            <w:r>
              <w:rPr>
                <w:rFonts w:ascii="Arial" w:hAnsi="Arial" w:eastAsia="宋体"/>
                <w:sz w:val="18"/>
                <w:lang w:eastAsia="zh-CN"/>
              </w:rPr>
              <w:t>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TN BS max TX power in dBm (NOTE 2)</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46dBm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lang w:eastAsia="zh-CN"/>
              </w:rPr>
              <w:t>53dBm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 xml:space="preserve">TN UE </w:t>
            </w:r>
            <w:r>
              <w:rPr>
                <w:rFonts w:ascii="Arial" w:hAnsi="Arial" w:eastAsia="MS Mincho"/>
                <w:sz w:val="18"/>
                <w:lang w:eastAsia="ja-JP"/>
              </w:rPr>
              <w:t xml:space="preserve">max </w:t>
            </w:r>
            <w:r>
              <w:rPr>
                <w:rFonts w:ascii="Arial" w:hAnsi="Arial"/>
                <w:sz w:val="18"/>
                <w:lang w:eastAsia="ja-JP"/>
              </w:rPr>
              <w:t>TX power in dBm</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2</w:t>
            </w:r>
            <w:r>
              <w:rPr>
                <w:rFonts w:ascii="Arial" w:hAnsi="Arial" w:eastAsia="宋体"/>
                <w:sz w:val="18"/>
                <w:lang w:eastAsia="zh-CN"/>
              </w:rPr>
              <w:t>3dBm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2</w:t>
            </w:r>
            <w:r>
              <w:rPr>
                <w:rFonts w:ascii="Arial" w:hAnsi="Arial" w:eastAsia="宋体"/>
                <w:sz w:val="18"/>
                <w:lang w:eastAsia="zh-CN"/>
              </w:rPr>
              <w:t>3dBm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 xml:space="preserve">TN UE </w:t>
            </w:r>
            <w:r>
              <w:rPr>
                <w:rFonts w:ascii="Arial" w:hAnsi="Arial" w:eastAsia="MS Mincho"/>
                <w:sz w:val="18"/>
                <w:lang w:eastAsia="ja-JP"/>
              </w:rPr>
              <w:t xml:space="preserve">min </w:t>
            </w:r>
            <w:r>
              <w:rPr>
                <w:rFonts w:ascii="Arial" w:hAnsi="Arial"/>
                <w:sz w:val="18"/>
                <w:lang w:eastAsia="ja-JP"/>
              </w:rPr>
              <w:t>TX power in dBm</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w:t>
            </w:r>
            <w:r>
              <w:rPr>
                <w:rFonts w:ascii="Arial" w:hAnsi="Arial" w:eastAsia="宋体"/>
                <w:sz w:val="18"/>
                <w:lang w:eastAsia="zh-CN"/>
              </w:rPr>
              <w:t>40dBm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w:t>
            </w:r>
            <w:r>
              <w:rPr>
                <w:rFonts w:ascii="Arial" w:hAnsi="Arial" w:eastAsia="宋体"/>
                <w:sz w:val="18"/>
                <w:lang w:eastAsia="zh-CN"/>
              </w:rPr>
              <w:t>40dBm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TN BS Noise figure in dB</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5</w:t>
            </w:r>
            <w:r>
              <w:rPr>
                <w:rFonts w:ascii="Arial" w:hAnsi="Arial" w:eastAsia="宋体"/>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5</w:t>
            </w:r>
            <w:r>
              <w:rPr>
                <w:rFonts w:ascii="Arial" w:hAnsi="Arial" w:eastAsia="宋体"/>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TN UE Noise figure in dB</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9</w:t>
            </w:r>
            <w:r>
              <w:rPr>
                <w:rFonts w:ascii="Arial" w:hAnsi="Arial" w:eastAsia="宋体"/>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9</w:t>
            </w:r>
            <w:r>
              <w:rPr>
                <w:rFonts w:ascii="Arial" w:hAnsi="Arial" w:eastAsia="宋体"/>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Handover margin</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3</w:t>
            </w:r>
            <w:r>
              <w:rPr>
                <w:rFonts w:ascii="Arial" w:hAnsi="Arial" w:eastAsia="宋体"/>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MS Mincho"/>
                <w:sz w:val="18"/>
                <w:lang w:eastAsia="ja-JP"/>
              </w:rPr>
            </w:pPr>
            <w:r>
              <w:rPr>
                <w:rFonts w:hint="eastAsia" w:ascii="Arial" w:hAnsi="Arial" w:eastAsia="宋体"/>
                <w:sz w:val="18"/>
                <w:lang w:eastAsia="zh-CN"/>
              </w:rPr>
              <w:t>3</w:t>
            </w:r>
            <w:r>
              <w:rPr>
                <w:rFonts w:ascii="Arial" w:hAnsi="Arial" w:eastAsia="宋体"/>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79"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ind w:left="851" w:hanging="851"/>
              <w:rPr>
                <w:rFonts w:ascii="Arial" w:hAnsi="Arial" w:eastAsia="宋体"/>
                <w:sz w:val="18"/>
                <w:lang w:val="en-US"/>
              </w:rPr>
            </w:pPr>
            <w:r>
              <w:rPr>
                <w:rFonts w:ascii="Arial" w:hAnsi="Arial" w:eastAsia="MS Mincho"/>
                <w:sz w:val="18"/>
                <w:lang w:eastAsia="ja-JP"/>
              </w:rPr>
              <w:t xml:space="preserve">NOTE 1: </w:t>
            </w:r>
            <w:r>
              <w:rPr>
                <w:rFonts w:ascii="Arial" w:hAnsi="Arial" w:eastAsia="MS Mincho"/>
                <w:sz w:val="18"/>
                <w:lang w:eastAsia="ja-JP"/>
              </w:rPr>
              <w:tab/>
            </w:r>
            <w:r>
              <w:rPr>
                <w:rFonts w:ascii="Arial" w:hAnsi="Arial" w:eastAsia="MS Mincho"/>
                <w:sz w:val="18"/>
                <w:lang w:eastAsia="ja-JP"/>
              </w:rPr>
              <w:t>Same as the number of BS beam(s)</w:t>
            </w:r>
            <w:r>
              <w:rPr>
                <w:rFonts w:ascii="Arial" w:hAnsi="Arial"/>
                <w:sz w:val="18"/>
                <w:lang w:val="en-US"/>
              </w:rPr>
              <w:t>.</w:t>
            </w:r>
          </w:p>
          <w:p>
            <w:pPr>
              <w:keepNext/>
              <w:keepLines/>
              <w:spacing w:after="0"/>
              <w:ind w:left="851" w:hanging="851"/>
              <w:rPr>
                <w:rFonts w:ascii="Arial" w:hAnsi="Arial"/>
                <w:sz w:val="18"/>
                <w:lang w:val="en-US"/>
              </w:rPr>
            </w:pPr>
            <w:r>
              <w:rPr>
                <w:rFonts w:ascii="Arial" w:hAnsi="Arial" w:eastAsia="MS Mincho"/>
                <w:sz w:val="18"/>
                <w:lang w:eastAsia="ja-JP"/>
              </w:rPr>
              <w:t>NOTE 2:</w:t>
            </w:r>
            <w:r>
              <w:rPr>
                <w:rFonts w:ascii="Arial" w:hAnsi="Arial" w:eastAsia="MS Mincho"/>
                <w:sz w:val="18"/>
                <w:lang w:eastAsia="ja-JP"/>
              </w:rPr>
              <w:tab/>
            </w:r>
            <w:r>
              <w:rPr>
                <w:rFonts w:ascii="Arial" w:hAnsi="Arial" w:eastAsia="MS Mincho"/>
                <w:sz w:val="18"/>
                <w:lang w:eastAsia="ja-JP"/>
              </w:rPr>
              <w:t xml:space="preserve">TN </w:t>
            </w:r>
            <w:r>
              <w:rPr>
                <w:rFonts w:ascii="Arial" w:hAnsi="Arial"/>
                <w:sz w:val="18"/>
                <w:lang w:val="en-US"/>
              </w:rPr>
              <w:t>BS max TX power is defined as the sum over both polarizations.</w:t>
            </w:r>
          </w:p>
          <w:p>
            <w:pPr>
              <w:keepNext/>
              <w:keepLines/>
              <w:spacing w:after="0"/>
              <w:ind w:left="851" w:hanging="851"/>
              <w:rPr>
                <w:rFonts w:ascii="Arial" w:hAnsi="Arial"/>
                <w:sz w:val="18"/>
                <w:lang w:val="en-US"/>
              </w:rPr>
            </w:pPr>
            <w:r>
              <w:rPr>
                <w:rFonts w:hint="eastAsia" w:ascii="Arial" w:hAnsi="Arial"/>
                <w:sz w:val="18"/>
                <w:lang w:val="en-US" w:eastAsia="zh-CN"/>
              </w:rPr>
              <w:t>N</w:t>
            </w:r>
            <w:r>
              <w:rPr>
                <w:rFonts w:ascii="Arial" w:hAnsi="Arial"/>
                <w:sz w:val="18"/>
                <w:lang w:val="en-US" w:eastAsia="zh-CN"/>
              </w:rPr>
              <w:t>OTE 3:  Target SNR for simulation is based on CL values and only compensates pathloss in the simulation assumptions.</w:t>
            </w:r>
          </w:p>
          <w:p>
            <w:pPr>
              <w:keepNext/>
              <w:keepLines/>
              <w:spacing w:after="0"/>
              <w:rPr>
                <w:rFonts w:ascii="Arial" w:hAnsi="Arial" w:eastAsia="宋体"/>
                <w:sz w:val="18"/>
                <w:lang w:val="en-US" w:eastAsia="zh-CN"/>
              </w:rPr>
            </w:pPr>
          </w:p>
        </w:tc>
      </w:tr>
    </w:tbl>
    <w:p/>
    <w:p>
      <w:pPr>
        <w:pStyle w:val="4"/>
      </w:pPr>
      <w:bookmarkStart w:id="29" w:name="_Toc133498125"/>
      <w:r>
        <w:rPr>
          <w:rFonts w:hint="eastAsia"/>
          <w:lang w:eastAsia="zh-CN"/>
        </w:rPr>
        <w:t xml:space="preserve">6.2.3 </w:t>
      </w:r>
      <w:r>
        <w:t>Antenna and beamforming pattern modelling</w:t>
      </w:r>
      <w:bookmarkEnd w:id="29"/>
    </w:p>
    <w:p>
      <w:pPr>
        <w:pStyle w:val="5"/>
      </w:pPr>
      <w:bookmarkStart w:id="30" w:name="_Toc133498126"/>
      <w:r>
        <w:rPr>
          <w:rFonts w:hint="eastAsia"/>
        </w:rPr>
        <w:t xml:space="preserve">6.2.3.1 </w:t>
      </w:r>
      <w:r>
        <w:t>ATG BS antenna model</w:t>
      </w:r>
      <w:bookmarkEnd w:id="30"/>
    </w:p>
    <w:p>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p>
    <w:p>
      <w:pPr>
        <w:rPr>
          <w:b/>
          <w:lang w:eastAsia="zh-CN"/>
        </w:rPr>
      </w:pPr>
      <w:r>
        <w:rPr>
          <w:rFonts w:hint="eastAsia"/>
          <w:b/>
          <w:lang w:eastAsia="zh-CN"/>
        </w:rPr>
        <w:t>Option 1: non sub-array model</w:t>
      </w:r>
    </w:p>
    <w:p>
      <w:pPr>
        <w:pStyle w:val="75"/>
        <w:rPr>
          <w:lang w:val="en-US" w:eastAsia="zh-CN"/>
        </w:rPr>
      </w:pPr>
      <w:r>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Style w:val="49"/>
        <w:tblW w:w="301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3"/>
        <w:gridCol w:w="31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316" w:type="pct"/>
            <w:tcBorders>
              <w:top w:val="single" w:color="auto" w:sz="4" w:space="0"/>
              <w:left w:val="single" w:color="auto" w:sz="4" w:space="0"/>
              <w:bottom w:val="single" w:color="auto" w:sz="4" w:space="0"/>
              <w:right w:val="single" w:color="auto" w:sz="4" w:space="0"/>
            </w:tcBorders>
            <w:vAlign w:val="center"/>
          </w:tcPr>
          <w:p>
            <w:pPr>
              <w:pStyle w:val="66"/>
            </w:pPr>
          </w:p>
        </w:tc>
        <w:tc>
          <w:tcPr>
            <w:tcW w:w="2684" w:type="pct"/>
            <w:tcBorders>
              <w:top w:val="single" w:color="auto" w:sz="4" w:space="0"/>
              <w:left w:val="single" w:color="auto" w:sz="4" w:space="0"/>
              <w:bottom w:val="single" w:color="auto" w:sz="4" w:space="0"/>
              <w:right w:val="single" w:color="auto" w:sz="4" w:space="0"/>
            </w:tcBorders>
            <w:vAlign w:val="center"/>
          </w:tcPr>
          <w:p>
            <w:pPr>
              <w:pStyle w:val="66"/>
            </w:pPr>
            <w:r>
              <w:t>ATG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pStyle w:val="67"/>
            </w:pPr>
            <w:r>
              <w:t>Base Station Antenna Characteristics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Antenna pattern</w:t>
            </w:r>
          </w:p>
        </w:tc>
        <w:tc>
          <w:tcPr>
            <w:tcW w:w="2684" w:type="pct"/>
            <w:tcBorders>
              <w:top w:val="single" w:color="auto" w:sz="4" w:space="0"/>
              <w:left w:val="single" w:color="auto" w:sz="4" w:space="0"/>
              <w:bottom w:val="single" w:color="auto" w:sz="4" w:space="0"/>
              <w:right w:val="single" w:color="auto" w:sz="4" w:space="0"/>
            </w:tcBorders>
          </w:tcPr>
          <w:p>
            <w:pPr>
              <w:pStyle w:val="67"/>
            </w:pPr>
            <w:r>
              <w:t>TR 38.921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Element gain (dBi) </w:t>
            </w:r>
            <w:r>
              <w:rPr>
                <w:vertAlign w:val="superscript"/>
              </w:rPr>
              <w:t>(Note 2)</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Horizontal/vertical 3 dB beam width of single element (degree)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90º for H</w:t>
            </w:r>
          </w:p>
          <w:p>
            <w:pPr>
              <w:pStyle w:val="67"/>
            </w:pPr>
            <w:r>
              <w:t>54º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Horizontal/vertical front</w:t>
            </w:r>
            <w:r>
              <w:noBreakHyphen/>
            </w:r>
            <w:r>
              <w:t>to</w:t>
            </w:r>
            <w:r>
              <w:noBreakHyphen/>
            </w:r>
            <w:r>
              <w:t>back ratio (dB)</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Antenna polarization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Linear ±45º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Antenna array configuration (Row × Column) </w:t>
            </w:r>
            <w:r>
              <w:br w:type="textWrapping"/>
            </w:r>
            <w:r>
              <w:rPr>
                <w:vertAlign w:val="superscript"/>
              </w:rPr>
              <w:t>(Note 4)</w:t>
            </w:r>
          </w:p>
        </w:tc>
        <w:tc>
          <w:tcPr>
            <w:tcW w:w="2684" w:type="pct"/>
            <w:tcBorders>
              <w:top w:val="single" w:color="auto" w:sz="4" w:space="0"/>
              <w:left w:val="single" w:color="auto" w:sz="4" w:space="0"/>
              <w:bottom w:val="single" w:color="auto" w:sz="4" w:space="0"/>
            </w:tcBorders>
            <w:vAlign w:val="center"/>
          </w:tcPr>
          <w:p>
            <w:pPr>
              <w:pStyle w:val="67"/>
              <w:rPr>
                <w:rFonts w:eastAsia="宋体"/>
                <w:lang w:eastAsia="zh-CN"/>
              </w:rPr>
            </w:pPr>
            <w:r>
              <w:t>8 × 8 elements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rPr>
                <w:rFonts w:cs="Arial"/>
              </w:rPr>
              <w:t xml:space="preserve">Number of supported polarizations, </w:t>
            </w:r>
            <w:r>
              <w:rPr>
                <w:rFonts w:ascii="Cambria Math" w:hAnsi="Cambria Math"/>
                <w:i/>
              </w:rPr>
              <w:t>P</w:t>
            </w:r>
          </w:p>
        </w:tc>
        <w:tc>
          <w:tcPr>
            <w:tcW w:w="2684" w:type="pct"/>
            <w:tcBorders>
              <w:top w:val="single" w:color="auto" w:sz="4" w:space="0"/>
              <w:left w:val="single" w:color="auto" w:sz="4" w:space="0"/>
              <w:bottom w:val="single" w:color="auto" w:sz="4" w:space="0"/>
            </w:tcBorders>
            <w:vAlign w:val="center"/>
          </w:tcPr>
          <w:p>
            <w:pPr>
              <w:pStyle w:val="67"/>
              <w:rPr>
                <w:lang w:eastAsia="zh-CN"/>
              </w:rPr>
            </w:pPr>
            <w:r>
              <w:rPr>
                <w:rFonts w:hint="eastAsia"/>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Horizontal/Vertical radiating element spacing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0.5 of wavelength for H, 0.9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Array Ohmic loss (dB) </w:t>
            </w:r>
            <w:r>
              <w:rPr>
                <w:vertAlign w:val="superscript"/>
              </w:rPr>
              <w:t>(Note 2)</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Conducted power (before Ohmic loss) per antenna element (dBm) </w:t>
            </w:r>
            <w:r>
              <w:rPr>
                <w:vertAlign w:val="superscript"/>
              </w:rPr>
              <w:t>(Note 3)</w:t>
            </w:r>
            <w:r>
              <w:t xml:space="preserve">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Base station maximum coverage angle in the horizontal plane (degrees)</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Base station vertical coverage range (degrees) </w:t>
            </w:r>
            <w:r>
              <w:rPr>
                <w:vertAlign w:val="superscript"/>
              </w:rPr>
              <w:t>(Note 1)</w:t>
            </w:r>
          </w:p>
        </w:tc>
        <w:tc>
          <w:tcPr>
            <w:tcW w:w="2684" w:type="pct"/>
            <w:tcBorders>
              <w:top w:val="single" w:color="auto" w:sz="4" w:space="0"/>
              <w:left w:val="single" w:color="auto" w:sz="4" w:space="0"/>
              <w:bottom w:val="single" w:color="auto" w:sz="4" w:space="0"/>
              <w:right w:val="single" w:color="auto" w:sz="4" w:space="0"/>
            </w:tcBorders>
          </w:tcPr>
          <w:p>
            <w:pPr>
              <w:pStyle w:val="67"/>
              <w:rPr>
                <w:rFonts w:eastAsia="宋体"/>
                <w:lang w:eastAsia="zh-CN"/>
              </w:rPr>
            </w:pPr>
            <w:r>
              <w:rPr>
                <w:rFonts w:hint="eastAsia" w:eastAsia="宋体"/>
                <w:lang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Mechanical uptilt (degrees)</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rPr>
                <w:rFonts w:hint="eastAsia" w:eastAsia="宋体"/>
                <w:lang w:eastAsia="zh-CN"/>
              </w:rPr>
              <w:t xml:space="preserve">14 </w:t>
            </w:r>
          </w:p>
        </w:tc>
      </w:tr>
    </w:tbl>
    <w:p>
      <w:pPr>
        <w:rPr>
          <w:b/>
          <w:bCs/>
          <w:u w:val="single"/>
          <w:lang w:eastAsia="zh-CN"/>
        </w:rPr>
      </w:pPr>
    </w:p>
    <w:p>
      <w:pPr>
        <w:rPr>
          <w:b/>
          <w:lang w:eastAsia="zh-CN"/>
        </w:rPr>
      </w:pPr>
      <w:r>
        <w:rPr>
          <w:rFonts w:hint="eastAsia"/>
          <w:b/>
          <w:lang w:eastAsia="zh-CN"/>
        </w:rPr>
        <w:t>Option 2: sub-array model</w:t>
      </w:r>
    </w:p>
    <w:p>
      <w:pPr>
        <w:pStyle w:val="75"/>
        <w:rPr>
          <w:lang w:eastAsia="zh-CN"/>
        </w:rPr>
      </w:pPr>
      <w:r>
        <w:t>Table 6.2.</w:t>
      </w:r>
      <w:r>
        <w:rPr>
          <w:lang w:val="en-US" w:eastAsia="zh-CN"/>
        </w:rPr>
        <w:t>3</w:t>
      </w:r>
      <w:r>
        <w:t>.</w:t>
      </w:r>
      <w:r>
        <w:rPr>
          <w:lang w:val="en-US" w:eastAsia="zh-CN"/>
        </w:rPr>
        <w:t>1</w:t>
      </w:r>
      <w:r>
        <w:t>-1: AAS antenna parameters</w:t>
      </w:r>
      <w:r>
        <w:rPr>
          <w:lang w:val="en-US" w:eastAsia="zh-CN"/>
        </w:rPr>
        <w:t xml:space="preserve"> for sub-array model</w:t>
      </w:r>
    </w:p>
    <w:tbl>
      <w:tblPr>
        <w:tblStyle w:val="49"/>
        <w:tblW w:w="302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5"/>
        <w:gridCol w:w="3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649" w:type="pct"/>
            <w:tcBorders>
              <w:top w:val="single" w:color="auto" w:sz="4" w:space="0"/>
              <w:left w:val="single" w:color="auto" w:sz="4" w:space="0"/>
              <w:bottom w:val="single" w:color="auto" w:sz="4" w:space="0"/>
              <w:right w:val="single" w:color="auto" w:sz="4" w:space="0"/>
            </w:tcBorders>
            <w:vAlign w:val="center"/>
          </w:tcPr>
          <w:p>
            <w:pPr>
              <w:pStyle w:val="66"/>
            </w:pPr>
            <w:r>
              <w:t>Parameter</w:t>
            </w:r>
          </w:p>
        </w:tc>
        <w:tc>
          <w:tcPr>
            <w:tcW w:w="3351" w:type="pct"/>
            <w:tcBorders>
              <w:top w:val="single" w:color="auto" w:sz="4" w:space="0"/>
              <w:left w:val="single" w:color="auto" w:sz="4" w:space="0"/>
              <w:bottom w:val="single" w:color="auto" w:sz="4" w:space="0"/>
              <w:right w:val="single" w:color="auto" w:sz="4" w:space="0"/>
            </w:tcBorders>
            <w:vAlign w:val="center"/>
          </w:tcPr>
          <w:p>
            <w:pPr>
              <w:pStyle w:val="66"/>
            </w:pPr>
            <w:r>
              <w:t>Macro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zh-CN"/>
              </w:rPr>
            </w:pPr>
            <w:r>
              <w:t xml:space="preserve">Element gain </w:t>
            </w:r>
            <w:r>
              <w:rPr>
                <w:lang w:eastAsia="zh-CN"/>
              </w:rPr>
              <w:t xml:space="preserve">(dBi) </w:t>
            </w:r>
            <w:r>
              <w:rPr>
                <w:vertAlign w:val="superscript"/>
                <w:lang w:eastAsia="ko-KR"/>
              </w:rPr>
              <w:t>(Note 2)</w:t>
            </w:r>
          </w:p>
        </w:tc>
        <w:tc>
          <w:tcPr>
            <w:tcW w:w="3351" w:type="pct"/>
            <w:tcBorders>
              <w:top w:val="single" w:color="auto" w:sz="4" w:space="0"/>
              <w:left w:val="single" w:color="auto" w:sz="4" w:space="0"/>
              <w:bottom w:val="single" w:color="auto" w:sz="4" w:space="0"/>
              <w:right w:val="single" w:color="auto" w:sz="4" w:space="0"/>
            </w:tcBorders>
          </w:tcPr>
          <w:p>
            <w:pPr>
              <w:pStyle w:val="67"/>
              <w:rPr>
                <w:rFonts w:eastAsia="Calibri"/>
              </w:rPr>
            </w:pPr>
            <w: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pPr>
            <w:r>
              <w:t>Horizontal/vertical 3 dB beam width of single element (degree)</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90</w:t>
            </w:r>
            <w:r>
              <w:rPr>
                <w:lang w:eastAsia="ko-KR"/>
              </w:rPr>
              <w:t xml:space="preserve">º </w:t>
            </w:r>
            <w:r>
              <w:t xml:space="preserve">for </w:t>
            </w:r>
            <w:r>
              <w:rPr>
                <w:lang w:eastAsia="ko-KR"/>
              </w:rPr>
              <w:t>H</w:t>
            </w:r>
            <w:r>
              <w:rPr>
                <w:lang w:eastAsia="ko-KR"/>
              </w:rPr>
              <w:br w:type="textWrapping"/>
            </w:r>
            <w:r>
              <w:rPr>
                <w:lang w:eastAsia="ko-KR"/>
              </w:rPr>
              <w:t>65º</w:t>
            </w:r>
            <w:r>
              <w:rPr>
                <w:rFonts w:eastAsia="Malgun Gothic"/>
                <w:lang w:eastAsia="ko-KR"/>
              </w:rPr>
              <w:t xml:space="preserve"> </w:t>
            </w:r>
            <w:r>
              <w:t xml:space="preserve">for </w:t>
            </w:r>
            <w:r>
              <w:rPr>
                <w:lang w:eastAsia="ko-KR"/>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zh-CN"/>
              </w:rPr>
            </w:pPr>
            <w:r>
              <w:rPr>
                <w:lang w:eastAsia="zh-CN"/>
              </w:rPr>
              <w:t>Horizontal/vertical front</w:t>
            </w:r>
            <w:r>
              <w:rPr>
                <w:lang w:eastAsia="zh-CN"/>
              </w:rPr>
              <w:noBreakHyphen/>
            </w:r>
            <w:r>
              <w:rPr>
                <w:lang w:eastAsia="zh-CN"/>
              </w:rPr>
              <w:t>to</w:t>
            </w:r>
            <w:r>
              <w:rPr>
                <w:lang w:eastAsia="zh-CN"/>
              </w:rPr>
              <w:noBreakHyphen/>
            </w:r>
            <w:r>
              <w:rPr>
                <w:lang w:eastAsia="zh-CN"/>
              </w:rPr>
              <w:t>back ratio (dB)</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zh-CN"/>
              </w:rPr>
            </w:pPr>
            <w:r>
              <w:t xml:space="preserve">Antenna polarization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Linear ±45</w:t>
            </w:r>
            <w:r>
              <w:rPr>
                <w:lang w:eastAsia="ko-KR"/>
              </w:rP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pPr>
            <w:r>
              <w:t>Antenna sub-array configuration (Row × Column)</w:t>
            </w:r>
            <w:r>
              <w:rPr>
                <w:lang w:eastAsia="ko-KR"/>
              </w:rPr>
              <w:t xml:space="preserve"> </w:t>
            </w:r>
            <w:r>
              <w:rPr>
                <w:lang w:eastAsia="ko-KR"/>
              </w:rPr>
              <w:br w:type="textWrapping"/>
            </w:r>
            <w:r>
              <w:rPr>
                <w:vertAlign w:val="superscript"/>
                <w:lang w:eastAsia="ko-KR"/>
              </w:rPr>
              <w:t>(Note 4)</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t>4 × 8 elements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pPr>
            <w:r>
              <w:t xml:space="preserve">Horizontal/Vertical radiating sub-array spacing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0.5 of wavelength for H, 2.1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Number of element rows in sub-array</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Vertical element separation in sub-array (</w:t>
            </w:r>
            <m:oMath>
              <m:sSub>
                <m:sSubPr>
                  <m:ctrlPr>
                    <w:rPr>
                      <w:rFonts w:ascii="Cambria Math" w:hAnsi="Cambria Math"/>
                      <w:i/>
                      <w:iCs/>
                      <w:lang w:eastAsia="zh-CN"/>
                    </w:rPr>
                  </m:ctrlPr>
                </m:sSubPr>
                <m:e>
                  <m:r>
                    <m:rPr/>
                    <w:rPr>
                      <w:rFonts w:ascii="Cambria Math" w:hAnsi="Cambria Math"/>
                      <w:lang w:eastAsia="zh-CN"/>
                    </w:rPr>
                    <m:t>d</m:t>
                  </m:r>
                  <m:ctrlPr>
                    <w:rPr>
                      <w:rFonts w:ascii="Cambria Math" w:hAnsi="Cambria Math"/>
                      <w:i/>
                      <w:iCs/>
                      <w:lang w:eastAsia="zh-CN"/>
                    </w:rPr>
                  </m:ctrlPr>
                </m:e>
                <m:sub>
                  <m:r>
                    <m:rPr/>
                    <w:rPr>
                      <w:rFonts w:ascii="Cambria Math" w:hAnsi="Cambria Math"/>
                      <w:lang w:eastAsia="zh-CN"/>
                    </w:rPr>
                    <m:t>v,sub</m:t>
                  </m:r>
                  <m:ctrlPr>
                    <w:rPr>
                      <w:rFonts w:ascii="Cambria Math" w:hAnsi="Cambria Math"/>
                      <w:i/>
                      <w:iCs/>
                      <w:lang w:eastAsia="zh-CN"/>
                    </w:rPr>
                  </m:ctrlPr>
                </m:sub>
              </m:sSub>
            </m:oMath>
            <w:r>
              <w:rPr>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0.7 of wavelength of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pPr>
            <w:r>
              <w:rPr>
                <w:lang w:eastAsia="ko-KR"/>
              </w:rPr>
              <w:t xml:space="preserve">Array Ohmic loss (dB) </w:t>
            </w:r>
            <w:r>
              <w:rPr>
                <w:vertAlign w:val="superscript"/>
                <w:lang w:eastAsia="ko-KR"/>
              </w:rPr>
              <w:t>(Note 2)</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rPr>
                <w:rFonts w:eastAsia="Calibri"/>
                <w:lang w:eastAsia="ko-K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Conducted power (before Ohmic loss) per sub-array</w:t>
            </w:r>
            <w:r>
              <w:rPr>
                <w:lang w:eastAsia="zh-CN"/>
              </w:rPr>
              <w:t xml:space="preserve"> (dBm) </w:t>
            </w:r>
            <w:r>
              <w:rPr>
                <w:vertAlign w:val="superscript"/>
                <w:lang w:eastAsia="ko-KR"/>
              </w:rPr>
              <w:t>(Note 3)</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Base station horizontal coverage range (degrees)</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 xml:space="preserve">Base station vertical coverage range (degrees) </w:t>
            </w:r>
            <w:r>
              <w:rPr>
                <w:vertAlign w:val="superscript"/>
                <w:lang w:eastAsia="ko-KR"/>
              </w:rPr>
              <w:t>(Note 1)</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宋体"/>
                <w:lang w:eastAsia="ko-KR"/>
              </w:rPr>
            </w:pPr>
            <w:r>
              <w:rPr>
                <w:rFonts w:hint="eastAsia" w:eastAsia="宋体"/>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宋体"/>
                <w:lang w:eastAsia="ko-KR"/>
              </w:rPr>
            </w:pPr>
            <w:r>
              <w:rPr>
                <w:rFonts w:hint="eastAsia" w:eastAsia="宋体"/>
                <w:lang w:val="en-US" w:eastAsia="zh-CN"/>
              </w:rPr>
              <w:t>6.5</w:t>
            </w:r>
          </w:p>
        </w:tc>
      </w:tr>
    </w:tbl>
    <w:p/>
    <w:p>
      <w:pPr>
        <w:pStyle w:val="5"/>
      </w:pPr>
      <w:bookmarkStart w:id="31" w:name="_Toc133498127"/>
      <w:r>
        <w:rPr>
          <w:rFonts w:hint="eastAsia"/>
        </w:rPr>
        <w:t xml:space="preserve">6.2.3.2 </w:t>
      </w:r>
      <w:r>
        <w:t>ATG UE antenna model</w:t>
      </w:r>
      <w:bookmarkEnd w:id="31"/>
    </w:p>
    <w:p>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w:t>
      </w:r>
      <w:r>
        <w:rPr>
          <w:rFonts w:hint="eastAsia"/>
          <w:lang w:eastAsia="zh-CN"/>
        </w:rPr>
        <w:t>[</w:t>
      </w:r>
      <w:r>
        <w:rPr>
          <w:lang w:eastAsia="zh-CN"/>
        </w:rPr>
        <w:t>40dBm</w:t>
      </w:r>
      <w:r>
        <w:rPr>
          <w:rFonts w:hint="eastAsia"/>
          <w:lang w:eastAsia="zh-CN"/>
        </w:rPr>
        <w:t>]</w:t>
      </w:r>
      <w:r>
        <w:rPr>
          <w:lang w:eastAsia="zh-CN"/>
        </w:rPr>
        <w:t xml:space="preserve"> UE output power </w:t>
      </w:r>
      <w:r>
        <w:rPr>
          <w:rFonts w:hint="eastAsia"/>
          <w:lang w:eastAsia="zh-CN"/>
        </w:rPr>
        <w:t xml:space="preserve">for calibration </w:t>
      </w:r>
      <w:r>
        <w:rPr>
          <w:lang w:eastAsia="zh-CN"/>
        </w:rPr>
        <w:t>(as worst case for simulation purposes).</w:t>
      </w:r>
    </w:p>
    <w:p>
      <w:pPr>
        <w:numPr>
          <w:ilvl w:val="255"/>
          <w:numId w:val="0"/>
        </w:numPr>
        <w:rPr>
          <w:lang w:eastAsia="zh-CN"/>
        </w:rPr>
      </w:pPr>
      <w:r>
        <w:rPr>
          <w:rFonts w:hint="eastAsia"/>
          <w:lang w:eastAsia="zh-CN"/>
        </w:rPr>
        <w:t>F</w:t>
      </w:r>
      <w:r>
        <w:rPr>
          <w:lang w:eastAsia="zh-CN"/>
        </w:rPr>
        <w:t>or 4GHz, assume that UE is equipped with directional antenna</w:t>
      </w:r>
      <w:r>
        <w:rPr>
          <w:rFonts w:hint="eastAsia"/>
          <w:lang w:eastAsia="zh-CN"/>
        </w:rPr>
        <w:t xml:space="preserve">, </w:t>
      </w:r>
      <w:r>
        <w:rPr>
          <w:lang w:eastAsia="zh-CN"/>
        </w:rPr>
        <w:t>assume a UE EIRP of [43dBm] for calibration (as worst case for simulation purposes)</w:t>
      </w:r>
    </w:p>
    <w:p>
      <w:pPr>
        <w:pStyle w:val="73"/>
        <w:rPr>
          <w:lang w:eastAsia="zh-CN"/>
        </w:rPr>
      </w:pPr>
      <w:r>
        <w:rPr>
          <w:lang w:eastAsia="zh-CN"/>
        </w:rPr>
        <w:t>-</w:t>
      </w:r>
      <w:r>
        <w:rPr>
          <w:lang w:eastAsia="zh-CN"/>
        </w:rPr>
        <w:tab/>
      </w:r>
      <w:r>
        <w:rPr>
          <w:lang w:eastAsia="zh-CN"/>
        </w:rPr>
        <w:t xml:space="preserve">Use </w:t>
      </w:r>
      <w:r>
        <w:rPr>
          <w:rFonts w:hint="eastAsia"/>
          <w:lang w:eastAsia="zh-CN"/>
        </w:rPr>
        <w:t xml:space="preserve">following </w:t>
      </w:r>
      <w:r>
        <w:rPr>
          <w:lang w:eastAsia="zh-CN"/>
        </w:rPr>
        <w:t>as the starting point for calibration.</w:t>
      </w:r>
    </w:p>
    <w:p>
      <w:pPr>
        <w:pStyle w:val="75"/>
        <w:rPr>
          <w:lang w:val="en-US" w:eastAsia="zh-CN"/>
        </w:rPr>
      </w:pPr>
      <w:r>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phase antenna array</w:t>
      </w:r>
    </w:p>
    <w:tbl>
      <w:tblPr>
        <w:tblStyle w:val="49"/>
        <w:tblW w:w="28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5"/>
        <w:gridCol w:w="2726"/>
        <w:gridCol w:w="22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77" w:type="pct"/>
            <w:tcBorders>
              <w:top w:val="single" w:color="auto" w:sz="4" w:space="0"/>
              <w:left w:val="single" w:color="auto" w:sz="4" w:space="0"/>
              <w:bottom w:val="single" w:color="auto" w:sz="4" w:space="0"/>
              <w:right w:val="single" w:color="auto" w:sz="4" w:space="0"/>
            </w:tcBorders>
          </w:tcPr>
          <w:p>
            <w:pPr>
              <w:pStyle w:val="67"/>
              <w:rPr>
                <w:rFonts w:eastAsia="宋体"/>
                <w:szCs w:val="18"/>
              </w:rPr>
            </w:pPr>
          </w:p>
        </w:tc>
        <w:tc>
          <w:tcPr>
            <w:tcW w:w="2401" w:type="pct"/>
            <w:tcBorders>
              <w:top w:val="single" w:color="auto" w:sz="4" w:space="0"/>
              <w:left w:val="single" w:color="auto" w:sz="4" w:space="0"/>
              <w:bottom w:val="single" w:color="auto" w:sz="4" w:space="0"/>
              <w:right w:val="single" w:color="auto" w:sz="4" w:space="0"/>
            </w:tcBorders>
          </w:tcPr>
          <w:p>
            <w:pPr>
              <w:pStyle w:val="65"/>
            </w:pPr>
            <w:r>
              <w:t xml:space="preserve">Horizontal/vertical 3 dB beam width of single element (degree) </w:t>
            </w:r>
          </w:p>
        </w:tc>
        <w:tc>
          <w:tcPr>
            <w:tcW w:w="2020" w:type="pct"/>
            <w:tcBorders>
              <w:top w:val="single" w:color="auto" w:sz="4" w:space="0"/>
              <w:left w:val="single" w:color="auto" w:sz="4" w:space="0"/>
              <w:bottom w:val="single" w:color="auto" w:sz="4" w:space="0"/>
              <w:right w:val="single" w:color="auto" w:sz="4" w:space="0"/>
            </w:tcBorders>
            <w:vAlign w:val="center"/>
          </w:tcPr>
          <w:p>
            <w:pPr>
              <w:pStyle w:val="67"/>
            </w:pPr>
            <w:r>
              <w:t>90º for H</w:t>
            </w:r>
          </w:p>
          <w:p>
            <w:pPr>
              <w:pStyle w:val="67"/>
              <w:rPr>
                <w:lang w:val="en-US" w:eastAsia="zh-CN"/>
              </w:rPr>
            </w:pPr>
            <w:r>
              <w:t>90º for V</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77" w:type="pct"/>
            <w:tcBorders>
              <w:top w:val="single" w:color="auto" w:sz="4" w:space="0"/>
              <w:left w:val="single" w:color="auto" w:sz="4" w:space="0"/>
              <w:bottom w:val="single" w:color="auto" w:sz="4" w:space="0"/>
              <w:right w:val="single" w:color="auto" w:sz="4" w:space="0"/>
            </w:tcBorders>
          </w:tcPr>
          <w:p>
            <w:pPr>
              <w:pStyle w:val="67"/>
              <w:rPr>
                <w:rFonts w:eastAsia="宋体"/>
                <w:szCs w:val="18"/>
              </w:rPr>
            </w:pPr>
          </w:p>
        </w:tc>
        <w:tc>
          <w:tcPr>
            <w:tcW w:w="2401" w:type="pct"/>
            <w:tcBorders>
              <w:top w:val="single" w:color="auto" w:sz="4" w:space="0"/>
              <w:left w:val="single" w:color="auto" w:sz="4" w:space="0"/>
              <w:bottom w:val="single" w:color="auto" w:sz="4" w:space="0"/>
              <w:right w:val="single" w:color="auto" w:sz="4" w:space="0"/>
            </w:tcBorders>
          </w:tcPr>
          <w:p>
            <w:pPr>
              <w:pStyle w:val="65"/>
            </w:pPr>
            <w:r>
              <w:t>Element gain (dBi)</w:t>
            </w:r>
          </w:p>
        </w:tc>
        <w:tc>
          <w:tcPr>
            <w:tcW w:w="2020" w:type="pct"/>
            <w:tcBorders>
              <w:top w:val="single" w:color="auto" w:sz="4" w:space="0"/>
              <w:left w:val="single" w:color="auto" w:sz="4" w:space="0"/>
              <w:bottom w:val="single" w:color="auto" w:sz="4" w:space="0"/>
              <w:right w:val="single" w:color="auto" w:sz="4" w:space="0"/>
            </w:tcBorders>
            <w:vAlign w:val="center"/>
          </w:tcPr>
          <w:p>
            <w:pPr>
              <w:pStyle w:val="67"/>
            </w:pPr>
            <w:r>
              <w:t>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77" w:type="pct"/>
            <w:tcBorders>
              <w:top w:val="single" w:color="auto" w:sz="4" w:space="0"/>
              <w:left w:val="single" w:color="auto" w:sz="4" w:space="0"/>
              <w:bottom w:val="single" w:color="auto" w:sz="4" w:space="0"/>
              <w:right w:val="single" w:color="auto" w:sz="4" w:space="0"/>
            </w:tcBorders>
          </w:tcPr>
          <w:p>
            <w:pPr>
              <w:pStyle w:val="67"/>
              <w:rPr>
                <w:rFonts w:eastAsia="宋体"/>
                <w:szCs w:val="18"/>
              </w:rPr>
            </w:pPr>
          </w:p>
        </w:tc>
        <w:tc>
          <w:tcPr>
            <w:tcW w:w="2401" w:type="pct"/>
            <w:tcBorders>
              <w:top w:val="single" w:color="auto" w:sz="4" w:space="0"/>
              <w:left w:val="single" w:color="auto" w:sz="4" w:space="0"/>
              <w:bottom w:val="single" w:color="auto" w:sz="4" w:space="0"/>
              <w:right w:val="single" w:color="auto" w:sz="4" w:space="0"/>
            </w:tcBorders>
          </w:tcPr>
          <w:p>
            <w:pPr>
              <w:pStyle w:val="65"/>
            </w:pPr>
            <w:r>
              <w:t>Horizontal/vertical front</w:t>
            </w:r>
            <w:r>
              <w:noBreakHyphen/>
            </w:r>
            <w:r>
              <w:t>to</w:t>
            </w:r>
            <w:r>
              <w:noBreakHyphen/>
            </w:r>
            <w:r>
              <w:t>back ratio (dB)</w:t>
            </w:r>
          </w:p>
        </w:tc>
        <w:tc>
          <w:tcPr>
            <w:tcW w:w="2020" w:type="pct"/>
            <w:tcBorders>
              <w:top w:val="single" w:color="auto" w:sz="4" w:space="0"/>
              <w:left w:val="single" w:color="auto" w:sz="4" w:space="0"/>
              <w:bottom w:val="single" w:color="auto" w:sz="4" w:space="0"/>
              <w:right w:val="single" w:color="auto" w:sz="4" w:space="0"/>
            </w:tcBorders>
            <w:vAlign w:val="center"/>
          </w:tcPr>
          <w:p>
            <w:pPr>
              <w:pStyle w:val="67"/>
              <w:rPr>
                <w:lang w:val="en-US" w:eastAsia="zh-CN"/>
              </w:rPr>
            </w:pPr>
            <w:r>
              <w:rPr>
                <w:rFonts w:hint="eastAsia"/>
                <w:lang w:val="en-US" w:eastAsia="zh-CN"/>
              </w:rPr>
              <w:t>30dBc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77" w:type="pct"/>
            <w:tcBorders>
              <w:top w:val="single" w:color="auto" w:sz="4" w:space="0"/>
              <w:left w:val="single" w:color="auto" w:sz="4" w:space="0"/>
              <w:bottom w:val="single" w:color="auto" w:sz="4" w:space="0"/>
              <w:right w:val="single" w:color="auto" w:sz="4" w:space="0"/>
            </w:tcBorders>
          </w:tcPr>
          <w:p>
            <w:pPr>
              <w:pStyle w:val="67"/>
              <w:rPr>
                <w:rFonts w:eastAsia="宋体"/>
                <w:szCs w:val="18"/>
              </w:rPr>
            </w:pPr>
          </w:p>
        </w:tc>
        <w:tc>
          <w:tcPr>
            <w:tcW w:w="2401" w:type="pct"/>
            <w:tcBorders>
              <w:top w:val="single" w:color="auto" w:sz="4" w:space="0"/>
              <w:left w:val="single" w:color="auto" w:sz="4" w:space="0"/>
              <w:bottom w:val="single" w:color="auto" w:sz="4" w:space="0"/>
              <w:right w:val="single" w:color="auto" w:sz="4" w:space="0"/>
            </w:tcBorders>
          </w:tcPr>
          <w:p>
            <w:pPr>
              <w:pStyle w:val="65"/>
            </w:pPr>
            <w:r>
              <w:t xml:space="preserve">Antenna polarization </w:t>
            </w:r>
          </w:p>
        </w:tc>
        <w:tc>
          <w:tcPr>
            <w:tcW w:w="2020" w:type="pct"/>
            <w:tcBorders>
              <w:top w:val="single" w:color="auto" w:sz="4" w:space="0"/>
              <w:left w:val="single" w:color="auto" w:sz="4" w:space="0"/>
              <w:bottom w:val="single" w:color="auto" w:sz="4" w:space="0"/>
              <w:right w:val="single" w:color="auto" w:sz="4" w:space="0"/>
            </w:tcBorders>
            <w:vAlign w:val="center"/>
          </w:tcPr>
          <w:p>
            <w:pPr>
              <w:pStyle w:val="67"/>
            </w:pPr>
            <w:r>
              <w:t>Linear ±</w:t>
            </w:r>
            <w:r>
              <w:rPr>
                <w:rFonts w:hint="eastAsia"/>
                <w:lang w:val="en-US" w:eastAsia="zh-CN"/>
              </w:rPr>
              <w:t>90</w:t>
            </w:r>
            <w: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77" w:type="pct"/>
            <w:tcBorders>
              <w:top w:val="single" w:color="auto" w:sz="4" w:space="0"/>
              <w:left w:val="single" w:color="auto" w:sz="4" w:space="0"/>
              <w:bottom w:val="single" w:color="auto" w:sz="4" w:space="0"/>
              <w:right w:val="single" w:color="auto" w:sz="4" w:space="0"/>
            </w:tcBorders>
          </w:tcPr>
          <w:p>
            <w:pPr>
              <w:pStyle w:val="67"/>
              <w:rPr>
                <w:rFonts w:eastAsia="宋体"/>
                <w:szCs w:val="18"/>
              </w:rPr>
            </w:pPr>
          </w:p>
        </w:tc>
        <w:tc>
          <w:tcPr>
            <w:tcW w:w="2401" w:type="pct"/>
            <w:tcBorders>
              <w:top w:val="single" w:color="auto" w:sz="4" w:space="0"/>
              <w:left w:val="single" w:color="auto" w:sz="4" w:space="0"/>
              <w:bottom w:val="single" w:color="auto" w:sz="4" w:space="0"/>
              <w:right w:val="single" w:color="auto" w:sz="4" w:space="0"/>
            </w:tcBorders>
          </w:tcPr>
          <w:p>
            <w:pPr>
              <w:pStyle w:val="65"/>
            </w:pPr>
            <w:r>
              <w:t xml:space="preserve">Antenna array configuration (Row × Column x Polarization) </w:t>
            </w:r>
            <w:r>
              <w:br w:type="textWrapping"/>
            </w:r>
            <w:r>
              <w:rPr>
                <w:vertAlign w:val="superscript"/>
              </w:rPr>
              <w:t>(Note 4)</w:t>
            </w:r>
          </w:p>
        </w:tc>
        <w:tc>
          <w:tcPr>
            <w:tcW w:w="2020" w:type="pct"/>
            <w:tcBorders>
              <w:top w:val="single" w:color="auto" w:sz="4" w:space="0"/>
              <w:left w:val="single" w:color="auto" w:sz="4" w:space="0"/>
              <w:bottom w:val="single" w:color="auto" w:sz="4" w:space="0"/>
            </w:tcBorders>
            <w:vAlign w:val="center"/>
          </w:tcPr>
          <w:p>
            <w:pPr>
              <w:pStyle w:val="67"/>
              <w:rPr>
                <w:lang w:val="en-US" w:eastAsia="zh-CN"/>
              </w:rPr>
            </w:pPr>
            <w:r>
              <w:rPr>
                <w:rFonts w:hint="eastAsia"/>
                <w:lang w:val="en-US" w:eastAsia="zh-CN"/>
              </w:rPr>
              <w:t xml:space="preserve"> (8x2x2) or  </w:t>
            </w:r>
          </w:p>
          <w:p>
            <w:pPr>
              <w:pStyle w:val="67"/>
              <w:rPr>
                <w:lang w:val="en-US" w:eastAsia="zh-CN"/>
              </w:rPr>
            </w:pPr>
            <w:r>
              <w:rPr>
                <w:rFonts w:hint="eastAsia"/>
                <w:lang w:val="en-US" w:eastAsia="zh-CN"/>
              </w:rPr>
              <w:t xml:space="preserve">(16x1x2)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77" w:type="pct"/>
            <w:tcBorders>
              <w:top w:val="single" w:color="auto" w:sz="4" w:space="0"/>
              <w:left w:val="single" w:color="auto" w:sz="4" w:space="0"/>
              <w:bottom w:val="single" w:color="auto" w:sz="4" w:space="0"/>
              <w:right w:val="single" w:color="auto" w:sz="4" w:space="0"/>
            </w:tcBorders>
          </w:tcPr>
          <w:p>
            <w:pPr>
              <w:pStyle w:val="67"/>
              <w:rPr>
                <w:rFonts w:eastAsia="宋体"/>
                <w:szCs w:val="18"/>
              </w:rPr>
            </w:pPr>
          </w:p>
        </w:tc>
        <w:tc>
          <w:tcPr>
            <w:tcW w:w="2401" w:type="pct"/>
            <w:tcBorders>
              <w:top w:val="single" w:color="auto" w:sz="4" w:space="0"/>
              <w:left w:val="single" w:color="auto" w:sz="4" w:space="0"/>
              <w:bottom w:val="single" w:color="auto" w:sz="4" w:space="0"/>
              <w:right w:val="single" w:color="auto" w:sz="4" w:space="0"/>
            </w:tcBorders>
          </w:tcPr>
          <w:p>
            <w:pPr>
              <w:pStyle w:val="65"/>
            </w:pPr>
            <w:r>
              <w:t xml:space="preserve">Horizontal/Vertical radiating element spacing </w:t>
            </w:r>
          </w:p>
        </w:tc>
        <w:tc>
          <w:tcPr>
            <w:tcW w:w="2020" w:type="pct"/>
            <w:tcBorders>
              <w:top w:val="single" w:color="auto" w:sz="4" w:space="0"/>
              <w:left w:val="single" w:color="auto" w:sz="4" w:space="0"/>
              <w:bottom w:val="single" w:color="auto" w:sz="4" w:space="0"/>
              <w:right w:val="single" w:color="auto" w:sz="4" w:space="0"/>
            </w:tcBorders>
            <w:vAlign w:val="center"/>
          </w:tcPr>
          <w:p>
            <w:pPr>
              <w:pStyle w:val="67"/>
            </w:pPr>
            <w:r>
              <w:t>0.5 of wavelength for H, 0.</w:t>
            </w:r>
            <w:r>
              <w:rPr>
                <w:rFonts w:hint="eastAsia"/>
                <w:lang w:val="en-US" w:eastAsia="zh-CN"/>
              </w:rPr>
              <w:t>5</w:t>
            </w:r>
            <w:r>
              <w:t xml:space="preserve">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77" w:type="pct"/>
            <w:tcBorders>
              <w:top w:val="single" w:color="auto" w:sz="4" w:space="0"/>
              <w:left w:val="single" w:color="auto" w:sz="4" w:space="0"/>
              <w:bottom w:val="single" w:color="auto" w:sz="4" w:space="0"/>
              <w:right w:val="single" w:color="auto" w:sz="4" w:space="0"/>
            </w:tcBorders>
          </w:tcPr>
          <w:p>
            <w:pPr>
              <w:pStyle w:val="67"/>
              <w:rPr>
                <w:rFonts w:eastAsia="宋体"/>
                <w:szCs w:val="18"/>
              </w:rPr>
            </w:pPr>
          </w:p>
        </w:tc>
        <w:tc>
          <w:tcPr>
            <w:tcW w:w="2401" w:type="pct"/>
            <w:tcBorders>
              <w:top w:val="single" w:color="auto" w:sz="4" w:space="0"/>
              <w:left w:val="single" w:color="auto" w:sz="4" w:space="0"/>
              <w:bottom w:val="single" w:color="auto" w:sz="4" w:space="0"/>
              <w:right w:val="single" w:color="auto" w:sz="4" w:space="0"/>
            </w:tcBorders>
          </w:tcPr>
          <w:p>
            <w:pPr>
              <w:pStyle w:val="65"/>
            </w:pPr>
            <w:r>
              <w:t>UE antenna orientation</w:t>
            </w:r>
          </w:p>
        </w:tc>
        <w:tc>
          <w:tcPr>
            <w:tcW w:w="2020" w:type="pct"/>
            <w:tcBorders>
              <w:top w:val="single" w:color="auto" w:sz="4" w:space="0"/>
              <w:left w:val="single" w:color="auto" w:sz="4" w:space="0"/>
              <w:bottom w:val="single" w:color="auto" w:sz="4" w:space="0"/>
              <w:right w:val="single" w:color="auto" w:sz="4" w:space="0"/>
            </w:tcBorders>
            <w:vAlign w:val="center"/>
          </w:tcPr>
          <w:p>
            <w:pPr>
              <w:pStyle w:val="67"/>
            </w:pPr>
            <w:r>
              <w:t>Single UE panel deployed on the abdomen of the airplane facing downwards and with the longest dimension of the array aligned with the direction of the flight route. The flight route is pointed at the BS.</w:t>
            </w:r>
          </w:p>
        </w:tc>
      </w:tr>
    </w:tbl>
    <w:p/>
    <w:p>
      <w:pPr>
        <w:pStyle w:val="5"/>
      </w:pPr>
      <w:bookmarkStart w:id="32" w:name="_Toc133498128"/>
      <w:r>
        <w:rPr>
          <w:rFonts w:hint="eastAsia"/>
        </w:rPr>
        <w:t xml:space="preserve">6.2.3.3 </w:t>
      </w:r>
      <w:r>
        <w:t>TN BS antenna model</w:t>
      </w:r>
      <w:bookmarkEnd w:id="32"/>
    </w:p>
    <w:p>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pPr>
        <w:rPr>
          <w:b/>
          <w:lang w:eastAsia="zh-CN"/>
        </w:rPr>
      </w:pPr>
      <w:r>
        <w:rPr>
          <w:rFonts w:hint="eastAsia"/>
          <w:b/>
          <w:lang w:eastAsia="zh-CN"/>
        </w:rPr>
        <w:t>Option 1: non sub-array model</w:t>
      </w:r>
    </w:p>
    <w:p>
      <w:pPr>
        <w:pStyle w:val="75"/>
        <w:rPr>
          <w:lang w:val="en-US" w:eastAsia="zh-CN"/>
        </w:rPr>
      </w:pPr>
      <w:r>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Style w:val="49"/>
        <w:tblW w:w="301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3"/>
        <w:gridCol w:w="31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316" w:type="pct"/>
            <w:tcBorders>
              <w:top w:val="single" w:color="auto" w:sz="4" w:space="0"/>
              <w:left w:val="single" w:color="auto" w:sz="4" w:space="0"/>
              <w:bottom w:val="single" w:color="auto" w:sz="4" w:space="0"/>
              <w:right w:val="single" w:color="auto" w:sz="4" w:space="0"/>
            </w:tcBorders>
            <w:vAlign w:val="center"/>
          </w:tcPr>
          <w:p>
            <w:pPr>
              <w:pStyle w:val="66"/>
            </w:pPr>
          </w:p>
        </w:tc>
        <w:tc>
          <w:tcPr>
            <w:tcW w:w="2684" w:type="pct"/>
            <w:tcBorders>
              <w:top w:val="single" w:color="auto" w:sz="4" w:space="0"/>
              <w:left w:val="single" w:color="auto" w:sz="4" w:space="0"/>
              <w:bottom w:val="single" w:color="auto" w:sz="4" w:space="0"/>
              <w:right w:val="single" w:color="auto" w:sz="4" w:space="0"/>
            </w:tcBorders>
            <w:vAlign w:val="center"/>
          </w:tcPr>
          <w:p>
            <w:pPr>
              <w:pStyle w:val="66"/>
              <w:rPr>
                <w:lang w:val="en-US"/>
              </w:rPr>
            </w:pPr>
            <w:r>
              <w:rPr>
                <w:lang w:val="en-US"/>
              </w:rPr>
              <w:t>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pStyle w:val="67"/>
            </w:pPr>
            <w:r>
              <w:t>Base Station Antenna Characteristics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Antenna pattern</w:t>
            </w:r>
          </w:p>
        </w:tc>
        <w:tc>
          <w:tcPr>
            <w:tcW w:w="2684" w:type="pct"/>
            <w:tcBorders>
              <w:top w:val="single" w:color="auto" w:sz="4" w:space="0"/>
              <w:left w:val="single" w:color="auto" w:sz="4" w:space="0"/>
              <w:bottom w:val="single" w:color="auto" w:sz="4" w:space="0"/>
              <w:right w:val="single" w:color="auto" w:sz="4" w:space="0"/>
            </w:tcBorders>
          </w:tcPr>
          <w:p>
            <w:pPr>
              <w:pStyle w:val="67"/>
            </w:pPr>
            <w:r>
              <w:t>TR 38.921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Element gain (dBi) </w:t>
            </w:r>
            <w:r>
              <w:rPr>
                <w:vertAlign w:val="superscript"/>
              </w:rPr>
              <w:t>(Note 2)</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Horizontal/vertical 3 dB beam width of single element (degree)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90º for H</w:t>
            </w:r>
          </w:p>
          <w:p>
            <w:pPr>
              <w:pStyle w:val="67"/>
            </w:pPr>
            <w:r>
              <w:t>54º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Horizontal/vertical front</w:t>
            </w:r>
            <w:r>
              <w:noBreakHyphen/>
            </w:r>
            <w:r>
              <w:t>to</w:t>
            </w:r>
            <w:r>
              <w:noBreakHyphen/>
            </w:r>
            <w:r>
              <w:t>back ratio (dB)</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Antenna polarization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Linear ±45º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Antenna array configuration (Row × Column) </w:t>
            </w:r>
            <w:r>
              <w:br w:type="textWrapping"/>
            </w:r>
            <w:r>
              <w:rPr>
                <w:vertAlign w:val="superscript"/>
              </w:rPr>
              <w:t>(Note 4)</w:t>
            </w:r>
          </w:p>
        </w:tc>
        <w:tc>
          <w:tcPr>
            <w:tcW w:w="2684" w:type="pct"/>
            <w:tcBorders>
              <w:top w:val="single" w:color="auto" w:sz="4" w:space="0"/>
              <w:left w:val="single" w:color="auto" w:sz="4" w:space="0"/>
              <w:bottom w:val="single" w:color="auto" w:sz="4" w:space="0"/>
            </w:tcBorders>
            <w:vAlign w:val="center"/>
          </w:tcPr>
          <w:p>
            <w:pPr>
              <w:pStyle w:val="67"/>
              <w:rPr>
                <w:lang w:val="en-US"/>
              </w:rPr>
            </w:pPr>
            <w:r>
              <w:t>8 × 8 elements</w:t>
            </w:r>
            <w:r>
              <w:rPr>
                <w:lang w:val="en-US"/>
              </w:rPr>
              <w:t xml:space="preserve"> AAS</w:t>
            </w:r>
          </w:p>
          <w:p>
            <w:pPr>
              <w:pStyle w:val="67"/>
              <w:rPr>
                <w:rFonts w:eastAsia="宋体"/>
                <w:lang w:val="en-US" w:eastAsia="zh-CN"/>
              </w:rPr>
            </w:pPr>
            <w:r>
              <w:rPr>
                <w:lang w:val="en-US"/>
              </w:rPr>
              <w:t>[8 x 1 elements non AAS]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rPr>
                <w:rFonts w:cs="Arial"/>
              </w:rPr>
              <w:t xml:space="preserve">Number of supported polarizations, </w:t>
            </w:r>
            <w:r>
              <w:rPr>
                <w:rFonts w:ascii="Cambria Math" w:hAnsi="Cambria Math"/>
                <w:i/>
              </w:rPr>
              <w:t>P</w:t>
            </w:r>
          </w:p>
        </w:tc>
        <w:tc>
          <w:tcPr>
            <w:tcW w:w="2684" w:type="pct"/>
            <w:tcBorders>
              <w:top w:val="single" w:color="auto" w:sz="4" w:space="0"/>
              <w:left w:val="single" w:color="auto" w:sz="4" w:space="0"/>
              <w:bottom w:val="single" w:color="auto" w:sz="4" w:space="0"/>
            </w:tcBorders>
            <w:vAlign w:val="center"/>
          </w:tcPr>
          <w:p>
            <w:pPr>
              <w:pStyle w:val="67"/>
              <w:rPr>
                <w:lang w:eastAsia="zh-CN"/>
              </w:rPr>
            </w:pPr>
            <w:r>
              <w:rPr>
                <w:rFonts w:hint="eastAsia"/>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Horizontal/Vertical radiating element spacing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0.5 of wavelength for H, 0.9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Array Ohmic loss (dB) </w:t>
            </w:r>
            <w:r>
              <w:rPr>
                <w:vertAlign w:val="superscript"/>
              </w:rPr>
              <w:t>(Note 2)</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Conducted power (before Ohmic loss) per antenna element (dBm) </w:t>
            </w:r>
            <w:r>
              <w:rPr>
                <w:vertAlign w:val="superscript"/>
              </w:rPr>
              <w:t>(Note 3)</w:t>
            </w:r>
            <w:r>
              <w:t xml:space="preserve">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Base station maximum coverage angle in the horizontal plane (degrees)</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Base station vertical coverage range (degrees) </w:t>
            </w:r>
            <w:r>
              <w:rPr>
                <w:vertAlign w:val="superscript"/>
              </w:rPr>
              <w:t>(Note 1)</w:t>
            </w:r>
          </w:p>
        </w:tc>
        <w:tc>
          <w:tcPr>
            <w:tcW w:w="2684" w:type="pct"/>
            <w:tcBorders>
              <w:top w:val="single" w:color="auto" w:sz="4" w:space="0"/>
              <w:left w:val="single" w:color="auto" w:sz="4" w:space="0"/>
              <w:bottom w:val="single" w:color="auto" w:sz="4" w:space="0"/>
              <w:right w:val="single" w:color="auto" w:sz="4" w:space="0"/>
            </w:tcBorders>
          </w:tcPr>
          <w:p>
            <w:pPr>
              <w:pStyle w:val="67"/>
              <w:rPr>
                <w:rFonts w:eastAsia="宋体"/>
                <w:lang w:eastAsia="zh-CN"/>
              </w:rPr>
            </w:pPr>
            <w:r>
              <w:rPr>
                <w:rFonts w:hint="eastAsia" w:eastAsia="宋体"/>
                <w:lang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6" w:type="pct"/>
            <w:tcBorders>
              <w:top w:val="single" w:color="auto" w:sz="4" w:space="0"/>
              <w:left w:val="single" w:color="auto" w:sz="4" w:space="0"/>
              <w:bottom w:val="single" w:color="auto" w:sz="4" w:space="0"/>
              <w:right w:val="single" w:color="auto" w:sz="4" w:space="0"/>
            </w:tcBorders>
          </w:tcPr>
          <w:p>
            <w:pPr>
              <w:pStyle w:val="65"/>
            </w:pPr>
            <w:r>
              <w:t xml:space="preserve">Mechanical </w:t>
            </w:r>
            <w:r>
              <w:rPr>
                <w:lang w:val="en-US"/>
              </w:rPr>
              <w:t>down</w:t>
            </w:r>
            <w:r>
              <w:t xml:space="preserve"> (degrees)</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rPr>
                <w:lang w:val="en-US"/>
              </w:rPr>
            </w:pPr>
            <w:r>
              <w:rPr>
                <w:lang w:val="en-US"/>
              </w:rPr>
              <w:t>3</w:t>
            </w:r>
          </w:p>
        </w:tc>
      </w:tr>
    </w:tbl>
    <w:p>
      <w:pPr>
        <w:rPr>
          <w:b/>
          <w:bCs/>
          <w:u w:val="single"/>
          <w:lang w:eastAsia="zh-CN"/>
        </w:rPr>
      </w:pPr>
    </w:p>
    <w:p>
      <w:pPr>
        <w:rPr>
          <w:b/>
          <w:lang w:eastAsia="zh-CN"/>
        </w:rPr>
      </w:pPr>
      <w:r>
        <w:rPr>
          <w:rFonts w:hint="eastAsia"/>
          <w:b/>
          <w:lang w:eastAsia="zh-CN"/>
        </w:rPr>
        <w:t>Option 2: sub-array model</w:t>
      </w:r>
    </w:p>
    <w:p>
      <w:pPr>
        <w:pStyle w:val="75"/>
        <w:rPr>
          <w:lang w:eastAsia="zh-CN"/>
        </w:rPr>
      </w:pPr>
      <w:r>
        <w:t>Table 6.2.</w:t>
      </w:r>
      <w:r>
        <w:rPr>
          <w:lang w:val="en-US" w:eastAsia="zh-CN"/>
        </w:rPr>
        <w:t>3</w:t>
      </w:r>
      <w:r>
        <w:t>.</w:t>
      </w:r>
      <w:r>
        <w:rPr>
          <w:lang w:val="en-US" w:eastAsia="zh-CN"/>
        </w:rPr>
        <w:t>3</w:t>
      </w:r>
      <w:r>
        <w:t xml:space="preserve">-1: </w:t>
      </w:r>
      <w:r>
        <w:rPr>
          <w:lang w:val="en-US"/>
        </w:rPr>
        <w:t>A</w:t>
      </w:r>
      <w:r>
        <w:t>ntenna parameters</w:t>
      </w:r>
      <w:r>
        <w:rPr>
          <w:lang w:val="en-US" w:eastAsia="zh-CN"/>
        </w:rPr>
        <w:t xml:space="preserve"> for sub-array model</w:t>
      </w:r>
    </w:p>
    <w:tbl>
      <w:tblPr>
        <w:tblStyle w:val="49"/>
        <w:tblW w:w="302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5"/>
        <w:gridCol w:w="3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649" w:type="pct"/>
            <w:tcBorders>
              <w:top w:val="single" w:color="auto" w:sz="4" w:space="0"/>
              <w:left w:val="single" w:color="auto" w:sz="4" w:space="0"/>
              <w:bottom w:val="single" w:color="auto" w:sz="4" w:space="0"/>
              <w:right w:val="single" w:color="auto" w:sz="4" w:space="0"/>
            </w:tcBorders>
            <w:vAlign w:val="center"/>
          </w:tcPr>
          <w:p>
            <w:pPr>
              <w:pStyle w:val="66"/>
            </w:pPr>
            <w:r>
              <w:t>Parameter</w:t>
            </w:r>
          </w:p>
        </w:tc>
        <w:tc>
          <w:tcPr>
            <w:tcW w:w="3351" w:type="pct"/>
            <w:tcBorders>
              <w:top w:val="single" w:color="auto" w:sz="4" w:space="0"/>
              <w:left w:val="single" w:color="auto" w:sz="4" w:space="0"/>
              <w:bottom w:val="single" w:color="auto" w:sz="4" w:space="0"/>
              <w:right w:val="single" w:color="auto" w:sz="4" w:space="0"/>
            </w:tcBorders>
            <w:vAlign w:val="center"/>
          </w:tcPr>
          <w:p>
            <w:pPr>
              <w:pStyle w:val="66"/>
            </w:pPr>
            <w:r>
              <w:t>Macro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zh-CN"/>
              </w:rPr>
            </w:pPr>
            <w:r>
              <w:t xml:space="preserve">Element gain </w:t>
            </w:r>
            <w:r>
              <w:rPr>
                <w:lang w:eastAsia="zh-CN"/>
              </w:rPr>
              <w:t xml:space="preserve">(dBi) </w:t>
            </w:r>
            <w:r>
              <w:rPr>
                <w:vertAlign w:val="superscript"/>
                <w:lang w:eastAsia="ko-KR"/>
              </w:rPr>
              <w:t>(Note 2)</w:t>
            </w:r>
          </w:p>
        </w:tc>
        <w:tc>
          <w:tcPr>
            <w:tcW w:w="3351" w:type="pct"/>
            <w:tcBorders>
              <w:top w:val="single" w:color="auto" w:sz="4" w:space="0"/>
              <w:left w:val="single" w:color="auto" w:sz="4" w:space="0"/>
              <w:bottom w:val="single" w:color="auto" w:sz="4" w:space="0"/>
              <w:right w:val="single" w:color="auto" w:sz="4" w:space="0"/>
            </w:tcBorders>
          </w:tcPr>
          <w:p>
            <w:pPr>
              <w:pStyle w:val="67"/>
              <w:rPr>
                <w:rFonts w:eastAsia="Calibri"/>
              </w:rPr>
            </w:pPr>
            <w: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pPr>
            <w:r>
              <w:t>Horizontal/vertical 3 dB beam width of single element (degree)</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90</w:t>
            </w:r>
            <w:r>
              <w:rPr>
                <w:lang w:eastAsia="ko-KR"/>
              </w:rPr>
              <w:t xml:space="preserve">º </w:t>
            </w:r>
            <w:r>
              <w:t xml:space="preserve">for </w:t>
            </w:r>
            <w:r>
              <w:rPr>
                <w:lang w:eastAsia="ko-KR"/>
              </w:rPr>
              <w:t>H</w:t>
            </w:r>
            <w:r>
              <w:rPr>
                <w:lang w:eastAsia="ko-KR"/>
              </w:rPr>
              <w:br w:type="textWrapping"/>
            </w:r>
            <w:r>
              <w:rPr>
                <w:lang w:eastAsia="ko-KR"/>
              </w:rPr>
              <w:t>65º</w:t>
            </w:r>
            <w:r>
              <w:rPr>
                <w:rFonts w:eastAsia="Malgun Gothic"/>
                <w:lang w:eastAsia="ko-KR"/>
              </w:rPr>
              <w:t xml:space="preserve"> </w:t>
            </w:r>
            <w:r>
              <w:t xml:space="preserve">for </w:t>
            </w:r>
            <w:r>
              <w:rPr>
                <w:lang w:eastAsia="ko-KR"/>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zh-CN"/>
              </w:rPr>
            </w:pPr>
            <w:r>
              <w:rPr>
                <w:lang w:eastAsia="zh-CN"/>
              </w:rPr>
              <w:t>Horizontal/vertical front</w:t>
            </w:r>
            <w:r>
              <w:rPr>
                <w:lang w:eastAsia="zh-CN"/>
              </w:rPr>
              <w:noBreakHyphen/>
            </w:r>
            <w:r>
              <w:rPr>
                <w:lang w:eastAsia="zh-CN"/>
              </w:rPr>
              <w:t>to</w:t>
            </w:r>
            <w:r>
              <w:rPr>
                <w:lang w:eastAsia="zh-CN"/>
              </w:rPr>
              <w:noBreakHyphen/>
            </w:r>
            <w:r>
              <w:rPr>
                <w:lang w:eastAsia="zh-CN"/>
              </w:rPr>
              <w:t>back ratio (dB)</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zh-CN"/>
              </w:rPr>
            </w:pPr>
            <w:r>
              <w:t xml:space="preserve">Antenna polarization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Linear ±45</w:t>
            </w:r>
            <w:r>
              <w:rPr>
                <w:lang w:eastAsia="ko-KR"/>
              </w:rP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pPr>
            <w:r>
              <w:t>Antenna sub-array configuration (Row × Column)</w:t>
            </w:r>
            <w:r>
              <w:rPr>
                <w:lang w:eastAsia="ko-KR"/>
              </w:rPr>
              <w:t xml:space="preserve"> </w:t>
            </w:r>
            <w:r>
              <w:rPr>
                <w:lang w:eastAsia="ko-KR"/>
              </w:rPr>
              <w:br w:type="textWrapping"/>
            </w:r>
            <w:r>
              <w:rPr>
                <w:vertAlign w:val="superscript"/>
                <w:lang w:eastAsia="ko-KR"/>
              </w:rPr>
              <w:t>(Note 4)</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lang w:val="en-US"/>
              </w:rPr>
            </w:pPr>
            <w:r>
              <w:t>4 × 8 elements</w:t>
            </w:r>
            <w:r>
              <w:rPr>
                <w:lang w:val="en-US"/>
              </w:rPr>
              <w:t xml:space="preserve"> AAS</w:t>
            </w:r>
          </w:p>
          <w:p>
            <w:pPr>
              <w:pStyle w:val="67"/>
              <w:rPr>
                <w:rFonts w:eastAsia="Calibri"/>
                <w:lang w:val="en-US" w:eastAsia="ko-KR"/>
              </w:rPr>
            </w:pPr>
            <w:r>
              <w:rPr>
                <w:lang w:val="en-US"/>
              </w:rPr>
              <w:t>[4x1 elements non-AAS]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pPr>
            <w:r>
              <w:t xml:space="preserve">Horizontal/Vertical radiating sub-array spacing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0.5 of wavelength for H, 2.1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Number of element rows in sub-array</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Vertical element separation in sub-array (</w:t>
            </w:r>
            <m:oMath>
              <m:sSub>
                <m:sSubPr>
                  <m:ctrlPr>
                    <w:rPr>
                      <w:rFonts w:ascii="Cambria Math" w:hAnsi="Cambria Math"/>
                      <w:i/>
                      <w:iCs/>
                      <w:lang w:eastAsia="zh-CN"/>
                    </w:rPr>
                  </m:ctrlPr>
                </m:sSubPr>
                <m:e>
                  <m:r>
                    <m:rPr/>
                    <w:rPr>
                      <w:rFonts w:ascii="Cambria Math" w:hAnsi="Cambria Math"/>
                      <w:lang w:eastAsia="zh-CN"/>
                    </w:rPr>
                    <m:t>d</m:t>
                  </m:r>
                  <m:ctrlPr>
                    <w:rPr>
                      <w:rFonts w:ascii="Cambria Math" w:hAnsi="Cambria Math"/>
                      <w:i/>
                      <w:iCs/>
                      <w:lang w:eastAsia="zh-CN"/>
                    </w:rPr>
                  </m:ctrlPr>
                </m:e>
                <m:sub>
                  <m:r>
                    <m:rPr/>
                    <w:rPr>
                      <w:rFonts w:ascii="Cambria Math" w:hAnsi="Cambria Math"/>
                      <w:lang w:eastAsia="zh-CN"/>
                    </w:rPr>
                    <m:t>v,sub</m:t>
                  </m:r>
                  <m:ctrlPr>
                    <w:rPr>
                      <w:rFonts w:ascii="Cambria Math" w:hAnsi="Cambria Math"/>
                      <w:i/>
                      <w:iCs/>
                      <w:lang w:eastAsia="zh-CN"/>
                    </w:rPr>
                  </m:ctrlPr>
                </m:sub>
              </m:sSub>
            </m:oMath>
            <w:r>
              <w:rPr>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0.7 of wavelength of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pPr>
            <w:r>
              <w:rPr>
                <w:lang w:eastAsia="ko-KR"/>
              </w:rPr>
              <w:t xml:space="preserve">Array Ohmic loss (dB) </w:t>
            </w:r>
            <w:r>
              <w:rPr>
                <w:vertAlign w:val="superscript"/>
                <w:lang w:eastAsia="ko-KR"/>
              </w:rPr>
              <w:t>(Note 2)</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rPr>
                <w:rFonts w:eastAsia="Calibri"/>
                <w:lang w:eastAsia="ko-K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Conducted power (before Ohmic loss) per sub-array</w:t>
            </w:r>
            <w:r>
              <w:rPr>
                <w:lang w:eastAsia="zh-CN"/>
              </w:rPr>
              <w:t xml:space="preserve"> (dBm) </w:t>
            </w:r>
            <w:r>
              <w:rPr>
                <w:vertAlign w:val="superscript"/>
                <w:lang w:eastAsia="ko-KR"/>
              </w:rPr>
              <w:t>(Note 3)</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Base station horizontal coverage range (degrees)</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 xml:space="preserve">Base station vertical coverage range (degrees) </w:t>
            </w:r>
            <w:r>
              <w:rPr>
                <w:vertAlign w:val="superscript"/>
                <w:lang w:eastAsia="ko-KR"/>
              </w:rPr>
              <w:t>(Note 1)</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宋体"/>
                <w:lang w:eastAsia="ko-KR"/>
              </w:rPr>
            </w:pPr>
            <w:r>
              <w:rPr>
                <w:rFonts w:hint="eastAsia" w:eastAsia="宋体"/>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9"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宋体"/>
                <w:lang w:eastAsia="ko-KR"/>
              </w:rPr>
            </w:pPr>
            <w:r>
              <w:rPr>
                <w:rFonts w:eastAsia="宋体"/>
                <w:lang w:eastAsia="ko-KR"/>
              </w:rPr>
              <w:t>3</w:t>
            </w:r>
          </w:p>
        </w:tc>
      </w:tr>
    </w:tbl>
    <w:p/>
    <w:p>
      <w:pPr>
        <w:pStyle w:val="5"/>
      </w:pPr>
      <w:bookmarkStart w:id="33" w:name="_Toc133498129"/>
      <w:r>
        <w:rPr>
          <w:rFonts w:hint="eastAsia"/>
        </w:rPr>
        <w:t>6</w:t>
      </w:r>
      <w:r>
        <w:t>.</w:t>
      </w:r>
      <w:r>
        <w:rPr>
          <w:rFonts w:hint="eastAsia"/>
        </w:rPr>
        <w:t>2</w:t>
      </w:r>
      <w:r>
        <w:t>.</w:t>
      </w:r>
      <w:r>
        <w:rPr>
          <w:rFonts w:hint="eastAsia"/>
        </w:rPr>
        <w:t>3</w:t>
      </w:r>
      <w:r>
        <w:t>.</w:t>
      </w:r>
      <w:r>
        <w:rPr>
          <w:rFonts w:hint="eastAsia"/>
        </w:rPr>
        <w:t xml:space="preserve">4 </w:t>
      </w:r>
      <w:r>
        <w:t>TN UE antenna model</w:t>
      </w:r>
      <w:bookmarkEnd w:id="33"/>
    </w:p>
    <w:p>
      <w:pPr>
        <w:rPr>
          <w:lang w:eastAsia="zh-CN"/>
        </w:rPr>
      </w:pPr>
      <w:r>
        <w:rPr>
          <w:lang w:eastAsia="zh-CN"/>
        </w:rPr>
        <w:t>The following assumption for TN UE antenna is shown as below.</w:t>
      </w:r>
    </w:p>
    <w:p>
      <w:pPr>
        <w:pStyle w:val="75"/>
      </w:pPr>
      <w:r>
        <w:t>Table 6.2.3.4-1: TN handheld UE antenna charateristic</w:t>
      </w:r>
    </w:p>
    <w:tbl>
      <w:tblPr>
        <w:tblStyle w:val="49"/>
        <w:tblW w:w="441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68"/>
        <w:gridCol w:w="49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6"/>
              <w:rPr>
                <w:lang w:eastAsia="ja-JP"/>
              </w:rPr>
            </w:pPr>
            <w:r>
              <w:t>Characteristics</w:t>
            </w:r>
          </w:p>
        </w:tc>
        <w:tc>
          <w:tcPr>
            <w:tcW w:w="2833" w:type="pct"/>
            <w:tcBorders>
              <w:top w:val="single" w:color="auto" w:sz="4" w:space="0"/>
              <w:left w:val="single" w:color="auto" w:sz="4" w:space="0"/>
              <w:bottom w:val="single" w:color="auto" w:sz="4" w:space="0"/>
              <w:right w:val="single" w:color="auto" w:sz="4" w:space="0"/>
            </w:tcBorders>
          </w:tcPr>
          <w:p>
            <w:pPr>
              <w:pStyle w:val="66"/>
            </w:pPr>
            <w:r>
              <w:t>Handheld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5"/>
            </w:pPr>
            <w:r>
              <w:t>Antenna type and configuration</w:t>
            </w:r>
          </w:p>
        </w:tc>
        <w:tc>
          <w:tcPr>
            <w:tcW w:w="2833" w:type="pct"/>
            <w:tcBorders>
              <w:top w:val="single" w:color="auto" w:sz="4" w:space="0"/>
              <w:left w:val="single" w:color="auto" w:sz="4" w:space="0"/>
              <w:bottom w:val="single" w:color="auto" w:sz="4" w:space="0"/>
              <w:right w:val="single" w:color="auto" w:sz="4" w:space="0"/>
            </w:tcBorders>
          </w:tcPr>
          <w:p>
            <w:pPr>
              <w:pStyle w:val="65"/>
            </w:pPr>
            <w:r>
              <w:t>(1, 1, 2) with omni-directional antenna element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5"/>
            </w:pPr>
            <w:r>
              <w:t>Polarisation</w:t>
            </w:r>
          </w:p>
        </w:tc>
        <w:tc>
          <w:tcPr>
            <w:tcW w:w="2833" w:type="pct"/>
            <w:tcBorders>
              <w:top w:val="single" w:color="auto" w:sz="4" w:space="0"/>
              <w:left w:val="single" w:color="auto" w:sz="4" w:space="0"/>
              <w:bottom w:val="single" w:color="auto" w:sz="4" w:space="0"/>
              <w:right w:val="single" w:color="auto" w:sz="4" w:space="0"/>
            </w:tcBorders>
          </w:tcPr>
          <w:p>
            <w:pPr>
              <w:pStyle w:val="65"/>
            </w:pPr>
            <w:r>
              <w:t>Linear: +/-45°X-pol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5"/>
            </w:pPr>
            <w:r>
              <w:t xml:space="preserve">Tx/Rx Antenna gain </w:t>
            </w:r>
          </w:p>
        </w:tc>
        <w:tc>
          <w:tcPr>
            <w:tcW w:w="2833" w:type="pct"/>
            <w:tcBorders>
              <w:top w:val="single" w:color="auto" w:sz="4" w:space="0"/>
              <w:left w:val="single" w:color="auto" w:sz="4" w:space="0"/>
              <w:bottom w:val="single" w:color="auto" w:sz="4" w:space="0"/>
              <w:right w:val="single" w:color="auto" w:sz="4" w:space="0"/>
            </w:tcBorders>
          </w:tcPr>
          <w:p>
            <w:pPr>
              <w:pStyle w:val="65"/>
            </w:pPr>
            <w:r>
              <w:t>0 dBi per element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5"/>
              <w:rPr>
                <w:lang w:eastAsia="zh-CN"/>
              </w:rPr>
            </w:pPr>
            <w:r>
              <w:rPr>
                <w:lang w:eastAsia="zh-CN"/>
              </w:rPr>
              <w:t>the number of Tx and Rx</w:t>
            </w:r>
          </w:p>
        </w:tc>
        <w:tc>
          <w:tcPr>
            <w:tcW w:w="2833" w:type="pct"/>
            <w:tcBorders>
              <w:top w:val="single" w:color="auto" w:sz="4" w:space="0"/>
              <w:left w:val="single" w:color="auto" w:sz="4" w:space="0"/>
              <w:bottom w:val="single" w:color="auto" w:sz="4" w:space="0"/>
              <w:right w:val="single" w:color="auto" w:sz="4" w:space="0"/>
            </w:tcBorders>
          </w:tcPr>
          <w:p>
            <w:pPr>
              <w:pStyle w:val="65"/>
              <w:rPr>
                <w:lang w:eastAsia="zh-CN"/>
              </w:rPr>
            </w:pPr>
            <w:r>
              <w:rPr>
                <w:lang w:eastAsia="zh-CN"/>
              </w:rPr>
              <w:t>1T2R</w:t>
            </w:r>
          </w:p>
        </w:tc>
      </w:tr>
    </w:tbl>
    <w:p/>
    <w:p>
      <w:pPr>
        <w:pStyle w:val="4"/>
      </w:pPr>
      <w:bookmarkStart w:id="34" w:name="_Toc133498130"/>
      <w:r>
        <w:rPr>
          <w:rFonts w:hint="eastAsia"/>
          <w:lang w:eastAsia="zh-CN"/>
        </w:rPr>
        <w:t xml:space="preserve">6.2.4 </w:t>
      </w:r>
      <w:r>
        <w:t>ACLR and ACS modelling</w:t>
      </w:r>
      <w:bookmarkEnd w:id="34"/>
    </w:p>
    <w:p>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pPr>
        <w:rPr>
          <w:rFonts w:eastAsia="MS Mincho"/>
        </w:rPr>
      </w:pPr>
      <w:r>
        <w:rPr>
          <w:rFonts w:eastAsia="MS Mincho"/>
        </w:rPr>
        <w:t>If this assumption is for DL, then the similar assumption could be made for the UL.</w:t>
      </w:r>
    </w:p>
    <w:p>
      <w:pPr>
        <w:rPr>
          <w:rFonts w:eastAsia="MS Mincho"/>
        </w:rPr>
      </w:pPr>
      <w:r>
        <w:rPr>
          <w:rFonts w:eastAsia="MS Mincho"/>
        </w:rPr>
        <w:t>Therefore, it is assumed that both ACLR ( or the adjacent channel interference) and ACS are flat in both space and frequency. The ACIR model can be express as:</w:t>
      </w:r>
    </w:p>
    <w:p>
      <w:pPr>
        <w:pStyle w:val="57"/>
        <w:rPr>
          <w:rFonts w:eastAsia="MS Mincho"/>
        </w:rPr>
      </w:pPr>
      <w:r>
        <w:rPr>
          <w:rFonts w:eastAsia="MS Mincho"/>
        </w:rPr>
        <w:object>
          <v:shape id="_x0000_i1028" o:spt="75" type="#_x0000_t75" style="height:43.75pt;width:115.75pt;" o:ole="t" filled="f" o:preferrelative="t" stroked="f" coordsize="21600,21600">
            <v:path/>
            <v:fill on="f" focussize="0,0"/>
            <v:stroke on="f" joinstyle="miter"/>
            <v:imagedata r:id="rId25" o:title=""/>
            <o:lock v:ext="edit" aspectratio="t"/>
            <w10:wrap type="none"/>
            <w10:anchorlock/>
          </v:shape>
          <o:OLEObject Type="Embed" ProgID="Equation.3" ShapeID="_x0000_i1028" DrawAspect="Content" ObjectID="_1468075729" r:id="rId24">
            <o:LockedField>false</o:LockedField>
          </o:OLEObject>
        </w:object>
      </w:r>
    </w:p>
    <w:p>
      <w:pPr>
        <w:rPr>
          <w:rFonts w:eastAsia="MS Mincho"/>
        </w:rPr>
      </w:pPr>
      <w:r>
        <w:rPr>
          <w:rFonts w:eastAsia="MS Mincho"/>
        </w:rPr>
        <w:t>(Assuming ACLR, ACS and ACIR to be linear).</w:t>
      </w:r>
    </w:p>
    <w:p>
      <w:pPr>
        <w:rPr>
          <w:rFonts w:eastAsiaTheme="minorEastAsia"/>
          <w:lang w:eastAsia="zh-CN"/>
        </w:rPr>
      </w:pPr>
      <w:r>
        <w:rPr>
          <w:rFonts w:eastAsiaTheme="minorEastAsia"/>
          <w:lang w:eastAsia="zh-CN"/>
        </w:rPr>
        <w:t>The ACLR/ACS requirements for TN are defined as below.</w:t>
      </w:r>
    </w:p>
    <w:p>
      <w:pPr>
        <w:pStyle w:val="75"/>
      </w:pPr>
      <w:r>
        <w:t>Table 6.2.4-1: ACLR/ACS requirements for TN</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1350"/>
        <w:gridCol w:w="2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38" w:type="dxa"/>
            <w:gridSpan w:val="3"/>
          </w:tcPr>
          <w:p>
            <w:pPr>
              <w:keepNext/>
              <w:keepLines/>
              <w:jc w:val="center"/>
              <w:rPr>
                <w:rFonts w:ascii="Arial" w:hAnsi="Arial"/>
                <w:b/>
                <w:bCs/>
                <w:sz w:val="18"/>
                <w:szCs w:val="18"/>
                <w:lang w:eastAsia="ja-JP"/>
              </w:rPr>
            </w:pPr>
            <w:r>
              <w:rPr>
                <w:rFonts w:hint="eastAsia" w:ascii="Arial" w:hAnsi="Arial"/>
                <w:b/>
                <w:bCs/>
                <w:sz w:val="18"/>
                <w:szCs w:val="18"/>
                <w:lang w:eastAsia="ja-JP"/>
              </w:rPr>
              <w:t>NR</w:t>
            </w:r>
            <w:r>
              <w:rPr>
                <w:rFonts w:ascii="Arial" w:hAnsi="Arial"/>
                <w:b/>
                <w:bCs/>
                <w:sz w:val="18"/>
                <w:szCs w:val="18"/>
                <w:lang w:eastAsia="ja-JP"/>
              </w:rPr>
              <w:t xml:space="preserve"> TN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vAlign w:val="center"/>
          </w:tcPr>
          <w:p>
            <w:pPr>
              <w:keepNext/>
              <w:keepLines/>
              <w:snapToGrid w:val="0"/>
              <w:jc w:val="center"/>
              <w:rPr>
                <w:rFonts w:ascii="Arial" w:hAnsi="Arial"/>
                <w:sz w:val="18"/>
              </w:rPr>
            </w:pPr>
            <w:r>
              <w:rPr>
                <w:rFonts w:ascii="Arial" w:hAnsi="Arial"/>
                <w:sz w:val="18"/>
              </w:rPr>
              <w:t>BS</w:t>
            </w:r>
          </w:p>
        </w:tc>
        <w:tc>
          <w:tcPr>
            <w:tcW w:w="1350" w:type="dxa"/>
            <w:vAlign w:val="center"/>
          </w:tcPr>
          <w:p>
            <w:pPr>
              <w:keepNext/>
              <w:keepLines/>
              <w:snapToGrid w:val="0"/>
              <w:jc w:val="center"/>
              <w:rPr>
                <w:rFonts w:ascii="Arial" w:hAnsi="Arial"/>
                <w:sz w:val="18"/>
              </w:rPr>
            </w:pPr>
            <w:r>
              <w:rPr>
                <w:rFonts w:ascii="Arial" w:hAnsi="Arial"/>
                <w:sz w:val="18"/>
              </w:rPr>
              <w:t>ACLR</w:t>
            </w:r>
          </w:p>
        </w:tc>
        <w:tc>
          <w:tcPr>
            <w:tcW w:w="2610" w:type="dxa"/>
          </w:tcPr>
          <w:p>
            <w:pPr>
              <w:keepNext/>
              <w:keepLines/>
              <w:snapToGrid w:val="0"/>
              <w:jc w:val="center"/>
              <w:rPr>
                <w:rFonts w:ascii="Arial" w:hAnsi="Arial"/>
                <w:sz w:val="18"/>
              </w:rPr>
            </w:pPr>
            <w:r>
              <w:rPr>
                <w:rFonts w:ascii="Arial" w:hAnsi="Arial"/>
                <w:sz w:val="18"/>
              </w:rPr>
              <w:t>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vAlign w:val="center"/>
          </w:tcPr>
          <w:p>
            <w:pPr>
              <w:keepNext/>
              <w:keepLines/>
              <w:snapToGrid w:val="0"/>
              <w:jc w:val="center"/>
              <w:rPr>
                <w:rFonts w:ascii="Arial" w:hAnsi="Arial"/>
                <w:sz w:val="18"/>
              </w:rPr>
            </w:pPr>
          </w:p>
        </w:tc>
        <w:tc>
          <w:tcPr>
            <w:tcW w:w="1350" w:type="dxa"/>
            <w:vAlign w:val="center"/>
          </w:tcPr>
          <w:p>
            <w:pPr>
              <w:keepNext/>
              <w:keepLines/>
              <w:snapToGrid w:val="0"/>
              <w:jc w:val="center"/>
              <w:rPr>
                <w:rFonts w:ascii="Arial" w:hAnsi="Arial"/>
                <w:sz w:val="18"/>
              </w:rPr>
            </w:pPr>
            <w:r>
              <w:rPr>
                <w:rFonts w:ascii="Arial" w:hAnsi="Arial"/>
                <w:sz w:val="18"/>
              </w:rPr>
              <w:t>ACS</w:t>
            </w:r>
          </w:p>
        </w:tc>
        <w:tc>
          <w:tcPr>
            <w:tcW w:w="2610" w:type="dxa"/>
          </w:tcPr>
          <w:p>
            <w:pPr>
              <w:keepNext/>
              <w:keepLines/>
              <w:snapToGrid w:val="0"/>
              <w:jc w:val="center"/>
              <w:rPr>
                <w:rFonts w:ascii="Arial" w:hAnsi="Arial"/>
                <w:sz w:val="18"/>
              </w:rPr>
            </w:pPr>
            <w:r>
              <w:rPr>
                <w:rFonts w:ascii="Arial" w:hAnsi="Arial"/>
                <w:sz w:val="18"/>
              </w:rPr>
              <w:t>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vAlign w:val="center"/>
          </w:tcPr>
          <w:p>
            <w:pPr>
              <w:keepNext/>
              <w:keepLines/>
              <w:snapToGrid w:val="0"/>
              <w:jc w:val="center"/>
              <w:rPr>
                <w:rFonts w:ascii="Arial" w:hAnsi="Arial"/>
                <w:sz w:val="18"/>
              </w:rPr>
            </w:pPr>
            <w:r>
              <w:rPr>
                <w:rFonts w:ascii="Arial" w:hAnsi="Arial"/>
                <w:sz w:val="18"/>
              </w:rPr>
              <w:t>UE</w:t>
            </w:r>
          </w:p>
        </w:tc>
        <w:tc>
          <w:tcPr>
            <w:tcW w:w="1350" w:type="dxa"/>
            <w:vAlign w:val="center"/>
          </w:tcPr>
          <w:p>
            <w:pPr>
              <w:keepNext/>
              <w:keepLines/>
              <w:snapToGrid w:val="0"/>
              <w:jc w:val="center"/>
              <w:rPr>
                <w:rFonts w:ascii="Arial" w:hAnsi="Arial"/>
                <w:sz w:val="18"/>
              </w:rPr>
            </w:pPr>
            <w:r>
              <w:rPr>
                <w:rFonts w:ascii="Arial" w:hAnsi="Arial"/>
                <w:sz w:val="18"/>
              </w:rPr>
              <w:t>ACLR</w:t>
            </w:r>
          </w:p>
        </w:tc>
        <w:tc>
          <w:tcPr>
            <w:tcW w:w="2610" w:type="dxa"/>
          </w:tcPr>
          <w:p>
            <w:pPr>
              <w:keepNext/>
              <w:keepLines/>
              <w:snapToGrid w:val="0"/>
              <w:jc w:val="center"/>
              <w:rPr>
                <w:rFonts w:ascii="Arial" w:hAnsi="Arial"/>
                <w:sz w:val="18"/>
              </w:rPr>
            </w:pPr>
            <w:r>
              <w:rPr>
                <w:rFonts w:ascii="Arial" w:hAnsi="Arial"/>
                <w:sz w:val="18"/>
              </w:rPr>
              <w:t>30dB (ACLR1)</w:t>
            </w:r>
          </w:p>
          <w:p>
            <w:pPr>
              <w:keepNext/>
              <w:keepLines/>
              <w:snapToGrid w:val="0"/>
              <w:jc w:val="center"/>
              <w:rPr>
                <w:rFonts w:ascii="Arial" w:hAnsi="Arial"/>
                <w:sz w:val="18"/>
              </w:rPr>
            </w:pPr>
            <w:r>
              <w:rPr>
                <w:rFonts w:ascii="Arial" w:hAnsi="Arial"/>
                <w:sz w:val="18"/>
              </w:rPr>
              <w:t>43dB (ACLR2)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vAlign w:val="center"/>
          </w:tcPr>
          <w:p>
            <w:pPr>
              <w:keepNext/>
              <w:keepLines/>
              <w:snapToGrid w:val="0"/>
              <w:jc w:val="center"/>
              <w:rPr>
                <w:rFonts w:ascii="Arial" w:hAnsi="Arial"/>
                <w:sz w:val="18"/>
              </w:rPr>
            </w:pPr>
          </w:p>
        </w:tc>
        <w:tc>
          <w:tcPr>
            <w:tcW w:w="1350" w:type="dxa"/>
            <w:vAlign w:val="center"/>
          </w:tcPr>
          <w:p>
            <w:pPr>
              <w:keepNext/>
              <w:keepLines/>
              <w:snapToGrid w:val="0"/>
              <w:jc w:val="center"/>
              <w:rPr>
                <w:rFonts w:ascii="Arial" w:hAnsi="Arial"/>
                <w:sz w:val="18"/>
              </w:rPr>
            </w:pPr>
            <w:r>
              <w:rPr>
                <w:rFonts w:ascii="Arial" w:hAnsi="Arial"/>
                <w:sz w:val="18"/>
              </w:rPr>
              <w:t>ACS</w:t>
            </w:r>
          </w:p>
        </w:tc>
        <w:tc>
          <w:tcPr>
            <w:tcW w:w="2610" w:type="dxa"/>
          </w:tcPr>
          <w:p>
            <w:pPr>
              <w:keepNext/>
              <w:keepLines/>
              <w:snapToGrid w:val="0"/>
              <w:jc w:val="center"/>
              <w:rPr>
                <w:rFonts w:ascii="Arial" w:hAnsi="Arial"/>
                <w:sz w:val="18"/>
              </w:rPr>
            </w:pPr>
            <w:r>
              <w:rPr>
                <w:rFonts w:ascii="Arial" w:hAnsi="Arial"/>
                <w:sz w:val="18"/>
              </w:rPr>
              <w:t>33</w:t>
            </w:r>
          </w:p>
        </w:tc>
      </w:tr>
    </w:tbl>
    <w:p/>
    <w:p>
      <w:pPr>
        <w:pStyle w:val="4"/>
        <w:rPr>
          <w:lang w:eastAsia="zh-CN"/>
        </w:rPr>
      </w:pPr>
      <w:bookmarkStart w:id="35" w:name="_Toc133498131"/>
      <w:r>
        <w:rPr>
          <w:rFonts w:hint="eastAsia"/>
          <w:lang w:eastAsia="zh-CN"/>
        </w:rPr>
        <w:t xml:space="preserve">6.2.5 </w:t>
      </w:r>
      <w:r>
        <w:rPr>
          <w:lang w:eastAsia="zh-CN"/>
        </w:rPr>
        <w:t>Propagation model</w:t>
      </w:r>
      <w:bookmarkEnd w:id="35"/>
    </w:p>
    <w:p>
      <w:pPr>
        <w:pStyle w:val="5"/>
      </w:pPr>
      <w:bookmarkStart w:id="36" w:name="_Toc133498132"/>
      <w:r>
        <w:rPr>
          <w:rFonts w:hint="eastAsia"/>
        </w:rPr>
        <w:t xml:space="preserve">6.2.5.1 </w:t>
      </w:r>
      <w:r>
        <w:t>Propagation model between TN UE and ATG UE</w:t>
      </w:r>
      <w:bookmarkEnd w:id="36"/>
    </w:p>
    <w:p>
      <w:pPr>
        <w:rPr>
          <w:lang w:eastAsia="zh-CN"/>
        </w:rPr>
      </w:pPr>
      <w:r>
        <w:rPr>
          <w:lang w:eastAsia="zh-CN"/>
        </w:rPr>
        <w:t>Referring to section 6.6 in TR 38.811, the propagation model between TN UE and ATG UE can be simplified and summarized as below.</w:t>
      </w:r>
    </w:p>
    <w:p>
      <w:pPr>
        <w:rPr>
          <w:b/>
        </w:rPr>
      </w:pPr>
      <w:r>
        <w:rPr>
          <w:b/>
        </w:rPr>
        <w:t>LOS probability</w:t>
      </w:r>
    </w:p>
    <w:p>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pPr>
        <w:pStyle w:val="75"/>
        <w:spacing w:before="240"/>
        <w:rPr>
          <w:lang w:eastAsia="ko-KR"/>
        </w:rPr>
      </w:pPr>
      <w:r>
        <w:t>Table 6.2.5.1-1 LOS probability</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1"/>
        <w:gridCol w:w="21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bottom w:val="single" w:color="auto" w:sz="4" w:space="0"/>
              <w:right w:val="single" w:color="auto" w:sz="4" w:space="0"/>
            </w:tcBorders>
            <w:shd w:val="clear" w:color="auto" w:fill="auto"/>
            <w:tcMar>
              <w:top w:w="11" w:type="dxa"/>
              <w:bottom w:w="11" w:type="dxa"/>
            </w:tcMar>
            <w:vAlign w:val="center"/>
          </w:tcPr>
          <w:p>
            <w:pPr>
              <w:pStyle w:val="67"/>
            </w:pPr>
            <w:r>
              <w:t>Elevation</w:t>
            </w:r>
          </w:p>
        </w:tc>
        <w:tc>
          <w:tcPr>
            <w:tcW w:w="2155" w:type="dxa"/>
            <w:tcBorders>
              <w:bottom w:val="single" w:color="auto" w:sz="4" w:space="0"/>
            </w:tcBorders>
            <w:shd w:val="clear" w:color="auto" w:fill="auto"/>
            <w:tcMar>
              <w:top w:w="11" w:type="dxa"/>
              <w:bottom w:w="11" w:type="dxa"/>
            </w:tcMar>
          </w:tcPr>
          <w:p>
            <w:pPr>
              <w:pStyle w:val="67"/>
            </w:pPr>
            <w:r>
              <w:t>Suburban and Rural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top w:val="single" w:color="auto" w:sz="4" w:space="0"/>
              <w:right w:val="single" w:color="auto" w:sz="4" w:space="0"/>
            </w:tcBorders>
            <w:shd w:val="clear" w:color="auto" w:fill="auto"/>
            <w:tcMar>
              <w:top w:w="11" w:type="dxa"/>
              <w:bottom w:w="11" w:type="dxa"/>
            </w:tcMar>
            <w:vAlign w:val="center"/>
          </w:tcPr>
          <w:p>
            <w:pPr>
              <w:pStyle w:val="67"/>
            </w:pPr>
            <w:r>
              <w:t>10°</w:t>
            </w:r>
          </w:p>
        </w:tc>
        <w:tc>
          <w:tcPr>
            <w:tcW w:w="2155" w:type="dxa"/>
            <w:tcBorders>
              <w:top w:val="single" w:color="auto" w:sz="4" w:space="0"/>
            </w:tcBorders>
            <w:shd w:val="clear" w:color="auto" w:fill="auto"/>
            <w:tcMar>
              <w:top w:w="11" w:type="dxa"/>
              <w:bottom w:w="11" w:type="dxa"/>
            </w:tcMar>
          </w:tcPr>
          <w:p>
            <w:pPr>
              <w:pStyle w:val="67"/>
            </w:pPr>
            <w:r>
              <w:t>78.2%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20°</w:t>
            </w:r>
          </w:p>
        </w:tc>
        <w:tc>
          <w:tcPr>
            <w:tcW w:w="2155" w:type="dxa"/>
            <w:shd w:val="clear" w:color="auto" w:fill="auto"/>
            <w:tcMar>
              <w:top w:w="11" w:type="dxa"/>
              <w:bottom w:w="11" w:type="dxa"/>
            </w:tcMar>
          </w:tcPr>
          <w:p>
            <w:pPr>
              <w:pStyle w:val="67"/>
            </w:pPr>
            <w:r>
              <w:t>86.9%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30°</w:t>
            </w:r>
          </w:p>
        </w:tc>
        <w:tc>
          <w:tcPr>
            <w:tcW w:w="2155" w:type="dxa"/>
            <w:shd w:val="clear" w:color="auto" w:fill="auto"/>
            <w:tcMar>
              <w:top w:w="11" w:type="dxa"/>
              <w:bottom w:w="11" w:type="dxa"/>
            </w:tcMar>
          </w:tcPr>
          <w:p>
            <w:pPr>
              <w:pStyle w:val="67"/>
            </w:pPr>
            <w:r>
              <w:t>91.9%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40°</w:t>
            </w:r>
          </w:p>
        </w:tc>
        <w:tc>
          <w:tcPr>
            <w:tcW w:w="2155" w:type="dxa"/>
            <w:shd w:val="clear" w:color="auto" w:fill="auto"/>
            <w:tcMar>
              <w:top w:w="11" w:type="dxa"/>
              <w:bottom w:w="11" w:type="dxa"/>
            </w:tcMar>
          </w:tcPr>
          <w:p>
            <w:pPr>
              <w:pStyle w:val="67"/>
            </w:pPr>
            <w:r>
              <w:t>92.9%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50°</w:t>
            </w:r>
          </w:p>
        </w:tc>
        <w:tc>
          <w:tcPr>
            <w:tcW w:w="2155" w:type="dxa"/>
            <w:shd w:val="clear" w:color="auto" w:fill="auto"/>
            <w:tcMar>
              <w:top w:w="11" w:type="dxa"/>
              <w:bottom w:w="11" w:type="dxa"/>
            </w:tcMar>
          </w:tcPr>
          <w:p>
            <w:pPr>
              <w:pStyle w:val="67"/>
            </w:pPr>
            <w:r>
              <w:t>93.5%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60°</w:t>
            </w:r>
          </w:p>
        </w:tc>
        <w:tc>
          <w:tcPr>
            <w:tcW w:w="2155" w:type="dxa"/>
            <w:shd w:val="clear" w:color="auto" w:fill="auto"/>
            <w:tcMar>
              <w:top w:w="11" w:type="dxa"/>
              <w:bottom w:w="11" w:type="dxa"/>
            </w:tcMar>
          </w:tcPr>
          <w:p>
            <w:pPr>
              <w:pStyle w:val="67"/>
            </w:pPr>
            <w:r>
              <w:t>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70°</w:t>
            </w:r>
          </w:p>
        </w:tc>
        <w:tc>
          <w:tcPr>
            <w:tcW w:w="2155" w:type="dxa"/>
            <w:shd w:val="clear" w:color="auto" w:fill="auto"/>
            <w:tcMar>
              <w:top w:w="11" w:type="dxa"/>
              <w:bottom w:w="11" w:type="dxa"/>
            </w:tcMar>
          </w:tcPr>
          <w:p>
            <w:pPr>
              <w:pStyle w:val="67"/>
            </w:pPr>
            <w: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80°</w:t>
            </w:r>
          </w:p>
        </w:tc>
        <w:tc>
          <w:tcPr>
            <w:tcW w:w="2155" w:type="dxa"/>
            <w:shd w:val="clear" w:color="auto" w:fill="auto"/>
            <w:tcMar>
              <w:top w:w="11" w:type="dxa"/>
              <w:bottom w:w="11" w:type="dxa"/>
            </w:tcMar>
          </w:tcPr>
          <w:p>
            <w:pPr>
              <w:pStyle w:val="67"/>
            </w:pPr>
            <w:r>
              <w:t>95.2%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90°</w:t>
            </w:r>
          </w:p>
        </w:tc>
        <w:tc>
          <w:tcPr>
            <w:tcW w:w="2155" w:type="dxa"/>
            <w:shd w:val="clear" w:color="auto" w:fill="auto"/>
            <w:tcMar>
              <w:top w:w="11" w:type="dxa"/>
              <w:bottom w:w="11" w:type="dxa"/>
            </w:tcMar>
          </w:tcPr>
          <w:p>
            <w:pPr>
              <w:pStyle w:val="67"/>
            </w:pPr>
            <w:r>
              <w:t>99.8%</w:t>
            </w:r>
          </w:p>
        </w:tc>
      </w:tr>
    </w:tbl>
    <w:p>
      <w:pPr>
        <w:rPr>
          <w:b/>
        </w:rPr>
      </w:pPr>
      <w:r>
        <w:rPr>
          <w:b/>
        </w:rPr>
        <w:t>Path loss and Shadow fading</w:t>
      </w:r>
    </w:p>
    <w:p>
      <w:pPr>
        <w:rPr>
          <w:rFonts w:cs="Calibri"/>
        </w:rPr>
      </w:pPr>
      <w:r>
        <w:rPr>
          <w:rFonts w:cs="Calibri"/>
        </w:rPr>
        <w:t>The signal path between ATG UE and ATG BS undergoes several stages of propagation and attenuation. The path loss (PL) is composed of components as follows:</w:t>
      </w:r>
    </w:p>
    <w:p>
      <w:pPr>
        <w:tabs>
          <w:tab w:val="center" w:pos="4820"/>
          <w:tab w:val="right" w:pos="9639"/>
        </w:tabs>
        <w:rPr>
          <w:rFonts w:cs="Calibri"/>
        </w:rPr>
      </w:pPr>
      <w:r>
        <w:rPr>
          <w:rFonts w:cs="Calibri"/>
        </w:rPr>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ctrlPr>
              <w:rPr>
                <w:rFonts w:ascii="Cambria Math" w:hAnsi="Cambria Math" w:cs="Calibri"/>
              </w:rPr>
            </m:ctrlPr>
          </m:e>
          <m:sub>
            <m:r>
              <m:rPr/>
              <w:rPr>
                <w:rFonts w:ascii="Cambria Math" w:hAnsi="Cambria Math" w:cs="Calibri"/>
              </w:rPr>
              <m:t>b</m:t>
            </m:r>
            <m:ctrlPr>
              <w:rPr>
                <w:rFonts w:ascii="Cambria Math" w:hAnsi="Cambria Math" w:cs="Calibri"/>
              </w:rPr>
            </m:ctrlPr>
          </m:sub>
        </m:sSub>
        <m:r>
          <m:rPr/>
          <w:rPr>
            <w:rFonts w:ascii="Cambria Math" w:hAnsi="Cambria Math" w:cs="Calibri"/>
          </w:rPr>
          <m:t>=FSPL</m:t>
        </m:r>
        <m:d>
          <m:dPr>
            <m:ctrlPr>
              <w:rPr>
                <w:rFonts w:ascii="Cambria Math" w:hAnsi="Cambria Math" w:cs="Calibri"/>
                <w:i/>
              </w:rPr>
            </m:ctrlPr>
          </m:dPr>
          <m:e>
            <m:r>
              <m:rPr/>
              <w:rPr>
                <w:rFonts w:ascii="Cambria Math" w:hAnsi="Cambria Math" w:cs="Calibri"/>
              </w:rPr>
              <m:t xml:space="preserve">d, </m:t>
            </m:r>
            <m:sSub>
              <m:sSubPr>
                <m:ctrlPr>
                  <w:rPr>
                    <w:rFonts w:ascii="Cambria Math" w:hAnsi="Cambria Math" w:cs="Calibri"/>
                    <w:i/>
                  </w:rPr>
                </m:ctrlPr>
              </m:sSubPr>
              <m:e>
                <m:r>
                  <m:rPr/>
                  <w:rPr>
                    <w:rFonts w:ascii="Cambria Math" w:hAnsi="Cambria Math" w:cs="Calibri"/>
                  </w:rPr>
                  <m:t>f</m:t>
                </m:r>
                <m:ctrlPr>
                  <w:rPr>
                    <w:rFonts w:ascii="Cambria Math" w:hAnsi="Cambria Math" w:cs="Calibri"/>
                    <w:i/>
                  </w:rPr>
                </m:ctrlPr>
              </m:e>
              <m:sub>
                <m:r>
                  <m:rPr/>
                  <w:rPr>
                    <w:rFonts w:ascii="Cambria Math" w:hAnsi="Cambria Math" w:cs="Calibri"/>
                  </w:rPr>
                  <m:t>c</m:t>
                </m:r>
                <m:ctrlPr>
                  <w:rPr>
                    <w:rFonts w:ascii="Cambria Math" w:hAnsi="Cambria Math" w:cs="Calibri"/>
                    <w:i/>
                  </w:rPr>
                </m:ctrlPr>
              </m:sub>
            </m:sSub>
            <m:ctrlPr>
              <w:rPr>
                <w:rFonts w:ascii="Cambria Math" w:hAnsi="Cambria Math" w:cs="Calibri"/>
                <w:i/>
              </w:rPr>
            </m:ctrlPr>
          </m:e>
        </m:d>
        <m:r>
          <m:rPr/>
          <w:rPr>
            <w:rFonts w:ascii="Cambria Math" w:hAnsi="Cambria Math" w:cs="Calibri"/>
          </w:rPr>
          <m:t>+SF+CL</m:t>
        </m:r>
        <m:d>
          <m:dPr>
            <m:ctrlPr>
              <w:rPr>
                <w:rFonts w:ascii="Cambria Math" w:hAnsi="Cambria Math" w:cs="Calibri"/>
                <w:i/>
              </w:rPr>
            </m:ctrlPr>
          </m:dPr>
          <m:e>
            <m:r>
              <m:rPr/>
              <w:rPr>
                <w:rFonts w:ascii="Cambria Math" w:hAnsi="Cambria Math" w:cs="Calibri"/>
              </w:rPr>
              <m:t xml:space="preserve">α, </m:t>
            </m:r>
            <m:sSub>
              <m:sSubPr>
                <m:ctrlPr>
                  <w:rPr>
                    <w:rFonts w:ascii="Cambria Math" w:hAnsi="Cambria Math" w:cs="Calibri"/>
                    <w:i/>
                  </w:rPr>
                </m:ctrlPr>
              </m:sSubPr>
              <m:e>
                <m:r>
                  <m:rPr/>
                  <w:rPr>
                    <w:rFonts w:ascii="Cambria Math" w:hAnsi="Cambria Math" w:cs="Calibri"/>
                  </w:rPr>
                  <m:t>f</m:t>
                </m:r>
                <m:ctrlPr>
                  <w:rPr>
                    <w:rFonts w:ascii="Cambria Math" w:hAnsi="Cambria Math" w:cs="Calibri"/>
                    <w:i/>
                  </w:rPr>
                </m:ctrlPr>
              </m:e>
              <m:sub>
                <m:r>
                  <m:rPr/>
                  <w:rPr>
                    <w:rFonts w:ascii="Cambria Math" w:hAnsi="Cambria Math" w:cs="Calibri"/>
                  </w:rPr>
                  <m:t>c</m:t>
                </m:r>
                <m:ctrlPr>
                  <w:rPr>
                    <w:rFonts w:ascii="Cambria Math" w:hAnsi="Cambria Math" w:cs="Calibri"/>
                    <w:i/>
                  </w:rPr>
                </m:ctrlPr>
              </m:sub>
            </m:sSub>
            <m:ctrlPr>
              <w:rPr>
                <w:rFonts w:ascii="Cambria Math" w:hAnsi="Cambria Math" w:cs="Calibri"/>
                <w:i/>
              </w:rPr>
            </m:ctrlPr>
          </m:e>
        </m:d>
      </m:oMath>
      <w:r>
        <w:rPr>
          <w:rFonts w:cs="Calibri"/>
        </w:rPr>
        <w:t>,</w:t>
      </w:r>
      <w:r>
        <w:rPr>
          <w:rFonts w:cs="Calibri"/>
        </w:rPr>
        <w:tab/>
      </w:r>
      <w:r>
        <w:rPr>
          <w:rFonts w:cs="Calibri"/>
        </w:rPr>
        <w:t>(6.2.5.1-1)</w:t>
      </w:r>
    </w:p>
    <w:p>
      <w:pPr>
        <w:rPr>
          <w:rFonts w:cs="Calibri"/>
        </w:rPr>
      </w:pPr>
      <w:r>
        <w:rPr>
          <w:rFonts w:cs="Calibri"/>
        </w:rPr>
        <w:t>where</w:t>
      </w:r>
      <w:r>
        <w:rPr>
          <w:rFonts w:cs="Calibri"/>
        </w:rPr>
        <w:tab/>
      </w:r>
      <w:r>
        <w:rPr>
          <w:rFonts w:cs="Calibri"/>
          <w:position w:val="-4"/>
        </w:rPr>
        <w:object>
          <v:shape id="_x0000_i1029" o:spt="75" type="#_x0000_t75" style="height:12.2pt;width:17.7pt;" o:ole="t" filled="f" o:preferrelative="t" stroked="f" coordsize="21600,21600">
            <v:path/>
            <v:fill on="f" focussize="0,0"/>
            <v:stroke on="f" joinstyle="miter"/>
            <v:imagedata r:id="rId27" o:title=""/>
            <o:lock v:ext="edit" aspectratio="t"/>
            <w10:wrap type="none"/>
            <w10:anchorlock/>
          </v:shape>
          <o:OLEObject Type="Embed" ProgID="Equation.3" ShapeID="_x0000_i1029" DrawAspect="Content" ObjectID="_1468075730" r:id="rId26">
            <o:LockedField>false</o:LockedField>
          </o:OLEObject>
        </w:object>
      </w:r>
      <w:r>
        <w:rPr>
          <w:rFonts w:cs="Calibri"/>
        </w:rPr>
        <w:t>is the total path loss in dB,</w:t>
      </w:r>
    </w:p>
    <w:p>
      <w:pPr>
        <w:spacing w:after="0"/>
        <w:rPr>
          <w:rFonts w:cs="Calibri"/>
        </w:rPr>
      </w:pPr>
      <w:r>
        <w:rPr>
          <w:rFonts w:cs="Calibri"/>
        </w:rPr>
        <w:tab/>
      </w:r>
      <w:r>
        <w:rPr>
          <w:rFonts w:cs="Calibri"/>
          <w:position w:val="-12"/>
        </w:rPr>
        <w:object>
          <v:shape id="_x0000_i1030" o:spt="75" type="#_x0000_t75" style="height:17.7pt;width:21.6pt;" o:ole="t" filled="f" o:preferrelative="t" stroked="f" coordsize="21600,21600">
            <v:path/>
            <v:fill on="f" focussize="0,0"/>
            <v:stroke on="f" joinstyle="miter"/>
            <v:imagedata r:id="rId29" o:title=""/>
            <o:lock v:ext="edit" aspectratio="t"/>
            <w10:wrap type="none"/>
            <w10:anchorlock/>
          </v:shape>
          <o:OLEObject Type="Embed" ProgID="Equation.3" ShapeID="_x0000_i1030" DrawAspect="Content" ObjectID="_1468075731" r:id="rId28">
            <o:LockedField>false</o:LockedField>
          </o:OLEObject>
        </w:object>
      </w:r>
      <w:r>
        <w:rPr>
          <w:rFonts w:cs="Calibri"/>
        </w:rPr>
        <w:t xml:space="preserve"> is the basic path loss in dB,</w:t>
      </w:r>
    </w:p>
    <w:p>
      <w:pPr>
        <w:spacing w:after="0"/>
        <w:rPr>
          <w:rFonts w:cs="Calibri"/>
        </w:rPr>
      </w:pPr>
      <w:r>
        <w:rPr>
          <w:rFonts w:cs="Calibri"/>
        </w:rPr>
        <w:tab/>
      </w:r>
    </w:p>
    <w:p>
      <w:pPr>
        <w:rPr>
          <w:rFonts w:cs="Calibri"/>
          <w:szCs w:val="40"/>
        </w:rPr>
      </w:pPr>
      <w:r>
        <w:rPr>
          <w:rFonts w:cs="Calibri"/>
        </w:rPr>
        <w:t>This section specifies the basic path loss model (</w:t>
      </w:r>
      <w:r>
        <w:rPr>
          <w:rFonts w:cs="Calibri"/>
          <w:position w:val="-12"/>
        </w:rPr>
        <w:object>
          <v:shape id="_x0000_i1031" o:spt="75" type="#_x0000_t75" style="height:17.7pt;width:21.6pt;" o:ole="t" filled="f" o:preferrelative="t" stroked="f" coordsize="21600,21600">
            <v:path/>
            <v:fill on="f" focussize="0,0"/>
            <v:stroke on="f" joinstyle="miter"/>
            <v:imagedata r:id="rId31" o:title=""/>
            <o:lock v:ext="edit" aspectratio="t"/>
            <w10:wrap type="none"/>
            <w10:anchorlock/>
          </v:shape>
          <o:OLEObject Type="Embed" ProgID="Equation.3" ShapeID="_x0000_i1031" DrawAspect="Content" ObjectID="_1468075732" r:id="rId30">
            <o:LockedField>false</o:LockedField>
          </o:OLEObject>
        </w:object>
      </w:r>
      <w:r>
        <w:rPr>
          <w:rFonts w:cs="Calibri"/>
        </w:rPr>
        <w:t xml:space="preserve">) which accounts for the signal's free space propagation, clutter loss, and shadow fading. </w:t>
      </w:r>
    </w:p>
    <w:p>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c</m:t>
            </m:r>
            <m:ctrlPr>
              <w:rPr>
                <w:rFonts w:ascii="Cambria Math" w:hAnsi="Cambria Math"/>
                <w:i/>
              </w:rPr>
            </m:ctrlPr>
          </m:sub>
        </m:sSub>
      </m:oMath>
      <w:r>
        <w:rPr>
          <w:rFonts w:cs="Calibri"/>
        </w:rPr>
        <w:t xml:space="preserve"> in GHz is given by</w:t>
      </w:r>
    </w:p>
    <w:p>
      <w:pPr>
        <w:tabs>
          <w:tab w:val="center" w:pos="4820"/>
          <w:tab w:val="right" w:pos="9639"/>
        </w:tabs>
        <w:rPr>
          <w:rFonts w:cs="Calibri"/>
        </w:rPr>
      </w:pPr>
      <w:r>
        <w:rPr>
          <w:rFonts w:cs="Calibri"/>
        </w:rPr>
        <w:tab/>
      </w:r>
      <w:r>
        <w:rPr>
          <w:rFonts w:cs="Calibri"/>
          <w:lang w:val="en-US" w:eastAsia="zh-CN"/>
        </w:rPr>
        <w:drawing>
          <wp:inline distT="0" distB="0" distL="0" distR="0">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r>
      <w:r>
        <w:rPr>
          <w:rFonts w:cs="Calibri"/>
        </w:rPr>
        <w:t>(6.6-2)</w:t>
      </w:r>
    </w:p>
    <w:p>
      <w:pPr>
        <w:rPr>
          <w:rFonts w:eastAsia="MS Mincho"/>
          <w:lang w:eastAsia="ja-JP"/>
        </w:rPr>
      </w:pPr>
      <w:r>
        <w:rPr>
          <w:position w:val="-12"/>
          <w:lang w:eastAsia="zh-CN"/>
        </w:rPr>
        <w:object>
          <v:shape id="_x0000_i1032" o:spt="75" type="#_x0000_t75" style="height:17.7pt;width:50.4pt;" o:ole="t" filled="f" o:preferrelative="t" stroked="f" coordsize="21600,21600">
            <v:path/>
            <v:fill on="f" focussize="0,0"/>
            <v:stroke on="f" joinstyle="miter"/>
            <v:imagedata r:id="rId34" o:title=""/>
            <o:lock v:ext="edit" aspectratio="t"/>
            <w10:wrap type="none"/>
            <w10:anchorlock/>
          </v:shape>
          <o:OLEObject Type="Embed" ProgID="Equation.3" ShapeID="_x0000_i1032" DrawAspect="Content" ObjectID="_1468075733" r:id="rId33">
            <o:LockedField>false</o:LockedField>
          </o:OLEObject>
        </w:object>
      </w:r>
      <w:r>
        <w:rPr>
          <w:lang w:eastAsia="zh-CN"/>
        </w:rPr>
        <w:t xml:space="preserve">is clutter loss, and </w:t>
      </w:r>
      <w:r>
        <w:rPr>
          <w:position w:val="-6"/>
          <w:lang w:eastAsia="zh-CN"/>
        </w:rPr>
        <w:object>
          <v:shape id="_x0000_i1033" o:spt="75" type="#_x0000_t75" style="height:13.3pt;width:17.7pt;" o:ole="t" filled="f" o:preferrelative="t" stroked="f" coordsize="21600,21600">
            <v:path/>
            <v:fill on="f" focussize="0,0"/>
            <v:stroke on="f" joinstyle="miter"/>
            <v:imagedata r:id="rId36" o:title=""/>
            <o:lock v:ext="edit" aspectratio="t"/>
            <w10:wrap type="none"/>
            <w10:anchorlock/>
          </v:shape>
          <o:OLEObject Type="Embed" ProgID="Equation.3" ShapeID="_x0000_i1033" DrawAspect="Content" ObjectID="_1468075734" r:id="rId35">
            <o:LockedField>false</o:LockedField>
          </o:OLEObject>
        </w:object>
      </w:r>
      <w:r>
        <w:rPr>
          <w:lang w:eastAsia="zh-CN"/>
        </w:rPr>
        <w:t xml:space="preserve"> is shadow fading loss represented by a random number generated by the normal distribution, i.e., </w:t>
      </w:r>
      <w:r>
        <w:rPr>
          <w:position w:val="-6"/>
          <w:lang w:eastAsia="zh-CN"/>
        </w:rPr>
        <w:object>
          <v:shape id="_x0000_i1034" o:spt="75" type="#_x0000_t75" style="height:13.3pt;width:17.7pt;" o:ole="t" filled="f" o:preferrelative="t" stroked="f" coordsize="21600,21600">
            <v:path/>
            <v:fill on="f" focussize="0,0"/>
            <v:stroke on="f" joinstyle="miter"/>
            <v:imagedata r:id="rId38" o:title=""/>
            <o:lock v:ext="edit" aspectratio="t"/>
            <w10:wrap type="none"/>
            <w10:anchorlock/>
          </v:shape>
          <o:OLEObject Type="Embed" ProgID="Equation.3" ShapeID="_x0000_i1034" DrawAspect="Content" ObjectID="_1468075735" r:id="rId37">
            <o:LockedField>false</o:LockedField>
          </o:OLEObject>
        </w:object>
      </w:r>
      <w:r>
        <w:rPr>
          <w:lang w:eastAsia="zh-CN"/>
        </w:rPr>
        <w:t xml:space="preserve"> ~</w:t>
      </w:r>
      <w:r>
        <w:rPr>
          <w:rFonts w:eastAsia="MS Mincho"/>
          <w:position w:val="-12"/>
          <w:lang w:eastAsia="ja-JP"/>
        </w:rPr>
        <w:object>
          <v:shape id="_x0000_i1035" o:spt="75" type="#_x0000_t75" style="height:17.7pt;width:50.4pt;" o:ole="t" filled="f" o:preferrelative="t" stroked="f" coordsize="21600,21600">
            <v:path/>
            <v:fill on="f" focussize="0,0"/>
            <v:stroke on="f" joinstyle="miter"/>
            <v:imagedata r:id="rId40" o:title=""/>
            <o:lock v:ext="edit" aspectratio="t"/>
            <w10:wrap type="none"/>
            <w10:anchorlock/>
          </v:shape>
          <o:OLEObject Type="Embed" ProgID="Equation.3" ShapeID="_x0000_i1035" DrawAspect="Content" ObjectID="_1468075736" r:id="rId39">
            <o:LockedField>false</o:LockedField>
          </o:OLEObject>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pPr>
        <w:pStyle w:val="75"/>
        <w:spacing w:before="240"/>
        <w:rPr>
          <w:lang w:eastAsia="ko-KR"/>
        </w:rPr>
      </w:pPr>
      <w:r>
        <w:t>Table 6.2.5.1-2: Shadow fading and clutter loss for suburban and rural scenarios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1"/>
        <w:gridCol w:w="1227"/>
        <w:gridCol w:w="1134"/>
        <w:gridCol w:w="10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restart"/>
            <w:shd w:val="clear" w:color="auto" w:fill="auto"/>
            <w:tcMar>
              <w:top w:w="11" w:type="dxa"/>
              <w:bottom w:w="11" w:type="dxa"/>
            </w:tcMar>
            <w:vAlign w:val="bottom"/>
          </w:tcPr>
          <w:p>
            <w:pPr>
              <w:pStyle w:val="67"/>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pPr>
              <w:pStyle w:val="67"/>
              <w:rPr>
                <w:rFonts w:eastAsia="MS Mincho"/>
                <w:lang w:eastAsia="ja-JP"/>
              </w:rPr>
            </w:pPr>
            <w:r>
              <w:rPr>
                <w:rFonts w:eastAsia="MS Mincho"/>
                <w:lang w:eastAsia="ja-JP"/>
              </w:rPr>
              <w:t>2GHz 3.5GHz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continue"/>
            <w:shd w:val="clear" w:color="auto" w:fill="auto"/>
            <w:tcMar>
              <w:top w:w="11" w:type="dxa"/>
              <w:bottom w:w="11" w:type="dxa"/>
            </w:tcMar>
            <w:vAlign w:val="bottom"/>
          </w:tcPr>
          <w:p>
            <w:pPr>
              <w:pStyle w:val="67"/>
              <w:rPr>
                <w:rFonts w:eastAsia="MS Mincho"/>
                <w:lang w:eastAsia="ja-JP"/>
              </w:rPr>
            </w:pPr>
          </w:p>
        </w:tc>
        <w:tc>
          <w:tcPr>
            <w:tcW w:w="1227" w:type="dxa"/>
            <w:shd w:val="clear" w:color="auto" w:fill="auto"/>
            <w:tcMar>
              <w:top w:w="11" w:type="dxa"/>
              <w:bottom w:w="11" w:type="dxa"/>
            </w:tcMar>
            <w:vAlign w:val="bottom"/>
          </w:tcPr>
          <w:p>
            <w:pPr>
              <w:pStyle w:val="67"/>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pPr>
              <w:pStyle w:val="67"/>
              <w:rPr>
                <w:rFonts w:eastAsia="MS Mincho"/>
                <w:lang w:eastAsia="ja-JP"/>
              </w:rPr>
            </w:pPr>
            <w:r>
              <w:rPr>
                <w:rFonts w:eastAsia="MS Mincho"/>
                <w:lang w:eastAsia="ja-JP"/>
              </w:rPr>
              <w:t>NLOS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continue"/>
            <w:shd w:val="clear" w:color="auto" w:fill="auto"/>
            <w:tcMar>
              <w:top w:w="11" w:type="dxa"/>
              <w:bottom w:w="11" w:type="dxa"/>
            </w:tcMar>
            <w:vAlign w:val="bottom"/>
          </w:tcPr>
          <w:p>
            <w:pPr>
              <w:pStyle w:val="67"/>
              <w:rPr>
                <w:rFonts w:eastAsia="MS Mincho"/>
                <w:lang w:eastAsia="ja-JP"/>
              </w:rPr>
            </w:pPr>
          </w:p>
        </w:tc>
        <w:tc>
          <w:tcPr>
            <w:tcW w:w="1227" w:type="dxa"/>
            <w:shd w:val="clear" w:color="auto" w:fill="auto"/>
            <w:tcMar>
              <w:top w:w="11" w:type="dxa"/>
              <w:bottom w:w="11" w:type="dxa"/>
            </w:tcMar>
            <w:vAlign w:val="bottom"/>
          </w:tcPr>
          <w:p>
            <w:pPr>
              <w:pStyle w:val="67"/>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v:shape id="_x0000_i1036" o:spt="75" type="#_x0000_t75" style="height:17.7pt;width:20.5pt;" o:ole="t" filled="f" o:preferrelative="t" stroked="f" coordsize="21600,21600">
                  <v:path/>
                  <v:fill on="f" focussize="0,0"/>
                  <v:stroke on="f" joinstyle="miter"/>
                  <v:imagedata r:id="rId42" o:title=""/>
                  <o:lock v:ext="edit" aspectratio="t"/>
                  <w10:wrap type="none"/>
                  <w10:anchorlock/>
                </v:shape>
                <o:OLEObject Type="Embed" ProgID="Equation.3" ShapeID="_x0000_i1036" DrawAspect="Content" ObjectID="_1468075737" r:id="rId41">
                  <o:LockedField>false</o:LockedField>
                </o:OLEObject>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pPr>
              <w:pStyle w:val="67"/>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v:shape id="_x0000_i1037" o:spt="75" type="#_x0000_t75" style="height:17.7pt;width:20.5pt;" o:ole="t" filled="f" o:preferrelative="t" stroked="f" coordsize="21600,21600">
                  <v:path/>
                  <v:fill on="f" focussize="0,0"/>
                  <v:stroke on="f" joinstyle="miter"/>
                  <v:imagedata r:id="rId42" o:title=""/>
                  <o:lock v:ext="edit" aspectratio="t"/>
                  <w10:wrap type="none"/>
                  <w10:anchorlock/>
                </v:shape>
                <o:OLEObject Type="Embed" ProgID="Equation.3" ShapeID="_x0000_i1037" DrawAspect="Content" ObjectID="_1468075738" r:id="rId43">
                  <o:LockedField>false</o:LockedField>
                </o:OLEObject>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pPr>
              <w:pStyle w:val="67"/>
              <w:rPr>
                <w:rFonts w:eastAsia="MS Mincho"/>
                <w:lang w:eastAsia="ja-JP"/>
              </w:rPr>
            </w:pPr>
            <w:r>
              <w:rPr>
                <w:rFonts w:eastAsia="MS Mincho"/>
                <w:position w:val="-6"/>
                <w:lang w:eastAsia="ja-JP"/>
              </w:rPr>
              <w:object>
                <v:shape id="_x0000_i1038" o:spt="75" type="#_x0000_t75" style="height:13.3pt;width:17.7pt;" o:ole="t" filled="f" o:preferrelative="t" stroked="f" coordsize="21600,21600">
                  <v:path/>
                  <v:fill on="f" focussize="0,0"/>
                  <v:stroke on="f" joinstyle="miter"/>
                  <v:imagedata r:id="rId45" o:title=""/>
                  <o:lock v:ext="edit" aspectratio="t"/>
                  <w10:wrap type="none"/>
                  <w10:anchorlock/>
                </v:shape>
                <o:OLEObject Type="Embed" ProgID="Equation.3" ShapeID="_x0000_i1038" DrawAspect="Content" ObjectID="_1468075739" r:id="rId44">
                  <o:LockedField>false</o:LockedField>
                </o:OLEObject>
              </w:object>
            </w:r>
            <w:r>
              <w:rPr>
                <w:rFonts w:eastAsia="MS Mincho"/>
                <w:lang w:eastAsia="ja-JP"/>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10°</w:t>
            </w:r>
          </w:p>
        </w:tc>
        <w:tc>
          <w:tcPr>
            <w:tcW w:w="1227" w:type="dxa"/>
            <w:shd w:val="clear" w:color="auto" w:fill="auto"/>
            <w:tcMar>
              <w:top w:w="11" w:type="dxa"/>
              <w:bottom w:w="11" w:type="dxa"/>
            </w:tcMar>
            <w:vAlign w:val="bottom"/>
          </w:tcPr>
          <w:p>
            <w:pPr>
              <w:pStyle w:val="67"/>
              <w:rPr>
                <w:rFonts w:cs="Calibri"/>
                <w:lang w:val="en"/>
              </w:rPr>
            </w:pPr>
            <w:r>
              <w:rPr>
                <w:lang w:val="en"/>
              </w:rPr>
              <w:t>1.79</w:t>
            </w:r>
          </w:p>
        </w:tc>
        <w:tc>
          <w:tcPr>
            <w:tcW w:w="1134" w:type="dxa"/>
            <w:shd w:val="clear" w:color="auto" w:fill="auto"/>
            <w:tcMar>
              <w:top w:w="11" w:type="dxa"/>
              <w:bottom w:w="11" w:type="dxa"/>
            </w:tcMar>
            <w:vAlign w:val="bottom"/>
          </w:tcPr>
          <w:p>
            <w:pPr>
              <w:pStyle w:val="67"/>
              <w:rPr>
                <w:rFonts w:cs="Calibri"/>
                <w:lang w:val="en"/>
              </w:rPr>
            </w:pPr>
            <w:r>
              <w:rPr>
                <w:lang w:val="en"/>
              </w:rPr>
              <w:t>8.93</w:t>
            </w:r>
          </w:p>
        </w:tc>
        <w:tc>
          <w:tcPr>
            <w:tcW w:w="1021" w:type="dxa"/>
            <w:shd w:val="clear" w:color="auto" w:fill="auto"/>
            <w:tcMar>
              <w:top w:w="11" w:type="dxa"/>
              <w:bottom w:w="11" w:type="dxa"/>
            </w:tcMar>
            <w:vAlign w:val="bottom"/>
          </w:tcPr>
          <w:p>
            <w:pPr>
              <w:pStyle w:val="67"/>
              <w:rPr>
                <w:rFonts w:cs="Calibri"/>
                <w:lang w:val="en"/>
              </w:rPr>
            </w:pPr>
            <w:r>
              <w:rPr>
                <w:lang w:val="en"/>
              </w:rPr>
              <w:t>19.52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20°</w:t>
            </w:r>
          </w:p>
        </w:tc>
        <w:tc>
          <w:tcPr>
            <w:tcW w:w="1227" w:type="dxa"/>
            <w:shd w:val="clear" w:color="auto" w:fill="auto"/>
            <w:tcMar>
              <w:top w:w="11" w:type="dxa"/>
              <w:bottom w:w="11" w:type="dxa"/>
            </w:tcMar>
            <w:vAlign w:val="bottom"/>
          </w:tcPr>
          <w:p>
            <w:pPr>
              <w:pStyle w:val="67"/>
              <w:rPr>
                <w:rFonts w:cs="Calibri"/>
                <w:lang w:val="en"/>
              </w:rPr>
            </w:pPr>
            <w:r>
              <w:rPr>
                <w:lang w:val="en"/>
              </w:rPr>
              <w:t>1.14</w:t>
            </w:r>
          </w:p>
        </w:tc>
        <w:tc>
          <w:tcPr>
            <w:tcW w:w="1134" w:type="dxa"/>
            <w:shd w:val="clear" w:color="auto" w:fill="auto"/>
            <w:tcMar>
              <w:top w:w="11" w:type="dxa"/>
              <w:bottom w:w="11" w:type="dxa"/>
            </w:tcMar>
            <w:vAlign w:val="bottom"/>
          </w:tcPr>
          <w:p>
            <w:pPr>
              <w:pStyle w:val="67"/>
              <w:rPr>
                <w:rFonts w:cs="Calibri"/>
                <w:lang w:val="en"/>
              </w:rPr>
            </w:pPr>
            <w:r>
              <w:rPr>
                <w:lang w:val="en"/>
              </w:rPr>
              <w:t>9.08</w:t>
            </w:r>
          </w:p>
        </w:tc>
        <w:tc>
          <w:tcPr>
            <w:tcW w:w="1021" w:type="dxa"/>
            <w:shd w:val="clear" w:color="auto" w:fill="auto"/>
            <w:tcMar>
              <w:top w:w="11" w:type="dxa"/>
              <w:bottom w:w="11" w:type="dxa"/>
            </w:tcMar>
            <w:vAlign w:val="bottom"/>
          </w:tcPr>
          <w:p>
            <w:pPr>
              <w:pStyle w:val="67"/>
              <w:rPr>
                <w:rFonts w:cs="Calibri"/>
                <w:lang w:val="en"/>
              </w:rPr>
            </w:pPr>
            <w:r>
              <w:rPr>
                <w:lang w:val="en"/>
              </w:rPr>
              <w:t>18.17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30°</w:t>
            </w:r>
          </w:p>
        </w:tc>
        <w:tc>
          <w:tcPr>
            <w:tcW w:w="1227" w:type="dxa"/>
            <w:shd w:val="clear" w:color="auto" w:fill="auto"/>
            <w:tcMar>
              <w:top w:w="11" w:type="dxa"/>
              <w:bottom w:w="11" w:type="dxa"/>
            </w:tcMar>
            <w:vAlign w:val="bottom"/>
          </w:tcPr>
          <w:p>
            <w:pPr>
              <w:pStyle w:val="67"/>
              <w:rPr>
                <w:rFonts w:cs="Calibri"/>
                <w:lang w:val="en"/>
              </w:rPr>
            </w:pPr>
            <w:r>
              <w:rPr>
                <w:lang w:val="en"/>
              </w:rPr>
              <w:t>1.14</w:t>
            </w:r>
          </w:p>
        </w:tc>
        <w:tc>
          <w:tcPr>
            <w:tcW w:w="1134" w:type="dxa"/>
            <w:shd w:val="clear" w:color="auto" w:fill="auto"/>
            <w:tcMar>
              <w:top w:w="11" w:type="dxa"/>
              <w:bottom w:w="11" w:type="dxa"/>
            </w:tcMar>
            <w:vAlign w:val="bottom"/>
          </w:tcPr>
          <w:p>
            <w:pPr>
              <w:pStyle w:val="67"/>
              <w:rPr>
                <w:rFonts w:cs="Calibri"/>
                <w:lang w:val="en"/>
              </w:rPr>
            </w:pPr>
            <w:r>
              <w:rPr>
                <w:lang w:val="en"/>
              </w:rPr>
              <w:t>8.78</w:t>
            </w:r>
          </w:p>
        </w:tc>
        <w:tc>
          <w:tcPr>
            <w:tcW w:w="1021" w:type="dxa"/>
            <w:shd w:val="clear" w:color="auto" w:fill="auto"/>
            <w:tcMar>
              <w:top w:w="11" w:type="dxa"/>
              <w:bottom w:w="11" w:type="dxa"/>
            </w:tcMar>
            <w:vAlign w:val="bottom"/>
          </w:tcPr>
          <w:p>
            <w:pPr>
              <w:pStyle w:val="67"/>
              <w:rPr>
                <w:rFonts w:cs="Calibri"/>
                <w:lang w:val="en"/>
              </w:rPr>
            </w:pPr>
            <w:r>
              <w:rPr>
                <w:lang w:val="en"/>
              </w:rPr>
              <w:t>18.42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40°</w:t>
            </w:r>
          </w:p>
        </w:tc>
        <w:tc>
          <w:tcPr>
            <w:tcW w:w="1227" w:type="dxa"/>
            <w:shd w:val="clear" w:color="auto" w:fill="auto"/>
            <w:tcMar>
              <w:top w:w="11" w:type="dxa"/>
              <w:bottom w:w="11" w:type="dxa"/>
            </w:tcMar>
            <w:vAlign w:val="bottom"/>
          </w:tcPr>
          <w:p>
            <w:pPr>
              <w:pStyle w:val="67"/>
              <w:rPr>
                <w:rFonts w:cs="Calibri"/>
                <w:lang w:val="en"/>
              </w:rPr>
            </w:pPr>
            <w:r>
              <w:rPr>
                <w:lang w:val="en"/>
              </w:rPr>
              <w:t>0.92</w:t>
            </w:r>
          </w:p>
        </w:tc>
        <w:tc>
          <w:tcPr>
            <w:tcW w:w="1134" w:type="dxa"/>
            <w:shd w:val="clear" w:color="auto" w:fill="auto"/>
            <w:tcMar>
              <w:top w:w="11" w:type="dxa"/>
              <w:bottom w:w="11" w:type="dxa"/>
            </w:tcMar>
            <w:vAlign w:val="bottom"/>
          </w:tcPr>
          <w:p>
            <w:pPr>
              <w:pStyle w:val="67"/>
              <w:rPr>
                <w:rFonts w:cs="Calibri"/>
                <w:lang w:val="en"/>
              </w:rPr>
            </w:pPr>
            <w:r>
              <w:rPr>
                <w:lang w:val="en"/>
              </w:rPr>
              <w:t>10.25</w:t>
            </w:r>
          </w:p>
        </w:tc>
        <w:tc>
          <w:tcPr>
            <w:tcW w:w="1021" w:type="dxa"/>
            <w:shd w:val="clear" w:color="auto" w:fill="auto"/>
            <w:tcMar>
              <w:top w:w="11" w:type="dxa"/>
              <w:bottom w:w="11" w:type="dxa"/>
            </w:tcMar>
            <w:vAlign w:val="bottom"/>
          </w:tcPr>
          <w:p>
            <w:pPr>
              <w:pStyle w:val="67"/>
              <w:rPr>
                <w:rFonts w:cs="Calibri"/>
                <w:lang w:val="en"/>
              </w:rPr>
            </w:pPr>
            <w:r>
              <w:rPr>
                <w:lang w:val="en"/>
              </w:rPr>
              <w:t>18.28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50°</w:t>
            </w:r>
          </w:p>
        </w:tc>
        <w:tc>
          <w:tcPr>
            <w:tcW w:w="1227" w:type="dxa"/>
            <w:shd w:val="clear" w:color="auto" w:fill="auto"/>
            <w:tcMar>
              <w:top w:w="11" w:type="dxa"/>
              <w:bottom w:w="11" w:type="dxa"/>
            </w:tcMar>
            <w:vAlign w:val="bottom"/>
          </w:tcPr>
          <w:p>
            <w:pPr>
              <w:pStyle w:val="67"/>
              <w:rPr>
                <w:rFonts w:cs="Calibri"/>
                <w:lang w:val="en"/>
              </w:rPr>
            </w:pPr>
            <w:r>
              <w:rPr>
                <w:lang w:val="en"/>
              </w:rPr>
              <w:t>1.42</w:t>
            </w:r>
          </w:p>
        </w:tc>
        <w:tc>
          <w:tcPr>
            <w:tcW w:w="1134" w:type="dxa"/>
            <w:shd w:val="clear" w:color="auto" w:fill="auto"/>
            <w:tcMar>
              <w:top w:w="11" w:type="dxa"/>
              <w:bottom w:w="11" w:type="dxa"/>
            </w:tcMar>
            <w:vAlign w:val="bottom"/>
          </w:tcPr>
          <w:p>
            <w:pPr>
              <w:pStyle w:val="67"/>
              <w:rPr>
                <w:rFonts w:cs="Calibri"/>
                <w:lang w:val="en"/>
              </w:rPr>
            </w:pPr>
            <w:r>
              <w:rPr>
                <w:lang w:val="en"/>
              </w:rPr>
              <w:t>10.56</w:t>
            </w:r>
          </w:p>
        </w:tc>
        <w:tc>
          <w:tcPr>
            <w:tcW w:w="1021" w:type="dxa"/>
            <w:shd w:val="clear" w:color="auto" w:fill="auto"/>
            <w:tcMar>
              <w:top w:w="11" w:type="dxa"/>
              <w:bottom w:w="11" w:type="dxa"/>
            </w:tcMar>
            <w:vAlign w:val="bottom"/>
          </w:tcPr>
          <w:p>
            <w:pPr>
              <w:pStyle w:val="67"/>
              <w:rPr>
                <w:rFonts w:cs="Calibri"/>
                <w:lang w:val="en"/>
              </w:rPr>
            </w:pPr>
            <w:r>
              <w:rPr>
                <w:lang w:val="en"/>
              </w:rPr>
              <w:t>18.63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60°</w:t>
            </w:r>
          </w:p>
        </w:tc>
        <w:tc>
          <w:tcPr>
            <w:tcW w:w="1227" w:type="dxa"/>
            <w:shd w:val="clear" w:color="auto" w:fill="auto"/>
            <w:tcMar>
              <w:top w:w="11" w:type="dxa"/>
              <w:bottom w:w="11" w:type="dxa"/>
            </w:tcMar>
            <w:vAlign w:val="bottom"/>
          </w:tcPr>
          <w:p>
            <w:pPr>
              <w:pStyle w:val="67"/>
              <w:rPr>
                <w:rFonts w:cs="Calibri"/>
                <w:lang w:val="en"/>
              </w:rPr>
            </w:pPr>
            <w:r>
              <w:rPr>
                <w:lang w:val="en"/>
              </w:rPr>
              <w:t>1.56</w:t>
            </w:r>
          </w:p>
        </w:tc>
        <w:tc>
          <w:tcPr>
            <w:tcW w:w="1134" w:type="dxa"/>
            <w:shd w:val="clear" w:color="auto" w:fill="auto"/>
            <w:tcMar>
              <w:top w:w="11" w:type="dxa"/>
              <w:bottom w:w="11" w:type="dxa"/>
            </w:tcMar>
            <w:vAlign w:val="bottom"/>
          </w:tcPr>
          <w:p>
            <w:pPr>
              <w:pStyle w:val="67"/>
              <w:rPr>
                <w:rFonts w:cs="Calibri"/>
                <w:lang w:val="en"/>
              </w:rPr>
            </w:pPr>
            <w:r>
              <w:rPr>
                <w:lang w:val="en"/>
              </w:rPr>
              <w:t>10.74</w:t>
            </w:r>
          </w:p>
        </w:tc>
        <w:tc>
          <w:tcPr>
            <w:tcW w:w="1021" w:type="dxa"/>
            <w:shd w:val="clear" w:color="auto" w:fill="auto"/>
            <w:tcMar>
              <w:top w:w="11" w:type="dxa"/>
              <w:bottom w:w="11" w:type="dxa"/>
            </w:tcMar>
            <w:vAlign w:val="bottom"/>
          </w:tcPr>
          <w:p>
            <w:pPr>
              <w:pStyle w:val="67"/>
              <w:rPr>
                <w:rFonts w:cs="Calibri"/>
                <w:lang w:val="en"/>
              </w:rPr>
            </w:pPr>
            <w:r>
              <w:rPr>
                <w:lang w:val="en"/>
              </w:rPr>
              <w:t>17.68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70°</w:t>
            </w:r>
          </w:p>
        </w:tc>
        <w:tc>
          <w:tcPr>
            <w:tcW w:w="1227" w:type="dxa"/>
            <w:shd w:val="clear" w:color="auto" w:fill="auto"/>
            <w:tcMar>
              <w:top w:w="11" w:type="dxa"/>
              <w:bottom w:w="11" w:type="dxa"/>
            </w:tcMar>
            <w:vAlign w:val="bottom"/>
          </w:tcPr>
          <w:p>
            <w:pPr>
              <w:pStyle w:val="67"/>
              <w:rPr>
                <w:rFonts w:cs="Calibri"/>
                <w:lang w:val="en"/>
              </w:rPr>
            </w:pPr>
            <w:r>
              <w:rPr>
                <w:lang w:val="en"/>
              </w:rPr>
              <w:t>0.85</w:t>
            </w:r>
          </w:p>
        </w:tc>
        <w:tc>
          <w:tcPr>
            <w:tcW w:w="1134" w:type="dxa"/>
            <w:shd w:val="clear" w:color="auto" w:fill="auto"/>
            <w:tcMar>
              <w:top w:w="11" w:type="dxa"/>
              <w:bottom w:w="11" w:type="dxa"/>
            </w:tcMar>
            <w:vAlign w:val="bottom"/>
          </w:tcPr>
          <w:p>
            <w:pPr>
              <w:pStyle w:val="67"/>
              <w:rPr>
                <w:rFonts w:cs="Calibri"/>
                <w:lang w:val="en"/>
              </w:rPr>
            </w:pPr>
            <w:r>
              <w:rPr>
                <w:lang w:val="en"/>
              </w:rPr>
              <w:t>10.17</w:t>
            </w:r>
          </w:p>
        </w:tc>
        <w:tc>
          <w:tcPr>
            <w:tcW w:w="1021" w:type="dxa"/>
            <w:shd w:val="clear" w:color="auto" w:fill="auto"/>
            <w:tcMar>
              <w:top w:w="11" w:type="dxa"/>
              <w:bottom w:w="11" w:type="dxa"/>
            </w:tcMar>
            <w:vAlign w:val="bottom"/>
          </w:tcPr>
          <w:p>
            <w:pPr>
              <w:pStyle w:val="67"/>
              <w:rPr>
                <w:rFonts w:cs="Calibri"/>
                <w:lang w:val="en"/>
              </w:rPr>
            </w:pPr>
            <w:r>
              <w:rPr>
                <w:lang w:val="en"/>
              </w:rPr>
              <w:t>16.50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80°</w:t>
            </w:r>
          </w:p>
        </w:tc>
        <w:tc>
          <w:tcPr>
            <w:tcW w:w="1227" w:type="dxa"/>
            <w:shd w:val="clear" w:color="auto" w:fill="auto"/>
            <w:tcMar>
              <w:top w:w="11" w:type="dxa"/>
              <w:bottom w:w="11" w:type="dxa"/>
            </w:tcMar>
            <w:vAlign w:val="bottom"/>
          </w:tcPr>
          <w:p>
            <w:pPr>
              <w:pStyle w:val="67"/>
              <w:rPr>
                <w:rFonts w:cs="Calibri"/>
                <w:lang w:val="en"/>
              </w:rPr>
            </w:pPr>
            <w:r>
              <w:rPr>
                <w:lang w:val="en"/>
              </w:rPr>
              <w:t>0.72</w:t>
            </w:r>
          </w:p>
        </w:tc>
        <w:tc>
          <w:tcPr>
            <w:tcW w:w="1134" w:type="dxa"/>
            <w:shd w:val="clear" w:color="auto" w:fill="auto"/>
            <w:tcMar>
              <w:top w:w="11" w:type="dxa"/>
              <w:bottom w:w="11" w:type="dxa"/>
            </w:tcMar>
            <w:vAlign w:val="bottom"/>
          </w:tcPr>
          <w:p>
            <w:pPr>
              <w:pStyle w:val="67"/>
              <w:rPr>
                <w:rFonts w:cs="Calibri"/>
                <w:lang w:val="en"/>
              </w:rPr>
            </w:pPr>
            <w:r>
              <w:rPr>
                <w:lang w:val="en"/>
              </w:rPr>
              <w:t>11.52</w:t>
            </w:r>
          </w:p>
        </w:tc>
        <w:tc>
          <w:tcPr>
            <w:tcW w:w="1021" w:type="dxa"/>
            <w:shd w:val="clear" w:color="auto" w:fill="auto"/>
            <w:tcMar>
              <w:top w:w="11" w:type="dxa"/>
              <w:bottom w:w="11" w:type="dxa"/>
            </w:tcMar>
            <w:vAlign w:val="bottom"/>
          </w:tcPr>
          <w:p>
            <w:pPr>
              <w:pStyle w:val="67"/>
              <w:rPr>
                <w:rFonts w:cs="Calibri"/>
                <w:lang w:val="en"/>
              </w:rPr>
            </w:pPr>
            <w:r>
              <w:rPr>
                <w:lang w:val="en"/>
              </w:rPr>
              <w:t>16.30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90°</w:t>
            </w:r>
          </w:p>
        </w:tc>
        <w:tc>
          <w:tcPr>
            <w:tcW w:w="1227" w:type="dxa"/>
            <w:shd w:val="clear" w:color="auto" w:fill="auto"/>
            <w:tcMar>
              <w:top w:w="11" w:type="dxa"/>
              <w:bottom w:w="11" w:type="dxa"/>
            </w:tcMar>
            <w:vAlign w:val="bottom"/>
          </w:tcPr>
          <w:p>
            <w:pPr>
              <w:pStyle w:val="67"/>
              <w:rPr>
                <w:rFonts w:cs="Calibri"/>
                <w:lang w:val="en"/>
              </w:rPr>
            </w:pPr>
            <w:r>
              <w:rPr>
                <w:lang w:val="en"/>
              </w:rPr>
              <w:t>0.72</w:t>
            </w:r>
          </w:p>
        </w:tc>
        <w:tc>
          <w:tcPr>
            <w:tcW w:w="1134" w:type="dxa"/>
            <w:shd w:val="clear" w:color="auto" w:fill="auto"/>
            <w:tcMar>
              <w:top w:w="11" w:type="dxa"/>
              <w:bottom w:w="11" w:type="dxa"/>
            </w:tcMar>
            <w:vAlign w:val="bottom"/>
          </w:tcPr>
          <w:p>
            <w:pPr>
              <w:pStyle w:val="67"/>
              <w:rPr>
                <w:rFonts w:cs="Calibri"/>
                <w:lang w:val="en"/>
              </w:rPr>
            </w:pPr>
            <w:r>
              <w:rPr>
                <w:lang w:val="en"/>
              </w:rPr>
              <w:t>11.52</w:t>
            </w:r>
          </w:p>
        </w:tc>
        <w:tc>
          <w:tcPr>
            <w:tcW w:w="1021" w:type="dxa"/>
            <w:shd w:val="clear" w:color="auto" w:fill="auto"/>
            <w:tcMar>
              <w:top w:w="11" w:type="dxa"/>
              <w:bottom w:w="11" w:type="dxa"/>
            </w:tcMar>
            <w:vAlign w:val="bottom"/>
          </w:tcPr>
          <w:p>
            <w:pPr>
              <w:pStyle w:val="67"/>
              <w:rPr>
                <w:rFonts w:cs="Calibri"/>
                <w:lang w:val="en"/>
              </w:rPr>
            </w:pPr>
            <w:r>
              <w:rPr>
                <w:lang w:val="en"/>
              </w:rPr>
              <w:t>16.30</w:t>
            </w:r>
          </w:p>
        </w:tc>
      </w:tr>
    </w:tbl>
    <w:p/>
    <w:p>
      <w:pPr>
        <w:pStyle w:val="5"/>
      </w:pPr>
      <w:bookmarkStart w:id="37" w:name="_Toc133498133"/>
      <w:r>
        <w:rPr>
          <w:rFonts w:hint="eastAsia"/>
        </w:rPr>
        <w:t xml:space="preserve">6.2.5.2 </w:t>
      </w:r>
      <w:r>
        <w:t>Propagation model between TN BS and TN UE</w:t>
      </w:r>
      <w:bookmarkEnd w:id="37"/>
    </w:p>
    <w:p>
      <w:pPr>
        <w:rPr>
          <w:lang w:eastAsia="zh-CN"/>
        </w:rPr>
      </w:pPr>
      <w:r>
        <w:rPr>
          <w:lang w:eastAsia="zh-CN"/>
        </w:rPr>
        <w:t>Referring to section 7.4 in TR 38.901, the propagation model between TN BS and TN UE can be summarized as below, which is same as RMa scenario.</w:t>
      </w:r>
    </w:p>
    <w:p>
      <w:pPr>
        <w:rPr>
          <w:b/>
          <w:lang w:eastAsia="zh-CN"/>
        </w:rPr>
      </w:pPr>
      <w:r>
        <w:rPr>
          <w:rFonts w:hint="eastAsia"/>
          <w:b/>
        </w:rPr>
        <w:t>Pathloss</w:t>
      </w:r>
      <w:r>
        <w:rPr>
          <w:b/>
        </w:rPr>
        <w:t>:</w:t>
      </w:r>
    </w:p>
    <w:p>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pPr>
        <w:pStyle w:val="75"/>
        <w:rPr>
          <w:lang w:eastAsia="ko-KR"/>
        </w:rPr>
      </w:pPr>
      <w:bookmarkStart w:id="38" w:name="_Ref363806083"/>
      <w:bookmarkEnd w:id="38"/>
      <w:bookmarkStart w:id="39" w:name="_Ref363806159"/>
      <w:bookmarkEnd w:id="39"/>
    </w:p>
    <w:tbl>
      <w:tblPr>
        <w:tblStyle w:val="49"/>
        <w:tblW w:w="0" w:type="auto"/>
        <w:tblInd w:w="0" w:type="dxa"/>
        <w:tblLayout w:type="autofit"/>
        <w:tblCellMar>
          <w:top w:w="0" w:type="dxa"/>
          <w:left w:w="108" w:type="dxa"/>
          <w:bottom w:w="0" w:type="dxa"/>
          <w:right w:w="108" w:type="dxa"/>
        </w:tblCellMar>
      </w:tblPr>
      <w:tblGrid>
        <w:gridCol w:w="4914"/>
        <w:gridCol w:w="4914"/>
      </w:tblGrid>
      <w:tr>
        <w:tblPrEx>
          <w:tblCellMar>
            <w:top w:w="0" w:type="dxa"/>
            <w:left w:w="108" w:type="dxa"/>
            <w:bottom w:w="0" w:type="dxa"/>
            <w:right w:w="108" w:type="dxa"/>
          </w:tblCellMar>
        </w:tblPrEx>
        <w:tc>
          <w:tcPr>
            <w:tcW w:w="4914" w:type="dxa"/>
            <w:shd w:val="clear" w:color="auto" w:fill="auto"/>
          </w:tcPr>
          <w:p>
            <w:pPr>
              <w:pStyle w:val="75"/>
              <w:rPr>
                <w:lang w:eastAsia="ko-KR"/>
              </w:rPr>
            </w:pPr>
            <w:r>
              <w:object>
                <v:shape id="_x0000_i1039" o:spt="75" type="#_x0000_t75" style="height:111.9pt;width:208.25pt;" o:ole="t" filled="f" o:preferrelative="t" stroked="f" coordsize="21600,21600">
                  <v:path/>
                  <v:fill on="f" focussize="0,0"/>
                  <v:stroke on="f" joinstyle="miter"/>
                  <v:imagedata r:id="rId47" o:title=""/>
                  <o:lock v:ext="edit" aspectratio="t"/>
                  <w10:wrap type="none"/>
                  <w10:anchorlock/>
                </v:shape>
                <o:OLEObject Type="Embed" ProgID="Visio.Drawing.11" ShapeID="_x0000_i1039" DrawAspect="Content" ObjectID="_1468075740" r:id="rId46">
                  <o:LockedField>false</o:LockedField>
                </o:OLEObject>
              </w:object>
            </w:r>
          </w:p>
        </w:tc>
        <w:tc>
          <w:tcPr>
            <w:tcW w:w="4914" w:type="dxa"/>
            <w:shd w:val="clear" w:color="auto" w:fill="auto"/>
          </w:tcPr>
          <w:p>
            <w:pPr>
              <w:pStyle w:val="75"/>
              <w:rPr>
                <w:lang w:eastAsia="ko-KR"/>
              </w:rPr>
            </w:pPr>
            <w:r>
              <w:object>
                <v:shape id="_x0000_i1040" o:spt="75" type="#_x0000_t75" style="height:115.2pt;width:214.9pt;" o:ole="t" filled="f" o:preferrelative="t" stroked="f" coordsize="21600,21600">
                  <v:path/>
                  <v:fill on="f" focussize="0,0"/>
                  <v:stroke on="f" joinstyle="miter"/>
                  <v:imagedata r:id="rId49" o:title=""/>
                  <o:lock v:ext="edit" aspectratio="t"/>
                  <w10:wrap type="none"/>
                  <w10:anchorlock/>
                </v:shape>
                <o:OLEObject Type="Embed" ProgID="Visio.Drawing.11" ShapeID="_x0000_i1040" DrawAspect="Content" ObjectID="_1468075741" r:id="rId4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4" w:type="dxa"/>
            <w:tcBorders>
              <w:top w:val="nil"/>
              <w:left w:val="nil"/>
              <w:bottom w:val="nil"/>
              <w:right w:val="nil"/>
            </w:tcBorders>
            <w:shd w:val="clear" w:color="auto" w:fill="auto"/>
          </w:tcPr>
          <w:p>
            <w:pPr>
              <w:pStyle w:val="82"/>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ype="textWrapping"/>
            </w:r>
            <w:r>
              <w:t>for outdoor UTs</w:t>
            </w:r>
          </w:p>
        </w:tc>
        <w:tc>
          <w:tcPr>
            <w:tcW w:w="4914" w:type="dxa"/>
            <w:tcBorders>
              <w:top w:val="nil"/>
              <w:left w:val="nil"/>
              <w:bottom w:val="nil"/>
              <w:right w:val="nil"/>
            </w:tcBorders>
            <w:shd w:val="clear" w:color="auto" w:fill="auto"/>
          </w:tcPr>
          <w:p>
            <w:pPr>
              <w:pStyle w:val="82"/>
              <w:rPr>
                <w:lang w:eastAsia="ko-KR"/>
              </w:rPr>
            </w:pPr>
            <w:r>
              <w:t xml:space="preserve">Figure 6.2.5.2-2: Definition of </w:t>
            </w:r>
            <w:r>
              <w:rPr>
                <w:i/>
              </w:rPr>
              <w:t>d</w:t>
            </w:r>
            <w:r>
              <w:rPr>
                <w:i/>
                <w:vertAlign w:val="subscript"/>
              </w:rPr>
              <w:t>2D-out</w:t>
            </w:r>
            <w:r>
              <w:t xml:space="preserve">, </w:t>
            </w:r>
            <w:r>
              <w:rPr>
                <w:i/>
              </w:rPr>
              <w:t>d</w:t>
            </w:r>
            <w:r>
              <w:rPr>
                <w:i/>
                <w:vertAlign w:val="subscript"/>
              </w:rPr>
              <w:t>2D-in</w:t>
            </w:r>
            <w:r>
              <w:t xml:space="preserve"> </w:t>
            </w:r>
            <w:r>
              <w:br w:type="textWrapping"/>
            </w:r>
            <w:r>
              <w:t xml:space="preserve">and </w:t>
            </w:r>
            <w:r>
              <w:rPr>
                <w:i/>
              </w:rPr>
              <w:t>d</w:t>
            </w:r>
            <w:r>
              <w:rPr>
                <w:i/>
                <w:vertAlign w:val="subscript"/>
              </w:rPr>
              <w:t>3D-out</w:t>
            </w:r>
            <w:r>
              <w:t>,</w:t>
            </w:r>
            <w:r>
              <w:rPr>
                <w:i/>
              </w:rPr>
              <w:t xml:space="preserve"> d</w:t>
            </w:r>
            <w:r>
              <w:rPr>
                <w:i/>
                <w:vertAlign w:val="subscript"/>
              </w:rPr>
              <w:t>3D-in</w:t>
            </w:r>
            <w:r>
              <w:t xml:space="preserve"> for indoor UTs. </w:t>
            </w:r>
          </w:p>
        </w:tc>
      </w:tr>
    </w:tbl>
    <w:p>
      <w:pPr>
        <w:spacing w:after="200" w:line="276" w:lineRule="auto"/>
      </w:pPr>
      <w:r>
        <w:t xml:space="preserve">Note that </w:t>
      </w:r>
    </w:p>
    <w:p>
      <w:pPr>
        <w:pStyle w:val="57"/>
        <w:tabs>
          <w:tab w:val="center" w:pos="4820"/>
          <w:tab w:val="clear" w:pos="4536"/>
        </w:tabs>
        <w:rPr>
          <w:lang w:eastAsia="ko-KR"/>
        </w:rPr>
      </w:pPr>
      <w:r>
        <w:tab/>
      </w:r>
      <w:r>
        <w:rPr>
          <w:position w:val="-14"/>
        </w:rPr>
        <w:object>
          <v:shape id="_x0000_i1041" o:spt="75" type="#_x0000_t75" style="height:23.25pt;width:242.05pt;" o:ole="t" filled="f" o:preferrelative="t" stroked="f" coordsize="21600,21600">
            <v:path/>
            <v:fill on="f" focussize="0,0"/>
            <v:stroke on="f" joinstyle="miter"/>
            <v:imagedata r:id="rId51" o:title=""/>
            <o:lock v:ext="edit" aspectratio="t"/>
            <w10:wrap type="none"/>
            <w10:anchorlock/>
          </v:shape>
          <o:OLEObject Type="Embed" ProgID="Equation.3" ShapeID="_x0000_i1041" DrawAspect="Content" ObjectID="_1468075742" r:id="rId50">
            <o:LockedField>false</o:LockedField>
          </o:OLEObject>
        </w:object>
      </w:r>
      <w:r>
        <w:tab/>
      </w:r>
      <w:r>
        <w:t>(7.4-1)</w:t>
      </w:r>
    </w:p>
    <w:p/>
    <w:p>
      <w:pPr>
        <w:pStyle w:val="75"/>
        <w:keepNext w:val="0"/>
        <w:keepLines w:val="0"/>
      </w:pPr>
      <w:r>
        <w:t>Table 6.2.5.2-1: Pathloss models</w:t>
      </w:r>
    </w:p>
    <w:tbl>
      <w:tblPr>
        <w:tblStyle w:val="49"/>
        <w:tblW w:w="100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5"/>
        <w:gridCol w:w="445"/>
        <w:gridCol w:w="6034"/>
        <w:gridCol w:w="1034"/>
        <w:gridCol w:w="2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08" w:hRule="atLeast"/>
          <w:tblHeader/>
        </w:trPr>
        <w:tc>
          <w:tcPr>
            <w:tcW w:w="0" w:type="auto"/>
            <w:shd w:val="clear" w:color="auto" w:fill="D9D9D9"/>
            <w:textDirection w:val="btLr"/>
            <w:vAlign w:val="center"/>
          </w:tcPr>
          <w:p>
            <w:pPr>
              <w:pStyle w:val="66"/>
              <w:keepNext w:val="0"/>
              <w:keepLines w:val="0"/>
              <w:ind w:left="113" w:right="113"/>
              <w:rPr>
                <w:szCs w:val="18"/>
              </w:rPr>
            </w:pPr>
            <w:r>
              <w:rPr>
                <w:szCs w:val="18"/>
              </w:rPr>
              <w:t>Scenario</w:t>
            </w:r>
          </w:p>
        </w:tc>
        <w:tc>
          <w:tcPr>
            <w:tcW w:w="0" w:type="auto"/>
            <w:shd w:val="clear" w:color="auto" w:fill="D9D9D9"/>
            <w:textDirection w:val="btLr"/>
            <w:vAlign w:val="center"/>
          </w:tcPr>
          <w:p>
            <w:pPr>
              <w:pStyle w:val="66"/>
              <w:keepNext w:val="0"/>
              <w:keepLines w:val="0"/>
              <w:ind w:left="113" w:right="113"/>
              <w:rPr>
                <w:szCs w:val="18"/>
              </w:rPr>
            </w:pPr>
            <w:r>
              <w:rPr>
                <w:szCs w:val="18"/>
              </w:rPr>
              <w:t>LOS/NLOS</w:t>
            </w:r>
          </w:p>
        </w:tc>
        <w:tc>
          <w:tcPr>
            <w:tcW w:w="0" w:type="auto"/>
            <w:shd w:val="clear" w:color="auto" w:fill="D9D9D9"/>
            <w:vAlign w:val="center"/>
          </w:tcPr>
          <w:p>
            <w:pPr>
              <w:pStyle w:val="66"/>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pPr>
              <w:pStyle w:val="66"/>
              <w:keepNext w:val="0"/>
              <w:keepLines w:val="0"/>
              <w:rPr>
                <w:rFonts w:cs="Arial"/>
                <w:szCs w:val="18"/>
              </w:rPr>
            </w:pPr>
            <w:r>
              <w:rPr>
                <w:rFonts w:cs="Arial"/>
                <w:szCs w:val="18"/>
              </w:rPr>
              <w:t xml:space="preserve">Shadow </w:t>
            </w:r>
          </w:p>
          <w:p>
            <w:pPr>
              <w:pStyle w:val="66"/>
              <w:keepNext w:val="0"/>
              <w:keepLines w:val="0"/>
              <w:rPr>
                <w:rFonts w:cs="Arial"/>
                <w:szCs w:val="18"/>
              </w:rPr>
            </w:pPr>
            <w:r>
              <w:rPr>
                <w:rFonts w:cs="Arial"/>
                <w:szCs w:val="18"/>
              </w:rPr>
              <w:t xml:space="preserve">fading </w:t>
            </w:r>
          </w:p>
          <w:p>
            <w:pPr>
              <w:pStyle w:val="66"/>
              <w:keepNext w:val="0"/>
              <w:keepLines w:val="0"/>
              <w:rPr>
                <w:rFonts w:cs="Arial"/>
                <w:szCs w:val="18"/>
              </w:rPr>
            </w:pPr>
            <w:r>
              <w:rPr>
                <w:rFonts w:cs="Arial"/>
                <w:szCs w:val="18"/>
              </w:rPr>
              <w:t>std [dB]</w:t>
            </w:r>
          </w:p>
        </w:tc>
        <w:tc>
          <w:tcPr>
            <w:tcW w:w="0" w:type="auto"/>
            <w:shd w:val="clear" w:color="auto" w:fill="D9D9D9"/>
            <w:vAlign w:val="center"/>
          </w:tcPr>
          <w:p>
            <w:pPr>
              <w:pStyle w:val="66"/>
              <w:keepNext w:val="0"/>
              <w:keepLines w:val="0"/>
              <w:rPr>
                <w:rFonts w:cs="Arial"/>
                <w:szCs w:val="18"/>
              </w:rPr>
            </w:pPr>
            <w:r>
              <w:rPr>
                <w:rFonts w:cs="Arial"/>
                <w:szCs w:val="18"/>
              </w:rPr>
              <w:t xml:space="preserve">Applicability range, </w:t>
            </w:r>
          </w:p>
          <w:p>
            <w:pPr>
              <w:pStyle w:val="66"/>
              <w:keepNext w:val="0"/>
              <w:keepLines w:val="0"/>
              <w:rPr>
                <w:rFonts w:cs="Arial"/>
                <w:szCs w:val="18"/>
              </w:rPr>
            </w:pPr>
            <w:r>
              <w:rPr>
                <w:rFonts w:cs="Arial"/>
                <w:szCs w:val="18"/>
              </w:rPr>
              <w:t xml:space="preserve">antenna height </w:t>
            </w:r>
          </w:p>
          <w:p>
            <w:pPr>
              <w:pStyle w:val="66"/>
              <w:keepNext w:val="0"/>
              <w:keepLines w:val="0"/>
              <w:rPr>
                <w:rFonts w:cs="Arial"/>
                <w:szCs w:val="18"/>
              </w:rPr>
            </w:pPr>
            <w:r>
              <w:rPr>
                <w:rFonts w:cs="Arial"/>
                <w:szCs w:val="18"/>
              </w:rPr>
              <w:t xml:space="preserve">default values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vMerge w:val="restart"/>
            <w:shd w:val="clear" w:color="auto" w:fill="F2F2F2"/>
            <w:textDirection w:val="btLr"/>
            <w:vAlign w:val="center"/>
          </w:tcPr>
          <w:p>
            <w:pPr>
              <w:pStyle w:val="66"/>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pPr>
              <w:pStyle w:val="66"/>
              <w:keepNext w:val="0"/>
              <w:keepLines w:val="0"/>
              <w:ind w:left="113" w:right="113"/>
              <w:rPr>
                <w:szCs w:val="18"/>
                <w:lang w:eastAsia="ko-KR"/>
              </w:rPr>
            </w:pPr>
            <w:r>
              <w:rPr>
                <w:szCs w:val="18"/>
                <w:lang w:eastAsia="ko-KR"/>
              </w:rPr>
              <w:t>LOS</w:t>
            </w:r>
          </w:p>
        </w:tc>
        <w:tc>
          <w:tcPr>
            <w:tcW w:w="0" w:type="auto"/>
          </w:tcPr>
          <w:p>
            <w:pPr>
              <w:pStyle w:val="133"/>
              <w:rPr>
                <w:rFonts w:ascii="Arial" w:hAnsi="Arial" w:cs="Arial"/>
                <w:sz w:val="18"/>
                <w:szCs w:val="18"/>
              </w:rPr>
            </w:pPr>
            <w:r>
              <w:rPr>
                <w:rFonts w:ascii="Arial" w:hAnsi="Arial" w:cs="Arial"/>
                <w:position w:val="-32"/>
                <w:sz w:val="18"/>
                <w:szCs w:val="18"/>
              </w:rPr>
              <w:object>
                <v:shape id="_x0000_i1042" o:spt="75" type="#_x0000_t75" style="height:37.65pt;width:180.55pt;" o:ole="t" filled="f" o:preferrelative="t" stroked="f" coordsize="21600,21600">
                  <v:path/>
                  <v:fill on="f" focussize="0,0"/>
                  <v:stroke on="f" joinstyle="miter"/>
                  <v:imagedata r:id="rId53" o:title=""/>
                  <o:lock v:ext="edit" aspectratio="t"/>
                  <w10:wrap type="none"/>
                  <w10:anchorlock/>
                </v:shape>
                <o:OLEObject Type="Embed" ProgID="Equation.3" ShapeID="_x0000_i1042" DrawAspect="Content" ObjectID="_1468075743" r:id="rId52">
                  <o:LockedField>false</o:LockedField>
                </o:OLEObject>
              </w:object>
            </w:r>
            <w:r>
              <w:rPr>
                <w:rFonts w:ascii="Arial" w:hAnsi="Arial" w:cs="Arial"/>
                <w:sz w:val="18"/>
                <w:szCs w:val="18"/>
              </w:rPr>
              <w:t>, see note 5</w:t>
            </w:r>
          </w:p>
          <w:p>
            <w:pPr>
              <w:pStyle w:val="133"/>
              <w:rPr>
                <w:rFonts w:ascii="Arial" w:hAnsi="Arial" w:cs="Arial"/>
                <w:sz w:val="18"/>
                <w:szCs w:val="18"/>
              </w:rPr>
            </w:pPr>
          </w:p>
          <w:p>
            <w:pPr>
              <w:pStyle w:val="133"/>
              <w:rPr>
                <w:rFonts w:ascii="Arial" w:hAnsi="Arial" w:eastAsia="MS Mincho" w:cs="Arial"/>
                <w:i/>
                <w:iCs/>
                <w:sz w:val="18"/>
                <w:szCs w:val="18"/>
                <w:lang w:val="en-US"/>
              </w:rPr>
            </w:pPr>
            <w:r>
              <w:rPr>
                <w:rFonts w:ascii="Arial" w:hAnsi="Arial" w:cs="Arial"/>
                <w:position w:val="-32"/>
                <w:sz w:val="18"/>
                <w:szCs w:val="18"/>
              </w:rPr>
              <w:object>
                <v:shape id="_x0000_i1043" o:spt="75" type="#_x0000_t75" style="height:37.65pt;width:275.25pt;" o:ole="t" filled="f" o:preferrelative="t" stroked="f" coordsize="21600,21600">
                  <v:path/>
                  <v:fill on="f" focussize="0,0"/>
                  <v:stroke on="f" joinstyle="miter"/>
                  <v:imagedata r:id="rId55" o:title=""/>
                  <o:lock v:ext="edit" aspectratio="t"/>
                  <w10:wrap type="none"/>
                  <w10:anchorlock/>
                </v:shape>
                <o:OLEObject Type="Embed" ProgID="Equation.3" ShapeID="_x0000_i1043" DrawAspect="Content" ObjectID="_1468075744" r:id="rId54">
                  <o:LockedField>false</o:LockedField>
                </o:OLEObject>
              </w:object>
            </w:r>
          </w:p>
          <w:p>
            <w:pPr>
              <w:pStyle w:val="133"/>
              <w:rPr>
                <w:rFonts w:ascii="Arial" w:hAnsi="Arial" w:eastAsia="MS Mincho" w:cs="Arial"/>
                <w:sz w:val="18"/>
                <w:szCs w:val="18"/>
                <w:lang w:eastAsia="ja-JP"/>
              </w:rPr>
            </w:pPr>
            <w:r>
              <w:rPr>
                <w:rFonts w:ascii="Arial" w:hAnsi="Arial" w:cs="Arial"/>
                <w:position w:val="-12"/>
                <w:sz w:val="18"/>
                <w:szCs w:val="18"/>
              </w:rPr>
              <w:object>
                <v:shape id="_x0000_i1044" o:spt="75" type="#_x0000_t75" style="height:17.7pt;width:172.25pt;" o:ole="t" filled="f" o:preferrelative="t" stroked="f" coordsize="21600,21600">
                  <v:path/>
                  <v:fill on="f" focussize="0,0"/>
                  <v:stroke on="f" joinstyle="miter"/>
                  <v:imagedata r:id="rId57" o:title=""/>
                  <o:lock v:ext="edit" aspectratio="t"/>
                  <w10:wrap type="none"/>
                  <w10:anchorlock/>
                </v:shape>
                <o:OLEObject Type="Embed" ProgID="Equation.3" ShapeID="_x0000_i1044" DrawAspect="Content" ObjectID="_1468075745" r:id="rId56">
                  <o:LockedField>false</o:LockedField>
                </o:OLEObject>
              </w:object>
            </w:r>
          </w:p>
        </w:tc>
        <w:tc>
          <w:tcPr>
            <w:tcW w:w="0" w:type="auto"/>
          </w:tcPr>
          <w:p>
            <w:pPr>
              <w:pStyle w:val="133"/>
              <w:jc w:val="center"/>
              <w:rPr>
                <w:rFonts w:ascii="Arial" w:hAnsi="Arial" w:cs="Arial"/>
                <w:sz w:val="18"/>
                <w:szCs w:val="18"/>
              </w:rPr>
            </w:pPr>
          </w:p>
          <w:p>
            <w:pPr>
              <w:pStyle w:val="133"/>
              <w:jc w:val="center"/>
              <w:rPr>
                <w:rFonts w:ascii="Arial" w:hAnsi="Arial" w:cs="Arial"/>
                <w:sz w:val="18"/>
                <w:szCs w:val="18"/>
              </w:rPr>
            </w:pPr>
          </w:p>
          <w:p>
            <w:pPr>
              <w:pStyle w:val="133"/>
              <w:jc w:val="center"/>
              <w:rPr>
                <w:rFonts w:ascii="Arial" w:hAnsi="Arial" w:cs="Arial"/>
                <w:sz w:val="18"/>
                <w:szCs w:val="18"/>
              </w:rPr>
            </w:pPr>
          </w:p>
          <w:p>
            <w:pPr>
              <w:pStyle w:val="133"/>
              <w:jc w:val="center"/>
              <w:rPr>
                <w:rFonts w:ascii="Arial" w:hAnsi="Arial" w:cs="Arial"/>
                <w:sz w:val="18"/>
                <w:szCs w:val="18"/>
              </w:rPr>
            </w:pPr>
          </w:p>
          <w:p>
            <w:pPr>
              <w:pStyle w:val="133"/>
              <w:jc w:val="center"/>
              <w:rPr>
                <w:rFonts w:ascii="Arial" w:hAnsi="Arial" w:eastAsia="MS Mincho" w:cs="Arial"/>
                <w:sz w:val="18"/>
                <w:szCs w:val="18"/>
                <w:lang w:eastAsia="ja-JP"/>
              </w:rPr>
            </w:pPr>
            <w:r>
              <w:rPr>
                <w:rFonts w:ascii="Arial" w:hAnsi="Arial" w:cs="Arial"/>
                <w:position w:val="-12"/>
                <w:sz w:val="18"/>
                <w:szCs w:val="18"/>
              </w:rPr>
              <w:object>
                <v:shape id="_x0000_i1045" o:spt="75" type="#_x0000_t75" style="height:17.7pt;width:38.2pt;" o:ole="t" filled="f" o:preferrelative="t" stroked="f" coordsize="21600,21600">
                  <v:path/>
                  <v:fill on="f" focussize="0,0"/>
                  <v:stroke on="f" joinstyle="miter"/>
                  <v:imagedata r:id="rId59" o:title=""/>
                  <o:lock v:ext="edit" aspectratio="t"/>
                  <w10:wrap type="none"/>
                  <w10:anchorlock/>
                </v:shape>
                <o:OLEObject Type="Embed" ProgID="Equation.3" ShapeID="_x0000_i1045" DrawAspect="Content" ObjectID="_1468075746" r:id="rId58">
                  <o:LockedField>false</o:LockedField>
                </o:OLEObject>
              </w:object>
            </w:r>
          </w:p>
          <w:p>
            <w:pPr>
              <w:pStyle w:val="133"/>
              <w:jc w:val="center"/>
              <w:rPr>
                <w:rFonts w:ascii="Arial" w:hAnsi="Arial" w:eastAsia="MS Mincho" w:cs="Arial"/>
                <w:sz w:val="18"/>
                <w:szCs w:val="18"/>
                <w:lang w:eastAsia="ja-JP"/>
              </w:rPr>
            </w:pPr>
          </w:p>
          <w:p>
            <w:pPr>
              <w:pStyle w:val="133"/>
              <w:jc w:val="center"/>
              <w:rPr>
                <w:rFonts w:ascii="Arial" w:hAnsi="Arial" w:eastAsia="MS Mincho" w:cs="Arial"/>
                <w:sz w:val="18"/>
                <w:szCs w:val="18"/>
              </w:rPr>
            </w:pPr>
            <w:r>
              <w:rPr>
                <w:rFonts w:ascii="Arial" w:hAnsi="Arial" w:cs="Arial"/>
                <w:position w:val="-12"/>
                <w:sz w:val="18"/>
                <w:szCs w:val="18"/>
              </w:rPr>
              <w:object>
                <v:shape id="_x0000_i1046" o:spt="75" type="#_x0000_t75" style="height:17.7pt;width:37.65pt;" o:ole="t" filled="f" o:preferrelative="t" stroked="f" coordsize="21600,21600">
                  <v:path/>
                  <v:fill on="f" focussize="0,0"/>
                  <v:stroke on="f" joinstyle="miter"/>
                  <v:imagedata r:id="rId61" o:title=""/>
                  <o:lock v:ext="edit" aspectratio="t"/>
                  <w10:wrap type="none"/>
                  <w10:anchorlock/>
                </v:shape>
                <o:OLEObject Type="Embed" ProgID="Equation.3" ShapeID="_x0000_i1046" DrawAspect="Content" ObjectID="_1468075747" r:id="rId60">
                  <o:LockedField>false</o:LockedField>
                </o:OLEObject>
              </w:object>
            </w:r>
          </w:p>
        </w:tc>
        <w:tc>
          <w:tcPr>
            <w:tcW w:w="0" w:type="auto"/>
            <w:vMerge w:val="restart"/>
          </w:tcPr>
          <w:p>
            <w:pPr>
              <w:pStyle w:val="133"/>
              <w:rPr>
                <w:rFonts w:ascii="Arial" w:hAnsi="Arial" w:cs="Arial"/>
                <w:sz w:val="18"/>
                <w:szCs w:val="18"/>
              </w:rPr>
            </w:pPr>
            <w:r>
              <w:rPr>
                <w:rFonts w:ascii="Arial" w:hAnsi="Arial" w:cs="Arial"/>
                <w:position w:val="-12"/>
                <w:sz w:val="18"/>
                <w:szCs w:val="18"/>
              </w:rPr>
              <w:object>
                <v:shape id="_x0000_i1047" o:spt="75" type="#_x0000_t75" style="height:17.7pt;width:52.6pt;" o:ole="t" filled="f" o:preferrelative="t" stroked="f" coordsize="21600,21600">
                  <v:path/>
                  <v:fill on="f" focussize="0,0"/>
                  <v:stroke on="f" joinstyle="miter"/>
                  <v:imagedata r:id="rId63" o:title=""/>
                  <o:lock v:ext="edit" aspectratio="t"/>
                  <w10:wrap type="none"/>
                  <w10:anchorlock/>
                </v:shape>
                <o:OLEObject Type="Embed" ProgID="Equation.3" ShapeID="_x0000_i1047" DrawAspect="Content" ObjectID="_1468075748" r:id="rId62">
                  <o:LockedField>false</o:LockedField>
                </o:OLEObject>
              </w:object>
            </w:r>
          </w:p>
          <w:p>
            <w:pPr>
              <w:pStyle w:val="133"/>
              <w:rPr>
                <w:rFonts w:ascii="Arial" w:hAnsi="Arial" w:cs="Arial"/>
                <w:sz w:val="18"/>
                <w:szCs w:val="18"/>
              </w:rPr>
            </w:pPr>
            <w:r>
              <w:rPr>
                <w:rFonts w:ascii="Arial" w:hAnsi="Arial" w:cs="Arial"/>
                <w:position w:val="-12"/>
                <w:sz w:val="18"/>
                <w:szCs w:val="18"/>
              </w:rPr>
              <w:object>
                <v:shape id="_x0000_i1048" o:spt="75" type="#_x0000_t75" style="height:17.7pt;width:55.95pt;" o:ole="t" filled="f" o:preferrelative="t" stroked="f" coordsize="21600,21600">
                  <v:path/>
                  <v:fill on="f" focussize="0,0"/>
                  <v:stroke on="f" joinstyle="miter"/>
                  <v:imagedata r:id="rId65" o:title=""/>
                  <o:lock v:ext="edit" aspectratio="t"/>
                  <w10:wrap type="none"/>
                  <w10:anchorlock/>
                </v:shape>
                <o:OLEObject Type="Embed" ProgID="Equation.3" ShapeID="_x0000_i1048" DrawAspect="Content" ObjectID="_1468075749" r:id="rId64">
                  <o:LockedField>false</o:LockedField>
                </o:OLEObject>
              </w:object>
            </w:r>
          </w:p>
          <w:p>
            <w:pPr>
              <w:pStyle w:val="133"/>
              <w:rPr>
                <w:rFonts w:ascii="Arial" w:hAnsi="Arial" w:cs="Arial"/>
                <w:sz w:val="18"/>
                <w:szCs w:val="18"/>
              </w:rPr>
            </w:pPr>
            <w:r>
              <w:rPr>
                <w:rFonts w:ascii="Arial" w:hAnsi="Arial" w:cs="Arial"/>
                <w:position w:val="-6"/>
                <w:sz w:val="18"/>
                <w:szCs w:val="18"/>
              </w:rPr>
              <w:object>
                <v:shape id="_x0000_i1049" o:spt="75" type="#_x0000_t75" style="height:13.3pt;width:51.5pt;" o:ole="t" filled="f" o:preferrelative="t" stroked="f" coordsize="21600,21600">
                  <v:path/>
                  <v:fill on="f" focussize="0,0"/>
                  <v:stroke on="f" joinstyle="miter"/>
                  <v:imagedata r:id="rId67" o:title=""/>
                  <o:lock v:ext="edit" aspectratio="t"/>
                  <w10:wrap type="none"/>
                  <w10:anchorlock/>
                </v:shape>
                <o:OLEObject Type="Embed" ProgID="Equation.3" ShapeID="_x0000_i1049" DrawAspect="Content" ObjectID="_1468075750" r:id="rId66">
                  <o:LockedField>false</o:LockedField>
                </o:OLEObject>
              </w:object>
            </w:r>
          </w:p>
          <w:p>
            <w:pPr>
              <w:pStyle w:val="133"/>
              <w:rPr>
                <w:rFonts w:ascii="Arial" w:hAnsi="Arial" w:eastAsia="MS Mincho" w:cs="Arial"/>
                <w:sz w:val="18"/>
                <w:szCs w:val="18"/>
                <w:lang w:val="en-US"/>
              </w:rPr>
            </w:pPr>
            <w:r>
              <w:rPr>
                <w:rFonts w:ascii="Arial" w:hAnsi="Arial" w:cs="Arial"/>
                <w:position w:val="-6"/>
                <w:sz w:val="18"/>
                <w:szCs w:val="18"/>
              </w:rPr>
              <w:object>
                <v:shape id="_x0000_i1050" o:spt="75" type="#_x0000_t75" style="height:13.3pt;width:37.65pt;" o:ole="t" filled="f" o:preferrelative="t" stroked="f" coordsize="21600,21600">
                  <v:path/>
                  <v:fill on="f" focussize="0,0"/>
                  <v:stroke on="f" joinstyle="miter"/>
                  <v:imagedata r:id="rId69" o:title=""/>
                  <o:lock v:ext="edit" aspectratio="t"/>
                  <w10:wrap type="none"/>
                  <w10:anchorlock/>
                </v:shape>
                <o:OLEObject Type="Embed" ProgID="Equation.3" ShapeID="_x0000_i1050" DrawAspect="Content" ObjectID="_1468075751" r:id="rId68">
                  <o:LockedField>false</o:LockedField>
                </o:OLEObject>
              </w:object>
            </w:r>
          </w:p>
          <w:p>
            <w:pPr>
              <w:pStyle w:val="133"/>
              <w:rPr>
                <w:rFonts w:ascii="Arial" w:hAnsi="Arial" w:eastAsia="MS Mincho" w:cs="Arial"/>
                <w:sz w:val="18"/>
                <w:szCs w:val="18"/>
                <w:lang w:val="en-US" w:eastAsia="ja-JP"/>
              </w:rPr>
            </w:pPr>
            <w:r>
              <w:rPr>
                <w:rFonts w:ascii="Arial" w:hAnsi="Arial" w:eastAsia="MS Mincho" w:cs="Arial"/>
                <w:sz w:val="18"/>
                <w:szCs w:val="18"/>
                <w:lang w:val="en-US" w:eastAsia="ja-JP"/>
              </w:rPr>
              <w:t>h = avg. building height</w:t>
            </w:r>
          </w:p>
          <w:p>
            <w:pPr>
              <w:pStyle w:val="133"/>
              <w:rPr>
                <w:rFonts w:ascii="Arial" w:hAnsi="Arial" w:eastAsia="MS Mincho" w:cs="Arial"/>
                <w:sz w:val="18"/>
                <w:szCs w:val="18"/>
                <w:lang w:val="en-US" w:eastAsia="ja-JP"/>
              </w:rPr>
            </w:pPr>
            <w:r>
              <w:rPr>
                <w:rFonts w:ascii="Arial" w:hAnsi="Arial" w:eastAsia="MS Mincho" w:cs="Arial"/>
                <w:sz w:val="18"/>
                <w:szCs w:val="18"/>
                <w:lang w:val="en-US" w:eastAsia="ja-JP"/>
              </w:rPr>
              <w:t>W = avg. street width</w:t>
            </w:r>
          </w:p>
          <w:p>
            <w:pPr>
              <w:pStyle w:val="133"/>
              <w:rPr>
                <w:rFonts w:ascii="Arial" w:hAnsi="Arial" w:cs="Arial"/>
                <w:sz w:val="18"/>
                <w:szCs w:val="18"/>
              </w:rPr>
            </w:pPr>
            <w:r>
              <w:rPr>
                <w:rFonts w:ascii="Arial" w:hAnsi="Arial" w:cs="Arial"/>
                <w:sz w:val="18"/>
                <w:szCs w:val="18"/>
              </w:rPr>
              <w:t xml:space="preserve">The applicability ranges: </w:t>
            </w:r>
          </w:p>
          <w:p>
            <w:pPr>
              <w:pStyle w:val="133"/>
              <w:rPr>
                <w:rFonts w:ascii="Arial" w:hAnsi="Arial" w:cs="Arial"/>
                <w:sz w:val="18"/>
                <w:szCs w:val="18"/>
              </w:rPr>
            </w:pPr>
            <w:r>
              <w:rPr>
                <w:rFonts w:ascii="Arial" w:hAnsi="Arial" w:cs="Arial"/>
                <w:position w:val="-6"/>
                <w:sz w:val="18"/>
                <w:szCs w:val="18"/>
              </w:rPr>
              <w:object>
                <v:shape id="_x0000_i1051" o:spt="75" type="#_x0000_t75" style="height:13.3pt;width:70.9pt;" o:ole="t" filled="f" o:preferrelative="t" stroked="f" coordsize="21600,21600">
                  <v:path/>
                  <v:fill on="f" focussize="0,0"/>
                  <v:stroke on="f" joinstyle="miter"/>
                  <v:imagedata r:id="rId71" o:title=""/>
                  <o:lock v:ext="edit" aspectratio="t"/>
                  <w10:wrap type="none"/>
                  <w10:anchorlock/>
                </v:shape>
                <o:OLEObject Type="Embed" ProgID="Equation.3" ShapeID="_x0000_i1051" DrawAspect="Content" ObjectID="_1468075752" r:id="rId70">
                  <o:LockedField>false</o:LockedField>
                </o:OLEObject>
              </w:object>
            </w:r>
          </w:p>
          <w:p>
            <w:pPr>
              <w:pStyle w:val="133"/>
              <w:rPr>
                <w:rFonts w:ascii="Arial" w:hAnsi="Arial" w:cs="Arial"/>
                <w:sz w:val="18"/>
                <w:szCs w:val="18"/>
              </w:rPr>
            </w:pPr>
            <w:r>
              <w:rPr>
                <w:rFonts w:ascii="Arial" w:hAnsi="Arial" w:cs="Arial"/>
                <w:position w:val="-6"/>
                <w:sz w:val="18"/>
                <w:szCs w:val="18"/>
              </w:rPr>
              <w:object>
                <v:shape id="_x0000_i1052" o:spt="75" type="#_x0000_t75" style="height:13.3pt;width:74.75pt;" o:ole="t" filled="f" o:preferrelative="t" stroked="f" coordsize="21600,21600">
                  <v:path/>
                  <v:fill on="f" focussize="0,0"/>
                  <v:stroke on="f" joinstyle="miter"/>
                  <v:imagedata r:id="rId73" o:title=""/>
                  <o:lock v:ext="edit" aspectratio="t"/>
                  <w10:wrap type="none"/>
                  <w10:anchorlock/>
                </v:shape>
                <o:OLEObject Type="Embed" ProgID="Equation.3" ShapeID="_x0000_i1052" DrawAspect="Content" ObjectID="_1468075753" r:id="rId72">
                  <o:LockedField>false</o:LockedField>
                </o:OLEObject>
              </w:object>
            </w:r>
          </w:p>
          <w:p>
            <w:pPr>
              <w:pStyle w:val="133"/>
              <w:rPr>
                <w:rFonts w:ascii="Arial" w:hAnsi="Arial" w:cs="Arial"/>
                <w:sz w:val="18"/>
                <w:szCs w:val="18"/>
              </w:rPr>
            </w:pPr>
            <w:r>
              <w:rPr>
                <w:rFonts w:ascii="Arial" w:hAnsi="Arial" w:cs="Arial"/>
                <w:position w:val="-12"/>
                <w:sz w:val="18"/>
                <w:szCs w:val="18"/>
              </w:rPr>
              <w:object>
                <v:shape id="_x0000_i1053" o:spt="75" type="#_x0000_t75" style="height:17.7pt;width:88.05pt;" o:ole="t" filled="f" o:preferrelative="t" stroked="f" coordsize="21600,21600">
                  <v:path/>
                  <v:fill on="f" focussize="0,0"/>
                  <v:stroke on="f" joinstyle="miter"/>
                  <v:imagedata r:id="rId75" o:title=""/>
                  <o:lock v:ext="edit" aspectratio="t"/>
                  <w10:wrap type="none"/>
                  <w10:anchorlock/>
                </v:shape>
                <o:OLEObject Type="Embed" ProgID="Equation.3" ShapeID="_x0000_i1053" DrawAspect="Content" ObjectID="_1468075754" r:id="rId74">
                  <o:LockedField>false</o:LockedField>
                </o:OLEObject>
              </w:object>
            </w:r>
          </w:p>
          <w:p>
            <w:pPr>
              <w:pStyle w:val="133"/>
              <w:rPr>
                <w:rFonts w:ascii="Arial" w:hAnsi="Arial" w:eastAsia="MS Mincho" w:cs="Arial"/>
                <w:sz w:val="18"/>
                <w:szCs w:val="18"/>
                <w:lang w:val="en-US"/>
              </w:rPr>
            </w:pPr>
            <w:r>
              <w:rPr>
                <w:rFonts w:ascii="Arial" w:hAnsi="Arial" w:cs="Arial"/>
                <w:position w:val="-12"/>
                <w:sz w:val="18"/>
                <w:szCs w:val="18"/>
              </w:rPr>
              <w:object>
                <v:shape id="_x0000_i1054" o:spt="75" type="#_x0000_t75" style="height:17.7pt;width:78.65pt;" o:ole="t" filled="f" o:preferrelative="t" stroked="f" coordsize="21600,21600">
                  <v:path/>
                  <v:fill on="f" focussize="0,0"/>
                  <v:stroke on="f" joinstyle="miter"/>
                  <v:imagedata r:id="rId77" o:title=""/>
                  <o:lock v:ext="edit" aspectratio="t"/>
                  <w10:wrap type="none"/>
                  <w10:anchorlock/>
                </v:shape>
                <o:OLEObject Type="Embed" ProgID="Equation.3" ShapeID="_x0000_i1054" DrawAspect="Content" ObjectID="_1468075755" r:id="rId7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vMerge w:val="continue"/>
            <w:shd w:val="clear" w:color="auto" w:fill="F2F2F2"/>
            <w:textDirection w:val="btLr"/>
            <w:vAlign w:val="center"/>
          </w:tcPr>
          <w:p>
            <w:pPr>
              <w:pStyle w:val="66"/>
              <w:keepNext w:val="0"/>
              <w:keepLines w:val="0"/>
              <w:ind w:left="113" w:right="113"/>
              <w:rPr>
                <w:szCs w:val="18"/>
                <w:lang w:eastAsia="ko-KR"/>
              </w:rPr>
            </w:pPr>
          </w:p>
        </w:tc>
        <w:tc>
          <w:tcPr>
            <w:tcW w:w="0" w:type="auto"/>
            <w:shd w:val="clear" w:color="auto" w:fill="F2F2F2"/>
            <w:textDirection w:val="btLr"/>
            <w:vAlign w:val="center"/>
          </w:tcPr>
          <w:p>
            <w:pPr>
              <w:pStyle w:val="66"/>
              <w:keepNext w:val="0"/>
              <w:keepLines w:val="0"/>
              <w:ind w:left="113" w:right="113"/>
              <w:rPr>
                <w:szCs w:val="18"/>
                <w:lang w:eastAsia="ko-KR"/>
              </w:rPr>
            </w:pPr>
            <w:r>
              <w:rPr>
                <w:szCs w:val="18"/>
                <w:lang w:eastAsia="ko-KR"/>
              </w:rPr>
              <w:t>NLOS</w:t>
            </w:r>
          </w:p>
        </w:tc>
        <w:tc>
          <w:tcPr>
            <w:tcW w:w="0" w:type="auto"/>
          </w:tcPr>
          <w:p>
            <w:pPr>
              <w:pStyle w:val="133"/>
              <w:rPr>
                <w:rFonts w:ascii="Arial" w:hAnsi="Arial" w:cs="Arial"/>
                <w:sz w:val="18"/>
                <w:szCs w:val="18"/>
              </w:rPr>
            </w:pPr>
            <w:r>
              <w:rPr>
                <w:rFonts w:ascii="Arial" w:hAnsi="Arial" w:cs="Arial"/>
                <w:position w:val="-12"/>
                <w:sz w:val="18"/>
                <w:szCs w:val="18"/>
              </w:rPr>
              <w:object>
                <v:shape id="_x0000_i1055" o:spt="75" type="#_x0000_t75" style="height:17.7pt;width:199.4pt;" o:ole="t" filled="f" o:preferrelative="t" stroked="f" coordsize="21600,21600">
                  <v:path/>
                  <v:fill on="f" focussize="0,0"/>
                  <v:stroke on="f" joinstyle="miter"/>
                  <v:imagedata r:id="rId79" o:title=""/>
                  <o:lock v:ext="edit" aspectratio="t"/>
                  <w10:wrap type="none"/>
                  <w10:anchorlock/>
                </v:shape>
                <o:OLEObject Type="Embed" ProgID="Equation.3" ShapeID="_x0000_i1055" DrawAspect="Content" ObjectID="_1468075756" r:id="rId78">
                  <o:LockedField>false</o:LockedField>
                </o:OLEObject>
              </w:object>
            </w:r>
          </w:p>
          <w:p>
            <w:pPr>
              <w:pStyle w:val="133"/>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v:shape id="_x0000_i1056" o:spt="75" type="#_x0000_t75" style="height:16.05pt;width:85.3pt;" o:ole="t" filled="f" o:preferrelative="t" stroked="f" coordsize="21600,21600">
                  <v:path/>
                  <v:fill on="f" focussize="0,0"/>
                  <v:stroke on="f" joinstyle="miter"/>
                  <v:imagedata r:id="rId81" o:title=""/>
                  <o:lock v:ext="edit" aspectratio="t"/>
                  <w10:wrap type="none"/>
                  <w10:anchorlock/>
                </v:shape>
                <o:OLEObject Type="Embed" ProgID="Equation.3" ShapeID="_x0000_i1056" DrawAspect="Content" ObjectID="_1468075757" r:id="rId80">
                  <o:LockedField>false</o:LockedField>
                </o:OLEObject>
              </w:object>
            </w:r>
          </w:p>
          <w:p>
            <w:pPr>
              <w:pStyle w:val="133"/>
              <w:rPr>
                <w:rFonts w:ascii="Arial" w:hAnsi="Arial" w:cs="Arial"/>
                <w:sz w:val="18"/>
                <w:szCs w:val="18"/>
              </w:rPr>
            </w:pPr>
            <w:r>
              <w:rPr>
                <w:rFonts w:ascii="Arial" w:hAnsi="Arial" w:cs="Arial"/>
                <w:position w:val="-70"/>
                <w:sz w:val="18"/>
                <w:szCs w:val="18"/>
              </w:rPr>
              <w:object>
                <v:shape id="_x0000_i1057" o:spt="75" type="#_x0000_t75" style="height:75.9pt;width:241.5pt;" o:ole="t" filled="f" o:preferrelative="t" stroked="f" coordsize="21600,21600">
                  <v:path/>
                  <v:fill on="f" focussize="0,0"/>
                  <v:stroke on="f" joinstyle="miter"/>
                  <v:imagedata r:id="rId83" o:title=""/>
                  <o:lock v:ext="edit" aspectratio="t"/>
                  <w10:wrap type="none"/>
                  <w10:anchorlock/>
                </v:shape>
                <o:OLEObject Type="Embed" ProgID="Equation.3" ShapeID="_x0000_i1057" DrawAspect="Content" ObjectID="_1468075758" r:id="rId82">
                  <o:LockedField>false</o:LockedField>
                </o:OLEObject>
              </w:object>
            </w:r>
          </w:p>
        </w:tc>
        <w:tc>
          <w:tcPr>
            <w:tcW w:w="0" w:type="auto"/>
          </w:tcPr>
          <w:p>
            <w:pPr>
              <w:pStyle w:val="133"/>
              <w:jc w:val="center"/>
              <w:rPr>
                <w:rFonts w:ascii="Arial" w:hAnsi="Arial" w:cs="Arial"/>
                <w:sz w:val="18"/>
                <w:szCs w:val="18"/>
              </w:rPr>
            </w:pPr>
          </w:p>
          <w:p>
            <w:pPr>
              <w:pStyle w:val="133"/>
              <w:jc w:val="center"/>
              <w:rPr>
                <w:rFonts w:ascii="Arial" w:hAnsi="Arial" w:cs="Arial"/>
                <w:sz w:val="18"/>
                <w:szCs w:val="18"/>
              </w:rPr>
            </w:pPr>
          </w:p>
          <w:p>
            <w:pPr>
              <w:pStyle w:val="133"/>
              <w:jc w:val="center"/>
              <w:rPr>
                <w:rFonts w:ascii="Arial" w:hAnsi="Arial" w:eastAsia="MS Mincho" w:cs="Arial"/>
                <w:sz w:val="18"/>
                <w:szCs w:val="18"/>
              </w:rPr>
            </w:pPr>
            <w:r>
              <w:rPr>
                <w:rFonts w:ascii="Arial" w:hAnsi="Arial" w:cs="Arial"/>
                <w:position w:val="-12"/>
                <w:sz w:val="18"/>
                <w:szCs w:val="18"/>
              </w:rPr>
              <w:object>
                <v:shape id="_x0000_i1058" o:spt="75" type="#_x0000_t75" style="height:17.7pt;width:37.65pt;" o:ole="t" filled="f" o:preferrelative="t" stroked="f" coordsize="21600,21600">
                  <v:path/>
                  <v:fill on="f" focussize="0,0"/>
                  <v:stroke on="f" joinstyle="miter"/>
                  <v:imagedata r:id="rId85" o:title=""/>
                  <o:lock v:ext="edit" aspectratio="t"/>
                  <w10:wrap type="none"/>
                  <w10:anchorlock/>
                </v:shape>
                <o:OLEObject Type="Embed" ProgID="Equation.3" ShapeID="_x0000_i1058" DrawAspect="Content" ObjectID="_1468075759" r:id="rId84">
                  <o:LockedField>false</o:LockedField>
                </o:OLEObject>
              </w:object>
            </w:r>
          </w:p>
        </w:tc>
        <w:tc>
          <w:tcPr>
            <w:tcW w:w="0" w:type="auto"/>
            <w:vMerge w:val="continue"/>
          </w:tcPr>
          <w:p>
            <w:pPr>
              <w:pStyle w:val="133"/>
              <w:rPr>
                <w:rFonts w:ascii="Arial" w:hAnsi="Arial" w:eastAsia="MS Mincho" w:cs="Arial"/>
                <w:sz w:val="18"/>
                <w:szCs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gridSpan w:val="5"/>
            <w:vAlign w:val="center"/>
          </w:tcPr>
          <w:p>
            <w:pPr>
              <w:pStyle w:val="80"/>
              <w:keepNext w:val="0"/>
              <w:keepLines w:val="0"/>
              <w:rPr>
                <w:rFonts w:cs="Arial"/>
                <w:szCs w:val="18"/>
                <w:lang w:val="en-US" w:eastAsia="ko-KR"/>
              </w:rPr>
            </w:pPr>
            <w:r>
              <w:rPr>
                <w:rFonts w:cs="Arial"/>
                <w:szCs w:val="18"/>
                <w:lang w:eastAsia="ko-KR"/>
              </w:rPr>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pPr>
              <w:pStyle w:val="80"/>
              <w:keepNext w:val="0"/>
              <w:keepLines w:val="0"/>
              <w:rPr>
                <w:rFonts w:cs="Arial"/>
                <w:szCs w:val="18"/>
                <w:lang w:val="en-US"/>
              </w:rPr>
            </w:pPr>
            <w:r>
              <w:rPr>
                <w:rFonts w:cs="Arial"/>
                <w:szCs w:val="18"/>
                <w:lang w:val="en-US" w:eastAsia="ko-KR"/>
              </w:rPr>
              <w:tab/>
            </w:r>
            <w:r>
              <w:rPr>
                <w:rFonts w:cs="Arial"/>
                <w:position w:val="-48"/>
                <w:szCs w:val="18"/>
                <w:lang w:val="en-US"/>
              </w:rPr>
              <w:object>
                <v:shape id="_x0000_i1059" o:spt="75" type="#_x0000_t75" style="height:51.5pt;width:274.15pt;" o:ole="t" filled="f" o:preferrelative="t" stroked="f" coordsize="21600,21600">
                  <v:path/>
                  <v:fill on="f" focussize="0,0"/>
                  <v:stroke on="f" joinstyle="miter"/>
                  <v:imagedata r:id="rId87" o:title=""/>
                  <o:lock v:ext="edit" aspectratio="t"/>
                  <w10:wrap type="none"/>
                  <w10:anchorlock/>
                </v:shape>
                <o:OLEObject Type="Embed" ProgID="Equation.3" ShapeID="_x0000_i1059" DrawAspect="Content" ObjectID="_1468075760" r:id="rId86">
                  <o:LockedField>false</o:LockedField>
                </o:OLEObject>
              </w:object>
            </w:r>
            <w:r>
              <w:rPr>
                <w:rFonts w:cs="Arial"/>
                <w:szCs w:val="18"/>
                <w:lang w:val="en-US"/>
              </w:rPr>
              <w:t>,</w:t>
            </w:r>
          </w:p>
          <w:p>
            <w:pPr>
              <w:pStyle w:val="80"/>
              <w:keepNext w:val="0"/>
              <w:keepLines w:val="0"/>
              <w:rPr>
                <w:rFonts w:cs="Arial"/>
                <w:szCs w:val="18"/>
                <w:lang w:val="en-US"/>
              </w:rPr>
            </w:pPr>
            <w:r>
              <w:rPr>
                <w:rFonts w:cs="Arial"/>
                <w:szCs w:val="18"/>
                <w:lang w:val="en-US"/>
              </w:rPr>
              <w:tab/>
            </w:r>
            <w:r>
              <w:rPr>
                <w:rFonts w:cs="Arial"/>
                <w:szCs w:val="18"/>
                <w:lang w:val="en-US"/>
              </w:rPr>
              <w:t>where</w:t>
            </w:r>
          </w:p>
          <w:p>
            <w:pPr>
              <w:pStyle w:val="80"/>
              <w:keepNext w:val="0"/>
              <w:keepLines w:val="0"/>
              <w:rPr>
                <w:rFonts w:cs="Arial"/>
                <w:szCs w:val="18"/>
                <w:lang w:val="en-US"/>
              </w:rPr>
            </w:pPr>
            <w:r>
              <w:rPr>
                <w:rFonts w:cs="Arial"/>
                <w:szCs w:val="18"/>
                <w:lang w:val="en-US"/>
              </w:rPr>
              <w:tab/>
            </w:r>
            <w:r>
              <w:rPr>
                <w:rFonts w:cs="Arial"/>
                <w:position w:val="-46"/>
                <w:szCs w:val="18"/>
                <w:lang w:val="en-US"/>
              </w:rPr>
              <w:object>
                <v:shape id="_x0000_i1060" o:spt="75" type="#_x0000_t75" style="height:51.5pt;width:226.5pt;" o:ole="t" filled="f" o:preferrelative="t" stroked="f" coordsize="21600,21600">
                  <v:path/>
                  <v:fill on="f" focussize="0,0"/>
                  <v:stroke on="f" joinstyle="miter"/>
                  <v:imagedata r:id="rId89" o:title=""/>
                  <o:lock v:ext="edit" aspectratio="t"/>
                  <w10:wrap type="none"/>
                  <w10:anchorlock/>
                </v:shape>
                <o:OLEObject Type="Embed" ProgID="Equation.3" ShapeID="_x0000_i1060" DrawAspect="Content" ObjectID="_1468075761" r:id="rId88">
                  <o:LockedField>false</o:LockedField>
                </o:OLEObject>
              </w:object>
            </w:r>
            <w:r>
              <w:rPr>
                <w:rFonts w:cs="Arial"/>
                <w:szCs w:val="18"/>
                <w:lang w:val="en-US"/>
              </w:rPr>
              <w:t xml:space="preserve">. </w:t>
            </w:r>
          </w:p>
          <w:p>
            <w:pPr>
              <w:pStyle w:val="80"/>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pPr>
              <w:pStyle w:val="80"/>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pPr>
              <w:pStyle w:val="80"/>
              <w:keepNext w:val="0"/>
              <w:keepLines w:val="0"/>
              <w:rPr>
                <w:rFonts w:cs="Arial"/>
                <w:szCs w:val="18"/>
                <w:lang w:eastAsia="zh-CN"/>
              </w:rPr>
            </w:pPr>
            <w:r>
              <w:rPr>
                <w:rFonts w:cs="Arial"/>
                <w:szCs w:val="18"/>
              </w:rPr>
              <w:t>Note 3:</w:t>
            </w:r>
            <w:r>
              <w:rPr>
                <w:rFonts w:cs="Arial"/>
                <w:szCs w:val="18"/>
              </w:rPr>
              <w:tab/>
            </w:r>
            <w:r>
              <w:rPr>
                <w:rFonts w:cs="Arial"/>
                <w:szCs w:val="18"/>
              </w:rPr>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pPr>
              <w:pStyle w:val="80"/>
              <w:keepNext w:val="0"/>
              <w:keepLines w:val="0"/>
              <w:rPr>
                <w:rFonts w:cs="Arial"/>
                <w:szCs w:val="18"/>
                <w:lang w:eastAsia="zh-CN"/>
              </w:rPr>
            </w:pPr>
            <w:r>
              <w:rPr>
                <w:rFonts w:cs="Arial"/>
                <w:szCs w:val="18"/>
              </w:rPr>
              <w:t>Note 4:</w:t>
            </w:r>
            <w:r>
              <w:rPr>
                <w:rFonts w:cs="Arial"/>
                <w:szCs w:val="18"/>
              </w:rPr>
              <w:tab/>
            </w:r>
            <w:r>
              <w:rPr>
                <w:rFonts w:cs="Arial"/>
                <w:szCs w:val="18"/>
              </w:rPr>
              <w:t>PL</w:t>
            </w:r>
            <w:r>
              <w:rPr>
                <w:rFonts w:cs="Arial"/>
                <w:szCs w:val="18"/>
                <w:vertAlign w:val="subscript"/>
              </w:rPr>
              <w:t>UMi-LOS</w:t>
            </w:r>
            <w:r>
              <w:rPr>
                <w:rFonts w:cs="Arial"/>
                <w:szCs w:val="18"/>
                <w:lang w:eastAsia="zh-CN"/>
              </w:rPr>
              <w:t xml:space="preserve"> = Pathloss of UMi-Street Canyon LOS outdoor scenario.</w:t>
            </w:r>
          </w:p>
          <w:p>
            <w:pPr>
              <w:pStyle w:val="80"/>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pPr>
              <w:pStyle w:val="80"/>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p>
      <w:pPr>
        <w:rPr>
          <w:b/>
        </w:rPr>
      </w:pPr>
      <w:r>
        <w:rPr>
          <w:rFonts w:hint="eastAsia"/>
          <w:b/>
        </w:rPr>
        <w:t>LOS probability</w:t>
      </w:r>
    </w:p>
    <w:p>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pPr>
        <w:pStyle w:val="75"/>
        <w:keepNext w:val="0"/>
        <w:keepLines w:val="0"/>
        <w:rPr>
          <w:lang w:eastAsia="ko-KR"/>
        </w:rPr>
      </w:pPr>
      <w:r>
        <w:rPr>
          <w:lang w:eastAsia="ko-KR"/>
        </w:rPr>
        <w:t>Table 6.2.5.2-2</w:t>
      </w:r>
      <w:r>
        <w:rPr>
          <w:rFonts w:hint="eastAsia"/>
          <w:lang w:eastAsia="ko-KR"/>
        </w:rPr>
        <w:t xml:space="preserve"> LOS probability</w:t>
      </w:r>
    </w:p>
    <w:tbl>
      <w:tblPr>
        <w:tblStyle w:val="49"/>
        <w:tblW w:w="0" w:type="auto"/>
        <w:tblInd w:w="3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7"/>
        <w:gridCol w:w="76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07" w:type="dxa"/>
            <w:shd w:val="clear" w:color="auto" w:fill="D9D9D9"/>
          </w:tcPr>
          <w:p>
            <w:pPr>
              <w:pStyle w:val="66"/>
              <w:keepNext w:val="0"/>
              <w:keepLines w:val="0"/>
            </w:pPr>
            <w:r>
              <w:t>Scenario</w:t>
            </w:r>
          </w:p>
        </w:tc>
        <w:tc>
          <w:tcPr>
            <w:tcW w:w="7621" w:type="dxa"/>
            <w:shd w:val="clear" w:color="auto" w:fill="D9D9D9"/>
          </w:tcPr>
          <w:p>
            <w:pPr>
              <w:pStyle w:val="66"/>
              <w:keepNext w:val="0"/>
              <w:keepLines w:val="0"/>
            </w:pPr>
            <w:r>
              <w:t>LOS probability (distance is in 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7" w:type="dxa"/>
          </w:tcPr>
          <w:p>
            <w:pPr>
              <w:pStyle w:val="65"/>
              <w:keepNext w:val="0"/>
              <w:keepLines w:val="0"/>
            </w:pPr>
            <w:r>
              <w:t>RMa</w:t>
            </w:r>
          </w:p>
        </w:tc>
        <w:tc>
          <w:tcPr>
            <w:tcW w:w="7621" w:type="dxa"/>
          </w:tcPr>
          <w:p>
            <w:pPr>
              <w:pStyle w:val="133"/>
              <w:rPr>
                <w:rFonts w:eastAsia="MS Mincho"/>
                <w:sz w:val="20"/>
              </w:rPr>
            </w:pPr>
            <w:r>
              <w:rPr>
                <w:position w:val="-46"/>
                <w:lang w:val="en-US"/>
              </w:rPr>
              <w:object>
                <v:shape id="_x0000_i1061" o:spt="75" type="#_x0000_t75" style="height:48.75pt;width:192.75pt;" o:ole="t" filled="f" o:preferrelative="t" stroked="f" coordsize="21600,21600">
                  <v:path/>
                  <v:fill on="f" focussize="0,0"/>
                  <v:stroke on="f" joinstyle="miter"/>
                  <v:imagedata r:id="rId91" o:title=""/>
                  <o:lock v:ext="edit" aspectratio="t"/>
                  <w10:wrap type="none"/>
                  <w10:anchorlock/>
                </v:shape>
                <o:OLEObject Type="Embed" ProgID="Equation.3" ShapeID="_x0000_i1061" DrawAspect="Content" ObjectID="_1468075762" r:id="rId9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8" w:type="dxa"/>
            <w:gridSpan w:val="2"/>
          </w:tcPr>
          <w:p>
            <w:pPr>
              <w:pStyle w:val="80"/>
              <w:keepNext w:val="0"/>
              <w:keepLines w:val="0"/>
              <w:rPr>
                <w:lang w:val="en-US" w:eastAsia="ko-KR"/>
              </w:rPr>
            </w:pPr>
          </w:p>
        </w:tc>
      </w:tr>
    </w:tbl>
    <w:p>
      <w:pPr>
        <w:rPr>
          <w:b/>
        </w:rPr>
      </w:pPr>
      <w:r>
        <w:rPr>
          <w:b/>
        </w:rPr>
        <w:t>O2I</w:t>
      </w:r>
      <w:r>
        <w:rPr>
          <w:rFonts w:hint="eastAsia"/>
          <w:b/>
        </w:rPr>
        <w:t xml:space="preserve"> </w:t>
      </w:r>
      <w:r>
        <w:rPr>
          <w:b/>
        </w:rPr>
        <w:t>building p</w:t>
      </w:r>
      <w:r>
        <w:rPr>
          <w:rFonts w:hint="eastAsia"/>
          <w:b/>
        </w:rPr>
        <w:t xml:space="preserve">enetration </w:t>
      </w:r>
      <w:r>
        <w:rPr>
          <w:b/>
        </w:rPr>
        <w:t>l</w:t>
      </w:r>
      <w:r>
        <w:rPr>
          <w:rFonts w:hint="eastAsia"/>
          <w:b/>
        </w:rPr>
        <w:t>oss</w:t>
      </w:r>
    </w:p>
    <w:p>
      <w:pPr>
        <w:rPr>
          <w:lang w:eastAsia="ko-KR"/>
        </w:rPr>
      </w:pPr>
      <w:r>
        <w:rPr>
          <w:rFonts w:hint="eastAsia"/>
          <w:lang w:eastAsia="ko-KR"/>
        </w:rPr>
        <w:t>T</w:t>
      </w:r>
      <w:r>
        <w:rPr>
          <w:lang w:eastAsia="ja-JP"/>
        </w:rPr>
        <w:t xml:space="preserve">he pathloss incorporating </w:t>
      </w:r>
      <w:r>
        <w:rPr>
          <w:lang w:eastAsia="ko-KR"/>
        </w:rPr>
        <w:t>O2I</w:t>
      </w:r>
      <w:r>
        <w:rPr>
          <w:rFonts w:hint="eastAsia"/>
          <w:lang w:eastAsia="ko-KR"/>
        </w:rPr>
        <w:t xml:space="preserve"> building </w:t>
      </w:r>
      <w:r>
        <w:rPr>
          <w:lang w:eastAsia="ja-JP"/>
        </w:rPr>
        <w:t xml:space="preserve">penetration loss </w:t>
      </w:r>
      <w:r>
        <w:rPr>
          <w:rFonts w:hint="eastAsia"/>
          <w:lang w:eastAsia="ko-KR"/>
        </w:rPr>
        <w:t xml:space="preserve">is </w:t>
      </w:r>
      <w:r>
        <w:rPr>
          <w:lang w:eastAsia="ko-KR"/>
        </w:rPr>
        <w:t>modelled</w:t>
      </w:r>
      <w:r>
        <w:rPr>
          <w:rFonts w:hint="eastAsia"/>
          <w:lang w:eastAsia="ko-KR"/>
        </w:rPr>
        <w:t xml:space="preserve"> as in the following</w:t>
      </w:r>
      <w:r>
        <w:rPr>
          <w:lang w:eastAsia="ja-JP"/>
        </w:rPr>
        <w:t>:</w:t>
      </w:r>
    </w:p>
    <w:p>
      <w:pPr>
        <w:pStyle w:val="57"/>
        <w:tabs>
          <w:tab w:val="center" w:pos="4820"/>
          <w:tab w:val="clear" w:pos="4536"/>
        </w:tabs>
        <w:rPr>
          <w:lang w:eastAsia="ko-KR"/>
        </w:rPr>
      </w:pPr>
      <w:r>
        <w:rPr>
          <w:lang w:eastAsia="ko-KR"/>
        </w:rPr>
        <w:tab/>
      </w:r>
      <w:r>
        <w:rPr>
          <w:position w:val="-12"/>
        </w:rPr>
        <w:object>
          <v:shape id="_x0000_i1062" o:spt="75" type="#_x0000_t75" style="height:19.4pt;width:170.05pt;" o:ole="t" filled="f" o:preferrelative="t" stroked="f" coordsize="21600,21600">
            <v:path/>
            <v:fill on="f" focussize="0,0"/>
            <v:stroke on="f" joinstyle="miter"/>
            <v:imagedata r:id="rId93" o:title=""/>
            <o:lock v:ext="edit" aspectratio="t"/>
            <w10:wrap type="none"/>
            <w10:anchorlock/>
          </v:shape>
          <o:OLEObject Type="Embed" ProgID="Equation.3" ShapeID="_x0000_i1062" DrawAspect="Content" ObjectID="_1468075763" r:id="rId92">
            <o:LockedField>false</o:LockedField>
          </o:OLEObject>
        </w:object>
      </w:r>
      <w:r>
        <w:rPr>
          <w:lang w:eastAsia="ko-KR"/>
        </w:rPr>
        <w:tab/>
      </w:r>
      <w:r>
        <w:rPr>
          <w:lang w:eastAsia="ko-KR"/>
        </w:rPr>
        <w:t>(6.2.5.2-2)</w:t>
      </w:r>
    </w:p>
    <w:p>
      <w:pPr>
        <w:rPr>
          <w:lang w:eastAsia="ko-KR"/>
        </w:rPr>
      </w:pPr>
      <w:r>
        <w:rPr>
          <w:lang w:eastAsia="ja-JP"/>
        </w:rPr>
        <w:t xml:space="preserve">where </w:t>
      </w:r>
      <w:r>
        <w:rPr>
          <w:position w:val="-12"/>
        </w:rPr>
        <w:object>
          <v:shape id="_x0000_i1063" o:spt="75" type="#_x0000_t75" style="height:17.7pt;width:21.6pt;" o:ole="t" filled="f" o:preferrelative="t" stroked="f" coordsize="21600,21600">
            <v:path/>
            <v:fill on="f" focussize="0,0"/>
            <v:stroke on="f" joinstyle="miter"/>
            <v:imagedata r:id="rId95" o:title=""/>
            <o:lock v:ext="edit" aspectratio="t"/>
            <w10:wrap type="none"/>
            <w10:anchorlock/>
          </v:shape>
          <o:OLEObject Type="Embed" ProgID="Equation.3" ShapeID="_x0000_i1063" DrawAspect="Content" ObjectID="_1468075764" r:id="rId94">
            <o:LockedField>false</o:LockedField>
          </o:OLEObject>
        </w:object>
      </w:r>
      <w:r>
        <w:rPr>
          <w:lang w:eastAsia="ja-JP"/>
        </w:rPr>
        <w:t xml:space="preserve"> is the basic outdoor path loss</w:t>
      </w:r>
      <w:r>
        <w:rPr>
          <w:rFonts w:hint="eastAsia"/>
          <w:lang w:eastAsia="ko-KR"/>
        </w:rPr>
        <w:t xml:space="preserve"> given in Clause </w:t>
      </w:r>
      <w:r>
        <w:rPr>
          <w:lang w:eastAsia="ko-KR"/>
        </w:rPr>
        <w:t>6.2.5.2</w:t>
      </w:r>
      <w:r>
        <w:rPr>
          <w:lang w:eastAsia="zh-CN"/>
        </w:rPr>
        <w:t xml:space="preserve">, where </w:t>
      </w:r>
      <w:r>
        <w:rPr>
          <w:position w:val="-12"/>
        </w:rPr>
        <w:object>
          <v:shape id="_x0000_i1064" o:spt="75" type="#_x0000_t75" style="height:17.7pt;width:19.4pt;" o:ole="t" filled="f" o:preferrelative="t" stroked="f" coordsize="21600,21600">
            <v:path/>
            <v:fill on="f" focussize="0,0"/>
            <v:stroke on="f" joinstyle="miter"/>
            <v:imagedata r:id="rId97" o:title=""/>
            <o:lock v:ext="edit" aspectratio="t"/>
            <w10:wrap type="none"/>
            <w10:anchorlock/>
          </v:shape>
          <o:OLEObject Type="Embed" ProgID="Equation.3" ShapeID="_x0000_i1064" DrawAspect="Content" ObjectID="_1468075765" r:id="rId96">
            <o:LockedField>false</o:LockedField>
          </o:OLEObject>
        </w:object>
      </w:r>
      <w:r>
        <w:rPr>
          <w:lang w:eastAsia="zh-CN"/>
        </w:rPr>
        <w:t xml:space="preserve"> is replaced by </w:t>
      </w:r>
      <w:r>
        <w:rPr>
          <w:position w:val="-12"/>
        </w:rPr>
        <w:object>
          <v:shape id="_x0000_i1065" o:spt="75" type="#_x0000_t75" style="height:17.7pt;width:70.9pt;" o:ole="t" filled="f" o:preferrelative="t" stroked="f" coordsize="21600,21600">
            <v:path/>
            <v:fill on="f" focussize="0,0"/>
            <v:stroke on="f" joinstyle="miter"/>
            <v:imagedata r:id="rId99" o:title=""/>
            <o:lock v:ext="edit" aspectratio="t"/>
            <w10:wrap type="none"/>
            <w10:anchorlock/>
          </v:shape>
          <o:OLEObject Type="Embed" ProgID="Equation.3" ShapeID="_x0000_i1065" DrawAspect="Content" ObjectID="_1468075766" r:id="rId98">
            <o:LockedField>false</o:LockedField>
          </o:OLEObject>
        </w:object>
      </w:r>
      <w:r>
        <w:rPr>
          <w:rFonts w:hint="eastAsia"/>
          <w:lang w:eastAsia="zh-CN"/>
        </w:rPr>
        <w:t xml:space="preserve"> </w:t>
      </w:r>
      <w:r>
        <w:rPr>
          <w:rFonts w:hint="eastAsia"/>
          <w:lang w:eastAsia="ko-KR"/>
        </w:rPr>
        <w:t>.</w:t>
      </w:r>
      <w:r>
        <w:rPr>
          <w:lang w:eastAsia="ja-JP"/>
        </w:rPr>
        <w:t xml:space="preserve"> </w:t>
      </w:r>
      <w:r>
        <w:rPr>
          <w:position w:val="-12"/>
        </w:rPr>
        <w:object>
          <v:shape id="_x0000_i1066" o:spt="75" type="#_x0000_t75" style="height:17.7pt;width:23.25pt;" o:ole="t" filled="f" o:preferrelative="t" stroked="f" coordsize="21600,21600">
            <v:path/>
            <v:fill on="f" focussize="0,0"/>
            <v:stroke on="f" joinstyle="miter"/>
            <v:imagedata r:id="rId101" o:title=""/>
            <o:lock v:ext="edit" aspectratio="t"/>
            <w10:wrap type="none"/>
            <w10:anchorlock/>
          </v:shape>
          <o:OLEObject Type="Embed" ProgID="Equation.3" ShapeID="_x0000_i1066" DrawAspect="Content" ObjectID="_1468075767" r:id="rId100">
            <o:LockedField>false</o:LockedField>
          </o:OLEObject>
        </w:object>
      </w:r>
      <w:r>
        <w:rPr>
          <w:lang w:eastAsia="ja-JP"/>
        </w:rPr>
        <w:t xml:space="preserve"> is the building penetration loss through the external wall, </w:t>
      </w:r>
      <w:r>
        <w:rPr>
          <w:position w:val="-10"/>
        </w:rPr>
        <w:object>
          <v:shape id="_x0000_i1067" o:spt="75" type="#_x0000_t75" style="height:16.05pt;width:23.25pt;" o:ole="t" filled="f" o:preferrelative="t" stroked="f" coordsize="21600,21600">
            <v:path/>
            <v:fill on="f" focussize="0,0"/>
            <v:stroke on="f" joinstyle="miter"/>
            <v:imagedata r:id="rId103" o:title=""/>
            <o:lock v:ext="edit" aspectratio="t"/>
            <w10:wrap type="none"/>
            <w10:anchorlock/>
          </v:shape>
          <o:OLEObject Type="Embed" ProgID="Equation.3" ShapeID="_x0000_i1067" DrawAspect="Content" ObjectID="_1468075768" r:id="rId102">
            <o:LockedField>false</o:LockedField>
          </o:OLEObject>
        </w:object>
      </w:r>
      <w:r>
        <w:t xml:space="preserve"> </w:t>
      </w:r>
      <w:r>
        <w:rPr>
          <w:lang w:eastAsia="ja-JP"/>
        </w:rPr>
        <w:t>is the inside loss dependent on the depth into the building, and σ</w:t>
      </w:r>
      <w:r>
        <w:rPr>
          <w:rFonts w:cs="Arial"/>
          <w:i/>
          <w:szCs w:val="18"/>
          <w:vertAlign w:val="subscript"/>
        </w:rPr>
        <w:t>P</w:t>
      </w:r>
      <w:r>
        <w:rPr>
          <w:lang w:eastAsia="ja-JP"/>
        </w:rPr>
        <w:t xml:space="preserve"> is the standard deviation</w:t>
      </w:r>
      <w:r>
        <w:t xml:space="preserve"> </w:t>
      </w:r>
      <w:r>
        <w:rPr>
          <w:lang w:eastAsia="ja-JP"/>
        </w:rPr>
        <w:t>for the penetration loss</w:t>
      </w:r>
      <w:r>
        <w:rPr>
          <w:rFonts w:hint="eastAsia"/>
          <w:lang w:eastAsia="ko-KR"/>
        </w:rPr>
        <w:t xml:space="preserve">. </w:t>
      </w:r>
    </w:p>
    <w:p>
      <w:pPr>
        <w:rPr>
          <w:lang w:eastAsia="ko-KR"/>
        </w:rPr>
      </w:pPr>
      <w:r>
        <w:rPr>
          <w:position w:val="-12"/>
        </w:rPr>
        <w:object>
          <v:shape id="_x0000_i1068" o:spt="75" type="#_x0000_t75" style="height:17.7pt;width:23.25pt;" o:ole="t" filled="f" o:preferrelative="t" stroked="f" coordsize="21600,21600">
            <v:path/>
            <v:fill on="f" focussize="0,0"/>
            <v:stroke on="f" joinstyle="miter"/>
            <v:imagedata r:id="rId105" o:title=""/>
            <o:lock v:ext="edit" aspectratio="t"/>
            <w10:wrap type="none"/>
            <w10:anchorlock/>
          </v:shape>
          <o:OLEObject Type="Embed" ProgID="Equation.3" ShapeID="_x0000_i1068" DrawAspect="Content" ObjectID="_1468075769" r:id="rId104">
            <o:LockedField>false</o:LockedField>
          </o:OLEObject>
        </w:object>
      </w:r>
      <w:r>
        <w:rPr>
          <w:rFonts w:hint="eastAsia"/>
          <w:lang w:eastAsia="ko-KR"/>
        </w:rPr>
        <w:t xml:space="preserve"> is characterized as:</w:t>
      </w:r>
    </w:p>
    <w:p>
      <w:pPr>
        <w:pStyle w:val="57"/>
        <w:tabs>
          <w:tab w:val="center" w:pos="4820"/>
          <w:tab w:val="clear" w:pos="4536"/>
        </w:tabs>
        <w:rPr>
          <w:lang w:eastAsia="ko-KR"/>
        </w:rPr>
      </w:pPr>
      <w:r>
        <w:rPr>
          <w:lang w:eastAsia="ko-KR"/>
        </w:rPr>
        <w:tab/>
      </w:r>
      <w:r>
        <w:object>
          <v:shape id="_x0000_i1069" o:spt="75" type="#_x0000_t75" style="height:42.1pt;width:199.4pt;" o:ole="t" filled="f" o:preferrelative="t" stroked="f" coordsize="21600,21600">
            <v:path/>
            <v:fill on="f" focussize="0,0"/>
            <v:stroke on="f" joinstyle="miter"/>
            <v:imagedata r:id="rId107" o:title=""/>
            <o:lock v:ext="edit" aspectratio="t"/>
            <w10:wrap type="none"/>
            <w10:anchorlock/>
          </v:shape>
          <o:OLEObject Type="Embed" ProgID="Equation.3" ShapeID="_x0000_i1069" DrawAspect="Content" ObjectID="_1468075770" r:id="rId106">
            <o:LockedField>false</o:LockedField>
          </o:OLEObject>
        </w:object>
      </w:r>
      <w:r>
        <w:rPr>
          <w:lang w:eastAsia="ko-KR"/>
        </w:rPr>
        <w:tab/>
      </w:r>
      <w:r>
        <w:rPr>
          <w:lang w:eastAsia="ko-KR"/>
        </w:rPr>
        <w:t>(6.2.5.2-3)</w:t>
      </w:r>
    </w:p>
    <w:p>
      <w:pPr>
        <w:rPr>
          <w:lang w:eastAsia="ko-KR"/>
        </w:rPr>
      </w:pPr>
      <w:r>
        <w:rPr>
          <w:position w:val="-14"/>
        </w:rPr>
        <w:object>
          <v:shape id="_x0000_i1070" o:spt="75" type="#_x0000_t75" style="height:17.7pt;width:28.25pt;" o:ole="t" filled="f" o:preferrelative="t" stroked="f" coordsize="21600,21600">
            <v:path/>
            <v:fill on="f" focussize="0,0"/>
            <v:stroke on="f" joinstyle="miter"/>
            <v:imagedata r:id="rId109" o:title=""/>
            <o:lock v:ext="edit" aspectratio="t"/>
            <w10:wrap type="none"/>
            <w10:anchorlock/>
          </v:shape>
          <o:OLEObject Type="Embed" ProgID="Equation.3" ShapeID="_x0000_i1070" DrawAspect="Content" ObjectID="_1468075771" r:id="rId108">
            <o:LockedField>false</o:LockedField>
          </o:OLEObject>
        </w:object>
      </w:r>
      <w:r>
        <w:rPr>
          <w:lang w:eastAsia="ko-KR"/>
        </w:rPr>
        <w:t xml:space="preserve"> </w:t>
      </w:r>
      <w:r>
        <w:rPr>
          <w:rFonts w:hint="eastAsia"/>
          <w:lang w:eastAsia="ko-KR"/>
        </w:rPr>
        <w:t xml:space="preserve">is </w:t>
      </w:r>
      <w:r>
        <w:rPr>
          <w:lang w:eastAsia="ko-KR"/>
        </w:rPr>
        <w:t>an additional loss is added to the external wall loss to account for non-perpendicular incidence</w:t>
      </w:r>
      <w:r>
        <w:rPr>
          <w:rFonts w:hint="eastAsia"/>
          <w:lang w:eastAsia="ko-KR"/>
        </w:rPr>
        <w:t>;</w:t>
      </w:r>
      <w:r>
        <w:rPr>
          <w:lang w:eastAsia="ko-KR"/>
        </w:rPr>
        <w:t xml:space="preserve"> </w:t>
      </w:r>
      <w:r>
        <w:rPr>
          <w:position w:val="-14"/>
        </w:rPr>
        <w:object>
          <v:shape id="_x0000_i1071" o:spt="75" type="#_x0000_t75" style="height:17.7pt;width:160.05pt;" o:ole="t" filled="f" o:preferrelative="t" stroked="f" coordsize="21600,21600">
            <v:path/>
            <v:fill on="f" focussize="0,0"/>
            <v:stroke on="f" joinstyle="miter"/>
            <v:imagedata r:id="rId111" o:title=""/>
            <o:lock v:ext="edit" aspectratio="t"/>
            <w10:wrap type="none"/>
            <w10:anchorlock/>
          </v:shape>
          <o:OLEObject Type="Embed" ProgID="Equation.3" ShapeID="_x0000_i1071" DrawAspect="Content" ObjectID="_1468075772" r:id="rId110">
            <o:LockedField>false</o:LockedField>
          </o:OLEObject>
        </w:object>
      </w:r>
      <w:r>
        <w:rPr>
          <w:rFonts w:hint="eastAsia"/>
          <w:lang w:eastAsia="ko-KR"/>
        </w:rPr>
        <w:t xml:space="preserve">, </w:t>
      </w:r>
      <w:r>
        <w:rPr>
          <w:lang w:eastAsia="ko-KR"/>
        </w:rPr>
        <w:t xml:space="preserve">is the penetration loss of material </w:t>
      </w:r>
      <w:r>
        <w:rPr>
          <w:i/>
          <w:lang w:eastAsia="ko-KR"/>
        </w:rPr>
        <w:t>i</w:t>
      </w:r>
      <w:r>
        <w:rPr>
          <w:rFonts w:hint="eastAsia"/>
          <w:lang w:eastAsia="ko-KR"/>
        </w:rPr>
        <w:t>, example values of which can be found in Table 7.4.3-1</w:t>
      </w:r>
      <w:r>
        <w:rPr>
          <w:lang w:eastAsia="ko-KR"/>
        </w:rPr>
        <w:t xml:space="preserve">; </w:t>
      </w:r>
      <w:r>
        <w:rPr>
          <w:position w:val="-12"/>
        </w:rPr>
        <w:object>
          <v:shape id="_x0000_i1072" o:spt="75" type="#_x0000_t75" style="height:17.7pt;width:13.3pt;" o:ole="t" filled="f" o:preferrelative="t" stroked="f" coordsize="21600,21600">
            <v:path/>
            <v:fill on="f" focussize="0,0"/>
            <v:stroke on="f" joinstyle="miter"/>
            <v:imagedata r:id="rId113" o:title=""/>
            <o:lock v:ext="edit" aspectratio="t"/>
            <w10:wrap type="none"/>
            <w10:anchorlock/>
          </v:shape>
          <o:OLEObject Type="Embed" ProgID="Equation.3" ShapeID="_x0000_i1072" DrawAspect="Content" ObjectID="_1468075773" r:id="rId112">
            <o:LockedField>false</o:LockedField>
          </o:OLEObject>
        </w:object>
      </w:r>
      <w:r>
        <w:rPr>
          <w:lang w:val="en-US" w:eastAsia="ko-KR"/>
        </w:rPr>
        <w:t xml:space="preserve"> is proportion of </w:t>
      </w:r>
      <w:r>
        <w:rPr>
          <w:i/>
          <w:iCs/>
          <w:lang w:val="en-US" w:eastAsia="ko-KR"/>
        </w:rPr>
        <w:t>i</w:t>
      </w:r>
      <w:r>
        <w:rPr>
          <w:lang w:val="en-US" w:eastAsia="ko-KR"/>
        </w:rPr>
        <w:t>-th materials</w:t>
      </w:r>
      <w:r>
        <w:rPr>
          <w:rFonts w:hint="eastAsia"/>
          <w:lang w:val="en-US" w:eastAsia="ko-KR"/>
        </w:rPr>
        <w:t xml:space="preserve">, where </w:t>
      </w:r>
      <w:r>
        <w:rPr>
          <w:position w:val="-28"/>
        </w:rPr>
        <w:object>
          <v:shape id="_x0000_i1073" o:spt="75" type="#_x0000_t75" style="height:33.8pt;width:44.85pt;" o:ole="t" filled="f" o:preferrelative="t" stroked="f" coordsize="21600,21600">
            <v:path/>
            <v:fill on="f" focussize="0,0"/>
            <v:stroke on="f" joinstyle="miter"/>
            <v:imagedata r:id="rId115" o:title=""/>
            <o:lock v:ext="edit" aspectratio="t"/>
            <w10:wrap type="none"/>
            <w10:anchorlock/>
          </v:shape>
          <o:OLEObject Type="Embed" ProgID="Equation.3" ShapeID="_x0000_i1073" DrawAspect="Content" ObjectID="_1468075774" r:id="rId114">
            <o:LockedField>false</o:LockedField>
          </o:OLEObject>
        </w:object>
      </w:r>
      <w:r>
        <w:rPr>
          <w:rFonts w:hint="eastAsia"/>
          <w:lang w:eastAsia="ko-KR"/>
        </w:rPr>
        <w:t>; and</w:t>
      </w:r>
      <w:r>
        <w:rPr>
          <w:lang w:eastAsia="ko-KR"/>
        </w:rPr>
        <w:t xml:space="preserve"> </w:t>
      </w:r>
      <w:r>
        <w:rPr>
          <w:i/>
          <w:lang w:val="en-US" w:eastAsia="ko-KR"/>
        </w:rPr>
        <w:t>N</w:t>
      </w:r>
      <w:r>
        <w:rPr>
          <w:rFonts w:hint="eastAsia"/>
          <w:lang w:val="en-US" w:eastAsia="ko-KR"/>
        </w:rPr>
        <w:t xml:space="preserve"> is the number of materials.</w:t>
      </w:r>
    </w:p>
    <w:p>
      <w:pPr>
        <w:pStyle w:val="75"/>
        <w:rPr>
          <w:lang w:eastAsia="ja-JP"/>
        </w:rPr>
      </w:pPr>
      <w:bookmarkStart w:id="40" w:name="_Ref445048671"/>
      <w:bookmarkStart w:id="41" w:name="_Ref445048576"/>
      <w:r>
        <w:rPr>
          <w:lang w:eastAsia="ja-JP"/>
        </w:rPr>
        <w:t xml:space="preserve">Table </w:t>
      </w:r>
      <w:bookmarkEnd w:id="40"/>
      <w:r>
        <w:rPr>
          <w:lang w:eastAsia="ko-KR"/>
        </w:rPr>
        <w:t>6.2.5.2-3</w:t>
      </w:r>
      <w:r>
        <w:rPr>
          <w:lang w:eastAsia="ja-JP"/>
        </w:rPr>
        <w:t>: Material penetration losses</w:t>
      </w:r>
      <w:bookmarkEnd w:id="41"/>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8"/>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D9D9D9"/>
            <w:vAlign w:val="center"/>
          </w:tcPr>
          <w:p>
            <w:pPr>
              <w:pStyle w:val="66"/>
              <w:rPr>
                <w:lang w:eastAsia="ja-JP"/>
              </w:rPr>
            </w:pPr>
            <w:r>
              <w:rPr>
                <w:lang w:eastAsia="ja-JP"/>
              </w:rPr>
              <w:t>Material</w:t>
            </w:r>
          </w:p>
        </w:tc>
        <w:tc>
          <w:tcPr>
            <w:tcW w:w="2237" w:type="dxa"/>
            <w:shd w:val="clear" w:color="auto" w:fill="D9D9D9"/>
            <w:vAlign w:val="center"/>
          </w:tcPr>
          <w:p>
            <w:pPr>
              <w:pStyle w:val="66"/>
              <w:rPr>
                <w:lang w:eastAsia="ja-JP"/>
              </w:rPr>
            </w:pPr>
            <w:r>
              <w:rPr>
                <w:lang w:eastAsia="ja-JP"/>
              </w:rPr>
              <w:t>Penetration loss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5"/>
              <w:rPr>
                <w:lang w:eastAsia="ja-JP"/>
              </w:rPr>
            </w:pPr>
            <w:r>
              <w:rPr>
                <w:lang w:eastAsia="ja-JP"/>
              </w:rPr>
              <w:t>Standard multi-pane glass</w:t>
            </w:r>
          </w:p>
        </w:tc>
        <w:tc>
          <w:tcPr>
            <w:tcW w:w="2237" w:type="dxa"/>
            <w:shd w:val="clear" w:color="auto" w:fill="auto"/>
            <w:vAlign w:val="center"/>
          </w:tcPr>
          <w:p>
            <w:pPr>
              <w:pStyle w:val="65"/>
              <w:rPr>
                <w:rFonts w:cs="Arial"/>
                <w:lang w:eastAsia="ko-KR"/>
              </w:rPr>
            </w:pPr>
            <w:r>
              <w:rPr>
                <w:position w:val="-14"/>
              </w:rPr>
              <w:object>
                <v:shape id="_x0000_i1074" o:spt="75" type="#_x0000_t75" style="height:19.4pt;width:78.65pt;" o:ole="t" filled="f" o:preferrelative="t" stroked="f" coordsize="21600,21600">
                  <v:path/>
                  <v:fill on="f" focussize="0,0"/>
                  <v:stroke on="f" joinstyle="miter"/>
                  <v:imagedata r:id="rId117" o:title=""/>
                  <o:lock v:ext="edit" aspectratio="t"/>
                  <w10:wrap type="none"/>
                  <w10:anchorlock/>
                </v:shape>
                <o:OLEObject Type="Embed" ProgID="Equation.3" ShapeID="_x0000_i1074" DrawAspect="Content" ObjectID="_1468075775" r:id="rId11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5"/>
              <w:rPr>
                <w:lang w:eastAsia="ja-JP"/>
              </w:rPr>
            </w:pPr>
            <w:r>
              <w:rPr>
                <w:lang w:eastAsia="ja-JP"/>
              </w:rPr>
              <w:t>IRR glass</w:t>
            </w:r>
          </w:p>
        </w:tc>
        <w:tc>
          <w:tcPr>
            <w:tcW w:w="2237" w:type="dxa"/>
            <w:shd w:val="clear" w:color="auto" w:fill="auto"/>
            <w:vAlign w:val="center"/>
          </w:tcPr>
          <w:p>
            <w:pPr>
              <w:pStyle w:val="65"/>
              <w:rPr>
                <w:rFonts w:cs="Arial"/>
                <w:lang w:eastAsia="ja-JP"/>
              </w:rPr>
            </w:pPr>
            <w:r>
              <w:rPr>
                <w:position w:val="-14"/>
              </w:rPr>
              <w:object>
                <v:shape id="_x0000_i1075" o:spt="75" type="#_x0000_t75" style="height:19.4pt;width:93.6pt;" o:ole="t" filled="f" o:preferrelative="t" stroked="f" coordsize="21600,21600">
                  <v:path/>
                  <v:fill on="f" focussize="0,0"/>
                  <v:stroke on="f" joinstyle="miter"/>
                  <v:imagedata r:id="rId119" o:title=""/>
                  <o:lock v:ext="edit" aspectratio="t"/>
                  <w10:wrap type="none"/>
                  <w10:anchorlock/>
                </v:shape>
                <o:OLEObject Type="Embed" ProgID="Equation.3" ShapeID="_x0000_i1075" DrawAspect="Content" ObjectID="_1468075776" r:id="rId11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5"/>
              <w:rPr>
                <w:lang w:eastAsia="ja-JP"/>
              </w:rPr>
            </w:pPr>
            <w:r>
              <w:rPr>
                <w:lang w:eastAsia="ja-JP"/>
              </w:rPr>
              <w:t>Concrete</w:t>
            </w:r>
          </w:p>
        </w:tc>
        <w:tc>
          <w:tcPr>
            <w:tcW w:w="2237" w:type="dxa"/>
            <w:shd w:val="clear" w:color="auto" w:fill="auto"/>
            <w:vAlign w:val="center"/>
          </w:tcPr>
          <w:p>
            <w:pPr>
              <w:pStyle w:val="65"/>
              <w:rPr>
                <w:rFonts w:cs="Arial"/>
                <w:lang w:eastAsia="ko-KR"/>
              </w:rPr>
            </w:pPr>
            <w:r>
              <w:rPr>
                <w:position w:val="-12"/>
              </w:rPr>
              <w:object>
                <v:shape id="_x0000_i1076" o:spt="75" type="#_x0000_t75" style="height:17.7pt;width:78.65pt;" o:ole="t" filled="f" o:preferrelative="t" stroked="f" coordsize="21600,21600">
                  <v:path/>
                  <v:fill on="f" focussize="0,0"/>
                  <v:stroke on="f" joinstyle="miter"/>
                  <v:imagedata r:id="rId121" o:title=""/>
                  <o:lock v:ext="edit" aspectratio="t"/>
                  <w10:wrap type="none"/>
                  <w10:anchorlock/>
                </v:shape>
                <o:OLEObject Type="Embed" ProgID="Equation.3" ShapeID="_x0000_i1076" DrawAspect="Content" ObjectID="_1468075777" r:id="rId12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5"/>
              <w:rPr>
                <w:lang w:eastAsia="ko-KR"/>
              </w:rPr>
            </w:pPr>
            <w:r>
              <w:rPr>
                <w:lang w:eastAsia="ko-KR"/>
              </w:rPr>
              <w:t>Wood</w:t>
            </w:r>
          </w:p>
        </w:tc>
        <w:tc>
          <w:tcPr>
            <w:tcW w:w="2237" w:type="dxa"/>
            <w:shd w:val="clear" w:color="auto" w:fill="auto"/>
            <w:vAlign w:val="center"/>
          </w:tcPr>
          <w:p>
            <w:pPr>
              <w:pStyle w:val="65"/>
              <w:rPr>
                <w:rFonts w:cs="Arial"/>
                <w:lang w:eastAsia="ja-JP"/>
              </w:rPr>
            </w:pPr>
            <w:r>
              <w:rPr>
                <w:position w:val="-12"/>
              </w:rPr>
              <w:object>
                <v:shape id="_x0000_i1077" o:spt="75" type="#_x0000_t75" style="height:17.7pt;width:100.8pt;" o:ole="t" filled="f" o:preferrelative="t" stroked="f" coordsize="21600,21600">
                  <v:path/>
                  <v:fill on="f" focussize="0,0"/>
                  <v:stroke on="f" joinstyle="miter"/>
                  <v:imagedata r:id="rId123" o:title=""/>
                  <o:lock v:ext="edit" aspectratio="t"/>
                  <w10:wrap type="none"/>
                  <w10:anchorlock/>
                </v:shape>
                <o:OLEObject Type="Embed" ProgID="Equation.3" ShapeID="_x0000_i1077" DrawAspect="Content" ObjectID="_1468075778" r:id="rId12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544" w:type="dxa"/>
            <w:gridSpan w:val="2"/>
            <w:shd w:val="clear" w:color="auto" w:fill="auto"/>
            <w:vAlign w:val="center"/>
          </w:tcPr>
          <w:p>
            <w:pPr>
              <w:pStyle w:val="80"/>
            </w:pPr>
            <w:r>
              <w:rPr>
                <w:lang w:eastAsia="ko-KR"/>
              </w:rPr>
              <w:t>Note:</w:t>
            </w:r>
            <w:r>
              <w:tab/>
            </w:r>
            <w:r>
              <w:rPr>
                <w:lang w:eastAsia="ko-KR"/>
              </w:rPr>
              <w:t>f is in G</w:t>
            </w:r>
            <w:r>
              <w:rPr>
                <w:rFonts w:hint="eastAsia"/>
                <w:lang w:eastAsia="ko-KR"/>
              </w:rPr>
              <w:t>H</w:t>
            </w:r>
            <w:r>
              <w:rPr>
                <w:lang w:eastAsia="ko-KR"/>
              </w:rPr>
              <w:t>z</w:t>
            </w:r>
          </w:p>
        </w:tc>
      </w:tr>
    </w:tbl>
    <w:p>
      <w:pPr>
        <w:rPr>
          <w:lang w:eastAsia="ko-KR"/>
        </w:rPr>
      </w:pPr>
    </w:p>
    <w:p>
      <w:pPr>
        <w:rPr>
          <w:lang w:eastAsia="ko-KR"/>
        </w:rPr>
      </w:pPr>
      <w:r>
        <w:rPr>
          <w:rFonts w:hint="eastAsia"/>
          <w:lang w:eastAsia="ko-KR"/>
        </w:rPr>
        <w:t xml:space="preserve">Table </w:t>
      </w:r>
      <w:r>
        <w:rPr>
          <w:lang w:eastAsia="ko-KR"/>
        </w:rPr>
        <w:t>6.2.5.2-4</w:t>
      </w:r>
      <w:r>
        <w:rPr>
          <w:rFonts w:hint="eastAsia"/>
          <w:lang w:eastAsia="ko-KR"/>
        </w:rPr>
        <w:t xml:space="preserve"> gives </w:t>
      </w:r>
      <w:r>
        <w:rPr>
          <w:position w:val="-12"/>
        </w:rPr>
        <w:object>
          <v:shape id="_x0000_i1078" o:spt="75" type="#_x0000_t75" style="height:17.7pt;width:23.25pt;" o:ole="t" filled="f" o:preferrelative="t" stroked="f" coordsize="21600,21600">
            <v:path/>
            <v:fill on="f" focussize="0,0"/>
            <v:stroke on="f" joinstyle="miter"/>
            <v:imagedata r:id="rId125" o:title=""/>
            <o:lock v:ext="edit" aspectratio="t"/>
            <w10:wrap type="none"/>
            <w10:anchorlock/>
          </v:shape>
          <o:OLEObject Type="Embed" ProgID="Equation.3" ShapeID="_x0000_i1078" DrawAspect="Content" ObjectID="_1468075779" r:id="rId124">
            <o:LockedField>false</o:LockedField>
          </o:OLEObject>
        </w:object>
      </w:r>
      <w:r>
        <w:rPr>
          <w:rFonts w:hint="eastAsia"/>
          <w:lang w:eastAsia="ko-KR"/>
        </w:rPr>
        <w:t xml:space="preserve">, </w:t>
      </w:r>
      <w:r>
        <w:rPr>
          <w:position w:val="-10"/>
        </w:rPr>
        <w:object>
          <v:shape id="_x0000_i1079" o:spt="75" type="#_x0000_t75" style="height:16.05pt;width:23.25pt;" o:ole="t" filled="f" o:preferrelative="t" stroked="f" coordsize="21600,21600">
            <v:path/>
            <v:fill on="f" focussize="0,0"/>
            <v:stroke on="f" joinstyle="miter"/>
            <v:imagedata r:id="rId103" o:title=""/>
            <o:lock v:ext="edit" aspectratio="t"/>
            <w10:wrap type="none"/>
            <w10:anchorlock/>
          </v:shape>
          <o:OLEObject Type="Embed" ProgID="Equation.3" ShapeID="_x0000_i1079" DrawAspect="Content" ObjectID="_1468075780" r:id="rId126">
            <o:LockedField>false</o:LockedField>
          </o:OLEObject>
        </w:object>
      </w:r>
      <w:r>
        <w:t xml:space="preserve"> </w:t>
      </w:r>
      <w:r>
        <w:rPr>
          <w:rFonts w:hint="eastAsia"/>
          <w:lang w:eastAsia="ko-KR"/>
        </w:rPr>
        <w:t xml:space="preserve">and </w:t>
      </w:r>
      <w:r>
        <w:rPr>
          <w:lang w:eastAsia="ja-JP"/>
        </w:rPr>
        <w:t>σ</w:t>
      </w:r>
      <w:r>
        <w:rPr>
          <w:rFonts w:cs="Arial"/>
          <w:i/>
          <w:szCs w:val="18"/>
          <w:vertAlign w:val="subscript"/>
        </w:rPr>
        <w:t>P</w:t>
      </w:r>
      <w:r>
        <w:rPr>
          <w:lang w:eastAsia="ja-JP"/>
        </w:rPr>
        <w:t xml:space="preserve"> </w:t>
      </w:r>
      <w:r>
        <w:rPr>
          <w:rFonts w:hint="eastAsia"/>
          <w:lang w:eastAsia="ko-KR"/>
        </w:rPr>
        <w:t xml:space="preserve">for two </w:t>
      </w:r>
      <w:r>
        <w:rPr>
          <w:lang w:eastAsia="ko-KR"/>
        </w:rPr>
        <w:t>O2I</w:t>
      </w:r>
      <w:r>
        <w:rPr>
          <w:rFonts w:hint="eastAsia"/>
          <w:lang w:eastAsia="ko-KR"/>
        </w:rPr>
        <w:t xml:space="preserve"> </w:t>
      </w:r>
      <w:r>
        <w:rPr>
          <w:lang w:eastAsia="ko-KR"/>
        </w:rPr>
        <w:t>penetration</w:t>
      </w:r>
      <w:r>
        <w:rPr>
          <w:rFonts w:hint="eastAsia"/>
          <w:lang w:eastAsia="ko-KR"/>
        </w:rPr>
        <w:t xml:space="preserve"> loss models. The </w:t>
      </w:r>
      <w:r>
        <w:rPr>
          <w:lang w:eastAsia="ko-KR"/>
        </w:rPr>
        <w:t xml:space="preserve">O2I penetration is </w:t>
      </w:r>
      <w:r>
        <w:rPr>
          <w:rFonts w:hint="eastAsia"/>
          <w:lang w:eastAsia="ko-KR"/>
        </w:rPr>
        <w:t>UT-specifically generated, and is added to the SF realization in the log domain.</w:t>
      </w:r>
    </w:p>
    <w:p>
      <w:pPr>
        <w:pStyle w:val="75"/>
        <w:rPr>
          <w:lang w:eastAsia="ko-KR"/>
        </w:rPr>
      </w:pPr>
      <w:bookmarkStart w:id="42" w:name="_Ref445049023"/>
      <w:r>
        <w:rPr>
          <w:lang w:eastAsia="ja-JP"/>
        </w:rPr>
        <w:t xml:space="preserve">Table </w:t>
      </w:r>
      <w:bookmarkEnd w:id="42"/>
      <w:r>
        <w:rPr>
          <w:lang w:eastAsia="ko-KR"/>
        </w:rPr>
        <w:t>6.2.5.2-4:</w:t>
      </w:r>
      <w:r>
        <w:rPr>
          <w:lang w:eastAsia="ja-JP"/>
        </w:rPr>
        <w:t xml:space="preserve"> </w:t>
      </w:r>
      <w:r>
        <w:rPr>
          <w:lang w:eastAsia="ko-KR"/>
        </w:rPr>
        <w:t>O2I building p</w:t>
      </w:r>
      <w:r>
        <w:rPr>
          <w:lang w:eastAsia="ja-JP"/>
        </w:rPr>
        <w:t xml:space="preserve">enetration loss </w:t>
      </w:r>
      <w:r>
        <w:rPr>
          <w:lang w:eastAsia="ko-KR"/>
        </w:rPr>
        <w:t>model</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7"/>
        <w:gridCol w:w="4193"/>
        <w:gridCol w:w="1301"/>
        <w:gridCol w:w="1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0" w:type="auto"/>
            <w:shd w:val="clear" w:color="auto" w:fill="auto"/>
          </w:tcPr>
          <w:p>
            <w:pPr>
              <w:pStyle w:val="66"/>
              <w:rPr>
                <w:lang w:eastAsia="ja-JP"/>
              </w:rPr>
            </w:pPr>
            <w:r>
              <w:rPr>
                <w:lang w:eastAsia="ja-JP"/>
              </w:rPr>
              <w:t> </w:t>
            </w:r>
          </w:p>
        </w:tc>
        <w:tc>
          <w:tcPr>
            <w:tcW w:w="0" w:type="auto"/>
            <w:shd w:val="clear" w:color="auto" w:fill="D9D9D9"/>
          </w:tcPr>
          <w:p>
            <w:pPr>
              <w:pStyle w:val="66"/>
              <w:rPr>
                <w:lang w:eastAsia="ja-JP"/>
              </w:rPr>
            </w:pPr>
            <w:r>
              <w:rPr>
                <w:lang w:eastAsia="ja-JP"/>
              </w:rPr>
              <w:t>Path loss through external wall:</w:t>
            </w:r>
          </w:p>
          <w:p>
            <w:pPr>
              <w:pStyle w:val="66"/>
              <w:rPr>
                <w:lang w:eastAsia="ja-JP"/>
              </w:rPr>
            </w:pPr>
            <w:r>
              <w:rPr>
                <w:position w:val="-12"/>
              </w:rPr>
              <w:object>
                <v:shape id="_x0000_i1080" o:spt="75" type="#_x0000_t75" style="height:17.7pt;width:23.25pt;" o:ole="t" filled="f" o:preferrelative="t" stroked="f" coordsize="21600,21600">
                  <v:path/>
                  <v:fill on="f" focussize="0,0"/>
                  <v:stroke on="f" joinstyle="miter"/>
                  <v:imagedata r:id="rId128" o:title=""/>
                  <o:lock v:ext="edit" aspectratio="t"/>
                  <w10:wrap type="none"/>
                  <w10:anchorlock/>
                </v:shape>
                <o:OLEObject Type="Embed" ProgID="Equation.3" ShapeID="_x0000_i1080" DrawAspect="Content" ObjectID="_1468075781" r:id="rId127">
                  <o:LockedField>false</o:LockedField>
                </o:OLEObject>
              </w:object>
            </w:r>
            <w:r>
              <w:t xml:space="preserve"> in</w:t>
            </w:r>
            <w:r>
              <w:rPr>
                <w:lang w:eastAsia="ja-JP"/>
              </w:rPr>
              <w:t xml:space="preserve"> [dB]</w:t>
            </w:r>
          </w:p>
        </w:tc>
        <w:tc>
          <w:tcPr>
            <w:tcW w:w="0" w:type="auto"/>
            <w:shd w:val="clear" w:color="auto" w:fill="D9D9D9"/>
          </w:tcPr>
          <w:p>
            <w:pPr>
              <w:pStyle w:val="66"/>
              <w:rPr>
                <w:lang w:eastAsia="ja-JP"/>
              </w:rPr>
            </w:pPr>
            <w:r>
              <w:rPr>
                <w:lang w:eastAsia="ja-JP"/>
              </w:rPr>
              <w:t>Indoor loss:</w:t>
            </w:r>
          </w:p>
          <w:p>
            <w:pPr>
              <w:pStyle w:val="66"/>
              <w:rPr>
                <w:lang w:eastAsia="ja-JP"/>
              </w:rPr>
            </w:pPr>
            <w:r>
              <w:rPr>
                <w:position w:val="-10"/>
              </w:rPr>
              <w:object>
                <v:shape id="_x0000_i1081" o:spt="75" type="#_x0000_t75" style="height:16.05pt;width:23.25pt;" o:ole="t" filled="f" o:preferrelative="t" stroked="f" coordsize="21600,21600">
                  <v:path/>
                  <v:fill on="f" focussize="0,0"/>
                  <v:stroke on="f" joinstyle="miter"/>
                  <v:imagedata r:id="rId130" o:title=""/>
                  <o:lock v:ext="edit" aspectratio="t"/>
                  <w10:wrap type="none"/>
                  <w10:anchorlock/>
                </v:shape>
                <o:OLEObject Type="Embed" ProgID="Equation.3" ShapeID="_x0000_i1081" DrawAspect="Content" ObjectID="_1468075782" r:id="rId129">
                  <o:LockedField>false</o:LockedField>
                </o:OLEObject>
              </w:object>
            </w:r>
            <w:r>
              <w:rPr>
                <w:lang w:eastAsia="ja-JP"/>
              </w:rPr>
              <w:t xml:space="preserve"> in [dB]</w:t>
            </w:r>
          </w:p>
        </w:tc>
        <w:tc>
          <w:tcPr>
            <w:tcW w:w="0" w:type="auto"/>
            <w:shd w:val="clear" w:color="auto" w:fill="D9D9D9"/>
          </w:tcPr>
          <w:p>
            <w:pPr>
              <w:pStyle w:val="66"/>
              <w:rPr>
                <w:lang w:eastAsia="ja-JP"/>
              </w:rPr>
            </w:pPr>
            <w:r>
              <w:rPr>
                <w:lang w:eastAsia="ja-JP"/>
              </w:rPr>
              <w:t>Standard deviation:</w:t>
            </w:r>
          </w:p>
          <w:p>
            <w:pPr>
              <w:pStyle w:val="66"/>
              <w:rPr>
                <w:lang w:eastAsia="ja-JP"/>
              </w:rPr>
            </w:pPr>
            <w:r>
              <w:rPr>
                <w:lang w:eastAsia="ja-JP"/>
              </w:rPr>
              <w:t>σ</w:t>
            </w:r>
            <w:r>
              <w:rPr>
                <w:i/>
                <w:szCs w:val="18"/>
                <w:vertAlign w:val="subscript"/>
              </w:rPr>
              <w:t>P</w:t>
            </w:r>
            <w:r>
              <w:rPr>
                <w:lang w:eastAsia="ja-JP"/>
              </w:rPr>
              <w:t xml:space="preserve">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0" w:type="auto"/>
            <w:shd w:val="clear" w:color="auto" w:fill="auto"/>
            <w:vAlign w:val="center"/>
          </w:tcPr>
          <w:p>
            <w:pPr>
              <w:pStyle w:val="67"/>
              <w:jc w:val="left"/>
              <w:rPr>
                <w:b/>
                <w:lang w:eastAsia="ja-JP"/>
              </w:rPr>
            </w:pPr>
            <w:r>
              <w:rPr>
                <w:b/>
                <w:lang w:eastAsia="ja-JP"/>
              </w:rPr>
              <w:t>Low</w:t>
            </w:r>
            <w:r>
              <w:rPr>
                <w:rFonts w:hint="eastAsia"/>
                <w:b/>
                <w:lang w:eastAsia="ko-KR"/>
              </w:rPr>
              <w:t>-</w:t>
            </w:r>
            <w:r>
              <w:rPr>
                <w:b/>
                <w:lang w:eastAsia="ja-JP"/>
              </w:rPr>
              <w:t>loss model</w:t>
            </w:r>
          </w:p>
        </w:tc>
        <w:tc>
          <w:tcPr>
            <w:tcW w:w="0" w:type="auto"/>
            <w:shd w:val="clear" w:color="auto" w:fill="auto"/>
            <w:vAlign w:val="center"/>
          </w:tcPr>
          <w:p>
            <w:pPr>
              <w:pStyle w:val="65"/>
              <w:rPr>
                <w:rFonts w:cs="Arial"/>
                <w:lang w:eastAsia="ja-JP"/>
              </w:rPr>
            </w:pPr>
            <w:r>
              <w:rPr>
                <w:position w:val="-36"/>
                <w:lang w:eastAsia="ko-KR"/>
              </w:rPr>
              <w:object>
                <v:shape id="_x0000_i1082" o:spt="75" type="#_x0000_t75" style="height:42.1pt;width:189.95pt;" o:ole="t" filled="f" o:preferrelative="t" stroked="f" coordsize="21600,21600">
                  <v:path/>
                  <v:fill on="f" focussize="0,0"/>
                  <v:stroke on="f" joinstyle="miter"/>
                  <v:imagedata r:id="rId132" o:title=""/>
                  <o:lock v:ext="edit" aspectratio="t"/>
                  <w10:wrap type="none"/>
                  <w10:anchorlock/>
                </v:shape>
                <o:OLEObject Type="Embed" ProgID="Equation.3" ShapeID="_x0000_i1082" DrawAspect="Content" ObjectID="_1468075783" r:id="rId131">
                  <o:LockedField>false</o:LockedField>
                </o:OLEObject>
              </w:object>
            </w:r>
          </w:p>
        </w:tc>
        <w:tc>
          <w:tcPr>
            <w:tcW w:w="0" w:type="auto"/>
            <w:shd w:val="clear" w:color="auto" w:fill="auto"/>
            <w:vAlign w:val="center"/>
          </w:tcPr>
          <w:p>
            <w:pPr>
              <w:pStyle w:val="65"/>
              <w:rPr>
                <w:lang w:eastAsia="ko-KR"/>
              </w:rPr>
            </w:pPr>
            <w:r>
              <w:rPr>
                <w:lang w:eastAsia="ja-JP"/>
              </w:rPr>
              <w:t xml:space="preserve">0.5 </w:t>
            </w:r>
            <w:r>
              <w:rPr>
                <w:position w:val="-10"/>
              </w:rPr>
              <w:object>
                <v:shape id="_x0000_i1083" o:spt="75" type="#_x0000_t75" style="height:16.05pt;width:28.8pt;" o:ole="t" filled="f" o:preferrelative="t" stroked="f" coordsize="21600,21600">
                  <v:path/>
                  <v:fill on="f" focussize="0,0"/>
                  <v:stroke on="f" joinstyle="miter"/>
                  <v:imagedata r:id="rId134" o:title=""/>
                  <o:lock v:ext="edit" aspectratio="t"/>
                  <w10:wrap type="none"/>
                  <w10:anchorlock/>
                </v:shape>
                <o:OLEObject Type="Embed" ProgID="Equation.3" ShapeID="_x0000_i1083" DrawAspect="Content" ObjectID="_1468075784" r:id="rId133">
                  <o:LockedField>false</o:LockedField>
                </o:OLEObject>
              </w:object>
            </w:r>
          </w:p>
        </w:tc>
        <w:tc>
          <w:tcPr>
            <w:tcW w:w="0" w:type="auto"/>
            <w:shd w:val="clear" w:color="auto" w:fill="auto"/>
            <w:vAlign w:val="center"/>
          </w:tcPr>
          <w:p>
            <w:pPr>
              <w:pStyle w:val="65"/>
              <w:rPr>
                <w:rFonts w:cs="Arial"/>
                <w:lang w:eastAsia="ko-KR"/>
              </w:rPr>
            </w:pPr>
            <w:r>
              <w:rPr>
                <w:rFonts w:hint="eastAsia" w:cs="Arial"/>
                <w:lang w:eastAsia="ko-KR"/>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0" w:type="auto"/>
            <w:shd w:val="clear" w:color="auto" w:fill="auto"/>
            <w:vAlign w:val="center"/>
          </w:tcPr>
          <w:p>
            <w:pPr>
              <w:pStyle w:val="67"/>
              <w:jc w:val="left"/>
              <w:rPr>
                <w:b/>
                <w:lang w:eastAsia="ja-JP"/>
              </w:rPr>
            </w:pPr>
            <w:r>
              <w:rPr>
                <w:b/>
                <w:lang w:eastAsia="ja-JP"/>
              </w:rPr>
              <w:t>High</w:t>
            </w:r>
            <w:r>
              <w:rPr>
                <w:rFonts w:hint="eastAsia"/>
                <w:b/>
                <w:lang w:eastAsia="ko-KR"/>
              </w:rPr>
              <w:t>-</w:t>
            </w:r>
            <w:r>
              <w:rPr>
                <w:b/>
                <w:lang w:eastAsia="ja-JP"/>
              </w:rPr>
              <w:t>loss model</w:t>
            </w:r>
          </w:p>
        </w:tc>
        <w:tc>
          <w:tcPr>
            <w:tcW w:w="0" w:type="auto"/>
            <w:shd w:val="clear" w:color="auto" w:fill="auto"/>
            <w:vAlign w:val="center"/>
          </w:tcPr>
          <w:p>
            <w:pPr>
              <w:pStyle w:val="65"/>
            </w:pPr>
            <w:r>
              <w:rPr>
                <w:position w:val="-36"/>
                <w:lang w:eastAsia="ko-KR"/>
              </w:rPr>
              <w:object>
                <v:shape id="_x0000_i1084" o:spt="75" type="#_x0000_t75" style="height:42.1pt;width:198.85pt;" o:ole="t" filled="f" o:preferrelative="t" stroked="f" coordsize="21600,21600">
                  <v:path/>
                  <v:fill on="f" focussize="0,0"/>
                  <v:stroke on="f" joinstyle="miter"/>
                  <v:imagedata r:id="rId136" o:title=""/>
                  <o:lock v:ext="edit" aspectratio="t"/>
                  <w10:wrap type="none"/>
                  <w10:anchorlock/>
                </v:shape>
                <o:OLEObject Type="Embed" ProgID="Equation.3" ShapeID="_x0000_i1084" DrawAspect="Content" ObjectID="_1468075785" r:id="rId135">
                  <o:LockedField>false</o:LockedField>
                </o:OLEObject>
              </w:object>
            </w:r>
          </w:p>
        </w:tc>
        <w:tc>
          <w:tcPr>
            <w:tcW w:w="0" w:type="auto"/>
            <w:shd w:val="clear" w:color="auto" w:fill="auto"/>
            <w:vAlign w:val="center"/>
          </w:tcPr>
          <w:p>
            <w:pPr>
              <w:pStyle w:val="65"/>
              <w:rPr>
                <w:lang w:eastAsia="ja-JP"/>
              </w:rPr>
            </w:pPr>
            <w:r>
              <w:rPr>
                <w:lang w:eastAsia="ja-JP"/>
              </w:rPr>
              <w:t xml:space="preserve">0.5 </w:t>
            </w:r>
            <w:r>
              <w:rPr>
                <w:position w:val="-10"/>
              </w:rPr>
              <w:object>
                <v:shape id="_x0000_i1085" o:spt="75" type="#_x0000_t75" style="height:16.05pt;width:28.8pt;" o:ole="t" filled="f" o:preferrelative="t" stroked="f" coordsize="21600,21600">
                  <v:path/>
                  <v:fill on="f" focussize="0,0"/>
                  <v:stroke on="f" joinstyle="miter"/>
                  <v:imagedata r:id="rId134" o:title=""/>
                  <o:lock v:ext="edit" aspectratio="t"/>
                  <w10:wrap type="none"/>
                  <w10:anchorlock/>
                </v:shape>
                <o:OLEObject Type="Embed" ProgID="Equation.3" ShapeID="_x0000_i1085" DrawAspect="Content" ObjectID="_1468075786" r:id="rId137">
                  <o:LockedField>false</o:LockedField>
                </o:OLEObject>
              </w:object>
            </w:r>
          </w:p>
        </w:tc>
        <w:tc>
          <w:tcPr>
            <w:tcW w:w="0" w:type="auto"/>
            <w:shd w:val="clear" w:color="auto" w:fill="auto"/>
            <w:vAlign w:val="center"/>
          </w:tcPr>
          <w:p>
            <w:pPr>
              <w:pStyle w:val="65"/>
              <w:rPr>
                <w:rFonts w:cs="Arial"/>
                <w:lang w:eastAsia="ko-KR"/>
              </w:rPr>
            </w:pPr>
            <w:r>
              <w:rPr>
                <w:rFonts w:hint="eastAsia" w:cs="Arial"/>
                <w:lang w:eastAsia="ko-KR"/>
              </w:rPr>
              <w:t>6.5</w:t>
            </w:r>
          </w:p>
        </w:tc>
      </w:tr>
    </w:tbl>
    <w:p>
      <w:pPr>
        <w:rPr>
          <w:lang w:eastAsia="ko-KR"/>
        </w:rPr>
      </w:pPr>
    </w:p>
    <w:p>
      <w:pPr>
        <w:rPr>
          <w:lang w:eastAsia="ko-KR"/>
        </w:rPr>
      </w:pPr>
      <w:r>
        <w:rPr>
          <w:position w:val="-10"/>
        </w:rPr>
        <w:object>
          <v:shape id="_x0000_i1086" o:spt="75" type="#_x0000_t75" style="height:16.05pt;width:28.8pt;" o:ole="t" filled="f" o:preferrelative="t" stroked="f" coordsize="21600,21600">
            <v:path/>
            <v:fill on="f" focussize="0,0"/>
            <v:stroke on="f" joinstyle="miter"/>
            <v:imagedata r:id="rId134" o:title=""/>
            <o:lock v:ext="edit" aspectratio="t"/>
            <w10:wrap type="none"/>
            <w10:anchorlock/>
          </v:shape>
          <o:OLEObject Type="Embed" ProgID="Equation.3" ShapeID="_x0000_i1086" DrawAspect="Content" ObjectID="_1468075787" r:id="rId138">
            <o:LockedField>false</o:LockedField>
          </o:OLEObject>
        </w:object>
      </w:r>
      <w:r>
        <w:t xml:space="preserve"> is </w:t>
      </w:r>
      <w:r>
        <w:rPr>
          <w:rFonts w:hint="eastAsia"/>
          <w:lang w:eastAsia="ko-KR"/>
        </w:rPr>
        <w:t xml:space="preserve">minimum of two independently generated </w:t>
      </w:r>
      <w:r>
        <w:t xml:space="preserve">uniformly distributed </w:t>
      </w:r>
      <w:r>
        <w:rPr>
          <w:rFonts w:hint="eastAsia"/>
          <w:lang w:eastAsia="ko-KR"/>
        </w:rPr>
        <w:t xml:space="preserve">variables </w:t>
      </w:r>
      <w:r>
        <w:t>between 0 and 25 m for UMa and UMi-Street Canyon, and between 0 and 10 m for RMa</w:t>
      </w:r>
      <w:r>
        <w:rPr>
          <w:rFonts w:hint="eastAsia"/>
          <w:lang w:eastAsia="ko-KR"/>
        </w:rPr>
        <w:t xml:space="preserve">. </w:t>
      </w:r>
      <w:r>
        <w:rPr>
          <w:position w:val="-10"/>
        </w:rPr>
        <w:object>
          <v:shape id="_x0000_i1087" o:spt="75" type="#_x0000_t75" style="height:16.05pt;width:28.8pt;" o:ole="t" filled="f" o:preferrelative="t" stroked="f" coordsize="21600,21600">
            <v:path/>
            <v:fill on="f" focussize="0,0"/>
            <v:stroke on="f" joinstyle="miter"/>
            <v:imagedata r:id="rId134" o:title=""/>
            <o:lock v:ext="edit" aspectratio="t"/>
            <w10:wrap type="none"/>
            <w10:anchorlock/>
          </v:shape>
          <o:OLEObject Type="Embed" ProgID="Equation.3" ShapeID="_x0000_i1087" DrawAspect="Content" ObjectID="_1468075788" r:id="rId139">
            <o:LockedField>false</o:LockedField>
          </o:OLEObject>
        </w:object>
      </w:r>
      <w:r>
        <w:t xml:space="preserve"> </w:t>
      </w:r>
      <w:r>
        <w:rPr>
          <w:rFonts w:hint="eastAsia"/>
          <w:lang w:eastAsia="ko-KR"/>
        </w:rPr>
        <w:t>shall be UT-specifically generated.</w:t>
      </w:r>
    </w:p>
    <w:p>
      <w:pPr>
        <w:rPr>
          <w:lang w:eastAsia="ko-KR"/>
        </w:rPr>
      </w:pPr>
      <w:r>
        <w:rPr>
          <w:rFonts w:hint="eastAsia"/>
          <w:lang w:eastAsia="ko-KR"/>
        </w:rPr>
        <w:t xml:space="preserve">Both low-loss and </w:t>
      </w:r>
      <w:r>
        <w:rPr>
          <w:lang w:eastAsia="ko-KR"/>
        </w:rPr>
        <w:t>high</w:t>
      </w:r>
      <w:r>
        <w:rPr>
          <w:rFonts w:hint="eastAsia"/>
          <w:lang w:eastAsia="ko-KR"/>
        </w:rPr>
        <w:t xml:space="preserve">-loss models are applicable to </w:t>
      </w:r>
      <w:r>
        <w:t>UMa and UMi-Street Canyon</w:t>
      </w:r>
      <w:r>
        <w:rPr>
          <w:rFonts w:hint="eastAsia"/>
          <w:lang w:eastAsia="ko-KR"/>
        </w:rPr>
        <w:t xml:space="preserve">. </w:t>
      </w:r>
    </w:p>
    <w:p>
      <w:r>
        <w:rPr>
          <w:rFonts w:hint="eastAsia"/>
          <w:b/>
          <w:lang w:eastAsia="ko-KR"/>
        </w:rPr>
        <w:t>Only the low-loss model is applicable to RMa.</w:t>
      </w:r>
    </w:p>
    <w:p>
      <w:pPr>
        <w:pStyle w:val="5"/>
      </w:pPr>
      <w:bookmarkStart w:id="43" w:name="_Toc133498134"/>
      <w:r>
        <w:rPr>
          <w:rFonts w:hint="eastAsia"/>
        </w:rPr>
        <w:t xml:space="preserve">6.2.5.3 </w:t>
      </w:r>
      <w:r>
        <w:t>Propagation model between ATG BS and TN BS</w:t>
      </w:r>
      <w:bookmarkEnd w:id="43"/>
    </w:p>
    <w:p>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pPr>
        <w:pStyle w:val="5"/>
      </w:pPr>
      <w:bookmarkStart w:id="44" w:name="_Toc133498135"/>
      <w:r>
        <w:rPr>
          <w:rFonts w:hint="eastAsia"/>
        </w:rPr>
        <w:t xml:space="preserve">6.2.5.4 </w:t>
      </w:r>
      <w:r>
        <w:t>Propagation model between ATG BS and TN UE</w:t>
      </w:r>
      <w:bookmarkEnd w:id="44"/>
    </w:p>
    <w:p>
      <w:r>
        <w:rPr>
          <w:lang w:eastAsia="zh-CN"/>
        </w:rPr>
        <w:t>The propagation model between ATG BS and TN UE is same as the propagation model between TN BS and TN UE in clause 6.2.5.2</w:t>
      </w:r>
    </w:p>
    <w:p>
      <w:pPr>
        <w:pStyle w:val="5"/>
      </w:pPr>
      <w:bookmarkStart w:id="45" w:name="_Toc133498136"/>
      <w:r>
        <w:rPr>
          <w:rFonts w:hint="eastAsia"/>
        </w:rPr>
        <w:t xml:space="preserve">6.2.5.5 </w:t>
      </w:r>
      <w:r>
        <w:t>Propagation model between TN BS and ATG UE</w:t>
      </w:r>
      <w:bookmarkEnd w:id="45"/>
    </w:p>
    <w:p>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pPr>
        <w:pStyle w:val="5"/>
      </w:pPr>
      <w:bookmarkStart w:id="46" w:name="_Toc133498137"/>
      <w:r>
        <w:rPr>
          <w:rFonts w:hint="eastAsia"/>
          <w:lang w:eastAsia="zh-CN"/>
        </w:rPr>
        <w:t xml:space="preserve">6.2.5.6 </w:t>
      </w:r>
      <w:r>
        <w:t>Propagation model between ATG BS and ATG UE</w:t>
      </w:r>
      <w:bookmarkEnd w:id="46"/>
    </w:p>
    <w:p>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pPr>
        <w:pStyle w:val="4"/>
        <w:rPr>
          <w:lang w:eastAsia="zh-CN"/>
        </w:rPr>
      </w:pPr>
      <w:bookmarkStart w:id="47" w:name="_Toc133498138"/>
      <w:r>
        <w:rPr>
          <w:rFonts w:hint="eastAsia"/>
          <w:lang w:eastAsia="zh-CN"/>
        </w:rPr>
        <w:t xml:space="preserve">6.2.6 </w:t>
      </w:r>
      <w:r>
        <w:rPr>
          <w:lang w:eastAsia="zh-CN"/>
        </w:rPr>
        <w:t>Transmission power control model</w:t>
      </w:r>
      <w:bookmarkEnd w:id="47"/>
    </w:p>
    <w:p>
      <w:pPr>
        <w:pStyle w:val="5"/>
      </w:pPr>
      <w:bookmarkStart w:id="48" w:name="_Toc133498139"/>
      <w:r>
        <w:rPr>
          <w:rFonts w:hint="eastAsia"/>
        </w:rPr>
        <w:t xml:space="preserve">6.2.6.1 </w:t>
      </w:r>
      <w:r>
        <w:t>TN UL TPC</w:t>
      </w:r>
      <w:bookmarkEnd w:id="48"/>
    </w:p>
    <w:p>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pPr>
        <w:pStyle w:val="57"/>
        <w:jc w:val="center"/>
        <w:rPr>
          <w:rFonts w:eastAsia="宋体"/>
          <w:lang w:eastAsia="zh-CN"/>
        </w:rPr>
      </w:pPr>
      <w:r>
        <w:rPr>
          <w:rFonts w:eastAsia="宋体"/>
          <w:kern w:val="2"/>
          <w:sz w:val="21"/>
          <w:szCs w:val="22"/>
          <w:lang w:val="en-US" w:eastAsia="zh-CN"/>
        </w:rPr>
        <w:object>
          <v:shape id="_x0000_i1088" o:spt="75" type="#_x0000_t75" style="height:43.75pt;width:180.55pt;" o:ole="t" fillcolor="#00CC99" filled="f" o:preferrelative="t" stroked="f" coordsize="21600,21600">
            <v:path/>
            <v:fill on="f" focussize="0,0"/>
            <v:stroke on="f" joinstyle="miter"/>
            <v:imagedata r:id="rId141" o:title=""/>
            <o:lock v:ext="edit" aspectratio="t"/>
            <w10:wrap type="none"/>
            <w10:anchorlock/>
          </v:shape>
          <o:OLEObject Type="Embed" ProgID="Equation.3" ShapeID="_x0000_i1088" DrawAspect="Content" ObjectID="_1468075789" r:id="rId140">
            <o:LockedField>false</o:LockedField>
          </o:OLEObject>
        </w:object>
      </w:r>
    </w:p>
    <w:p>
      <w:r>
        <w:t xml:space="preserve">where: </w:t>
      </w:r>
    </w:p>
    <w:p>
      <w:pPr>
        <w:pStyle w:val="73"/>
      </w:pPr>
      <w:r>
        <w:t>-</w:t>
      </w:r>
      <w:r>
        <w:tab/>
      </w:r>
      <w:r>
        <w:t>P</w:t>
      </w:r>
      <w:r>
        <w:rPr>
          <w:vertAlign w:val="subscript"/>
        </w:rPr>
        <w:t>max</w:t>
      </w:r>
      <w:r>
        <w:t xml:space="preserve"> = 23dBm, </w:t>
      </w:r>
    </w:p>
    <w:p>
      <w:pPr>
        <w:pStyle w:val="73"/>
      </w:pPr>
      <w:r>
        <w:t>-</w:t>
      </w:r>
      <w:r>
        <w:tab/>
      </w:r>
      <w:r>
        <w:t>R</w:t>
      </w:r>
      <w:r>
        <w:rPr>
          <w:vertAlign w:val="subscript"/>
        </w:rPr>
        <w:t>min</w:t>
      </w:r>
      <w:r>
        <w:t xml:space="preserve"> = </w:t>
      </w:r>
      <w:r>
        <w:rPr>
          <w:rFonts w:hint="eastAsia"/>
          <w:lang w:eastAsia="zh-CN"/>
        </w:rPr>
        <w:t>-</w:t>
      </w:r>
      <w:r>
        <w:t xml:space="preserve">40dBm, </w:t>
      </w:r>
    </w:p>
    <w:p>
      <w:pPr>
        <w:pStyle w:val="73"/>
      </w:pPr>
      <w:r>
        <w:t>-</w:t>
      </w:r>
      <w:r>
        <w:tab/>
      </w:r>
      <w:r>
        <w:t>CL</w:t>
      </w:r>
      <w:r>
        <w:rPr>
          <w:vertAlign w:val="subscript"/>
        </w:rPr>
        <w:t>x-ile</w:t>
      </w:r>
      <w:r>
        <w:t xml:space="preserve"> and γ are set as following:</w:t>
      </w:r>
    </w:p>
    <w:p>
      <w:pPr>
        <w:pStyle w:val="73"/>
        <w:ind w:firstLine="0"/>
        <w:rPr>
          <w:lang w:eastAsia="ja-JP"/>
        </w:rPr>
      </w:pPr>
      <w:r>
        <w:rPr>
          <w:lang w:val="sv-SE"/>
        </w:rPr>
        <w:t>-</w:t>
      </w:r>
      <w:r>
        <w:rPr>
          <w:lang w:val="sv-SE"/>
        </w:rPr>
        <w:tab/>
      </w:r>
      <w:r>
        <w:rPr>
          <w:lang w:val="sv-SE"/>
        </w:rPr>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r>
        <w:t>-</w:t>
      </w:r>
      <w:r>
        <w:tab/>
      </w:r>
      <w:r>
        <w:t>γ</w:t>
      </w:r>
      <w:r>
        <w:rPr>
          <w:lang w:eastAsia="ja-JP"/>
        </w:rPr>
        <w:t xml:space="preserve"> = 1 For uplink scenario.</w:t>
      </w:r>
    </w:p>
    <w:p>
      <w:pPr>
        <w:pStyle w:val="5"/>
      </w:pPr>
      <w:bookmarkStart w:id="49" w:name="_Toc133498140"/>
      <w:r>
        <w:rPr>
          <w:rFonts w:hint="eastAsia"/>
        </w:rPr>
        <w:t xml:space="preserve">6.2.6.2 </w:t>
      </w:r>
      <w:r>
        <w:t>TN DL TPC</w:t>
      </w:r>
      <w:bookmarkEnd w:id="49"/>
    </w:p>
    <w:p>
      <w:r>
        <w:rPr>
          <w:lang w:eastAsia="zh-CN"/>
        </w:rPr>
        <w:t>For downlink scenario, no power control scheme is applied.</w:t>
      </w:r>
    </w:p>
    <w:p>
      <w:pPr>
        <w:pStyle w:val="5"/>
      </w:pPr>
      <w:bookmarkStart w:id="50" w:name="_Toc133498141"/>
      <w:r>
        <w:rPr>
          <w:rFonts w:hint="eastAsia"/>
        </w:rPr>
        <w:t xml:space="preserve">6.2.6.3 </w:t>
      </w:r>
      <w:r>
        <w:t>ATG UL TPC</w:t>
      </w:r>
      <w:bookmarkEnd w:id="50"/>
    </w:p>
    <w:p>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pPr>
        <w:pStyle w:val="57"/>
        <w:jc w:val="center"/>
        <w:rPr>
          <w:rFonts w:eastAsia="宋体"/>
          <w:lang w:eastAsia="zh-CN"/>
        </w:rPr>
      </w:pPr>
      <w:r>
        <w:rPr>
          <w:rFonts w:eastAsia="宋体"/>
          <w:kern w:val="2"/>
          <w:sz w:val="21"/>
          <w:szCs w:val="22"/>
          <w:lang w:val="en-US" w:eastAsia="zh-CN"/>
        </w:rPr>
        <w:object>
          <v:shape id="_x0000_i1089" o:spt="75" type="#_x0000_t75" style="height:43.75pt;width:180.55pt;" o:ole="t" fillcolor="#00CC99" filled="f" o:preferrelative="t" stroked="f" coordsize="21600,21600">
            <v:path/>
            <v:fill on="f" focussize="0,0"/>
            <v:stroke on="f" joinstyle="miter"/>
            <v:imagedata r:id="rId141" o:title=""/>
            <o:lock v:ext="edit" aspectratio="t"/>
            <w10:wrap type="none"/>
            <w10:anchorlock/>
          </v:shape>
          <o:OLEObject Type="Embed" ProgID="Equation.3" ShapeID="_x0000_i1089" DrawAspect="Content" ObjectID="_1468075790" r:id="rId142">
            <o:LockedField>false</o:LockedField>
          </o:OLEObject>
        </w:object>
      </w:r>
    </w:p>
    <w:p>
      <w:r>
        <w:t xml:space="preserve">where: </w:t>
      </w:r>
    </w:p>
    <w:p>
      <w:pPr>
        <w:pStyle w:val="73"/>
      </w:pPr>
      <w:r>
        <w:t>-</w:t>
      </w:r>
      <w:r>
        <w:tab/>
      </w:r>
      <w:r>
        <w:t>P</w:t>
      </w:r>
      <w:r>
        <w:rPr>
          <w:vertAlign w:val="subscript"/>
        </w:rPr>
        <w:t>max</w:t>
      </w:r>
      <w:r>
        <w:t xml:space="preserve"> is ATG UE maximum output power (TRP) dBm, </w:t>
      </w:r>
    </w:p>
    <w:p>
      <w:pPr>
        <w:pStyle w:val="73"/>
      </w:pPr>
      <w:r>
        <w:t>-</w:t>
      </w:r>
      <w:r>
        <w:tab/>
      </w:r>
      <w:r>
        <w:t>R</w:t>
      </w:r>
      <w:r>
        <w:rPr>
          <w:vertAlign w:val="subscript"/>
        </w:rPr>
        <w:t>min</w:t>
      </w:r>
      <w:r>
        <w:t xml:space="preserve"> is ATG UE minimum output power (TRP)</w:t>
      </w:r>
      <w:r>
        <w:rPr>
          <w:lang w:eastAsia="zh-CN"/>
        </w:rPr>
        <w:t xml:space="preserve"> </w:t>
      </w:r>
      <w:r>
        <w:t xml:space="preserve">dBm, </w:t>
      </w:r>
    </w:p>
    <w:p>
      <w:pPr>
        <w:pStyle w:val="73"/>
      </w:pPr>
      <w:r>
        <w:t>-</w:t>
      </w:r>
      <w:r>
        <w:tab/>
      </w:r>
      <w:r>
        <w:t>CL</w:t>
      </w:r>
      <w:r>
        <w:rPr>
          <w:vertAlign w:val="subscript"/>
        </w:rPr>
        <w:t>x-ile</w:t>
      </w:r>
      <w:r>
        <w:t xml:space="preserve"> and γ are set as following:</w:t>
      </w:r>
    </w:p>
    <w:p>
      <w:pPr>
        <w:pStyle w:val="73"/>
        <w:ind w:firstLine="0"/>
      </w:pPr>
      <w:r>
        <w:rPr>
          <w:lang w:val="sv-SE"/>
        </w:rPr>
        <w:t>-</w:t>
      </w:r>
      <w:r>
        <w:rPr>
          <w:lang w:val="sv-SE"/>
        </w:rPr>
        <w:tab/>
      </w:r>
      <w:r>
        <w:rPr>
          <w:lang w:val="sv-SE"/>
        </w:rPr>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pPr>
        <w:pStyle w:val="73"/>
        <w:ind w:firstLine="0"/>
      </w:pPr>
      <w:r>
        <w:tab/>
      </w:r>
      <w:r>
        <w:rPr>
          <w:lang w:val="sv-SE"/>
        </w:rPr>
        <w:t>-</w:t>
      </w:r>
      <w:r>
        <w:rPr>
          <w:lang w:val="sv-SE"/>
        </w:rPr>
        <w:tab/>
      </w:r>
      <w:r>
        <w:rPr>
          <w:rFonts w:hint="eastAsia"/>
        </w:rPr>
        <w:t>SNR</w:t>
      </w:r>
      <w:r>
        <w:rPr>
          <w:vertAlign w:val="subscript"/>
        </w:rPr>
        <w:t>target</w:t>
      </w:r>
      <w:r>
        <w:t xml:space="preserve"> is the targeted UL SNR (dB).</w:t>
      </w:r>
    </w:p>
    <w:p>
      <w:pPr>
        <w:pStyle w:val="73"/>
        <w:ind w:firstLine="0"/>
      </w:pPr>
      <w:r>
        <w:tab/>
      </w:r>
      <w:r>
        <w:t>-    F is BS noise figure (dB).</w:t>
      </w:r>
    </w:p>
    <w:p>
      <w:pPr>
        <w:pStyle w:val="73"/>
        <w:ind w:firstLine="0"/>
        <w:rPr>
          <w:lang w:eastAsia="ja-JP"/>
        </w:rPr>
      </w:pPr>
      <w:r>
        <w:tab/>
      </w:r>
      <w:r>
        <w:t>-    B is UL transmission BW (Hz)</w:t>
      </w:r>
    </w:p>
    <w:p>
      <w:pPr>
        <w:rPr>
          <w:lang w:eastAsia="ja-JP"/>
        </w:rPr>
      </w:pPr>
      <w:r>
        <w:t>-</w:t>
      </w:r>
      <w:r>
        <w:tab/>
      </w:r>
      <w:r>
        <w:t>γ</w:t>
      </w:r>
      <w:r>
        <w:rPr>
          <w:lang w:eastAsia="ja-JP"/>
        </w:rPr>
        <w:t xml:space="preserve"> = 1 for uplink scenario.</w:t>
      </w:r>
    </w:p>
    <w:p>
      <w:pPr>
        <w:rPr>
          <w:rFonts w:eastAsia="宋体"/>
          <w:lang w:eastAsia="zh-CN"/>
        </w:rPr>
      </w:pPr>
      <w:r>
        <w:rPr>
          <w:rFonts w:eastAsia="宋体"/>
          <w:lang w:eastAsia="zh-CN"/>
        </w:rPr>
        <w:t>The specific parameters are assumed as below in table 6.2.6.3.</w:t>
      </w:r>
    </w:p>
    <w:p>
      <w:pPr>
        <w:pStyle w:val="75"/>
        <w:rPr>
          <w:lang w:eastAsia="ko-KR"/>
        </w:rPr>
      </w:pPr>
      <w:r>
        <w:rPr>
          <w:lang w:eastAsia="ja-JP"/>
        </w:rPr>
        <w:t>Table 6.2.6.3-1 LOS probability</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80"/>
        <w:gridCol w:w="3222"/>
        <w:gridCol w:w="3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U</w:t>
            </w:r>
            <w:r>
              <w:rPr>
                <w:lang w:val="en-US"/>
              </w:rPr>
              <w:t>E UL power control parameters</w:t>
            </w:r>
          </w:p>
        </w:tc>
        <w:tc>
          <w:tcPr>
            <w:tcW w:w="3245" w:type="dxa"/>
            <w:shd w:val="clear" w:color="auto" w:fill="E7E6E6"/>
          </w:tcPr>
          <w:p>
            <w:pPr>
              <w:rPr>
                <w:lang w:val="en-US"/>
              </w:rPr>
            </w:pPr>
            <w:r>
              <w:rPr>
                <w:rFonts w:hint="eastAsia"/>
                <w:lang w:val="en-US"/>
              </w:rPr>
              <w:t>2</w:t>
            </w:r>
            <w:r>
              <w:rPr>
                <w:lang w:val="en-US"/>
              </w:rPr>
              <w:t>GHz</w:t>
            </w:r>
          </w:p>
        </w:tc>
        <w:tc>
          <w:tcPr>
            <w:tcW w:w="3275" w:type="dxa"/>
            <w:shd w:val="clear" w:color="auto" w:fill="E7E6E6"/>
          </w:tcPr>
          <w:p>
            <w:pPr>
              <w:rPr>
                <w:lang w:val="en-US"/>
              </w:rPr>
            </w:pPr>
            <w:r>
              <w:rPr>
                <w:rFonts w:hint="eastAsia"/>
                <w:lang w:val="en-US"/>
              </w:rPr>
              <w:t>4</w:t>
            </w:r>
            <w:r>
              <w:rPr>
                <w:lang w:val="en-US"/>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lang w:val="en-US"/>
              </w:rPr>
              <w:t>Target SNR</w:t>
            </w:r>
          </w:p>
        </w:tc>
        <w:tc>
          <w:tcPr>
            <w:tcW w:w="3245" w:type="dxa"/>
            <w:shd w:val="clear" w:color="auto" w:fill="auto"/>
          </w:tcPr>
          <w:p>
            <w:pPr>
              <w:rPr>
                <w:lang w:val="en-US"/>
              </w:rPr>
            </w:pPr>
            <w:r>
              <w:rPr>
                <w:rFonts w:hint="eastAsia"/>
                <w:lang w:val="en-US"/>
              </w:rPr>
              <w:t>1</w:t>
            </w:r>
            <w:r>
              <w:rPr>
                <w:lang w:val="en-US"/>
              </w:rPr>
              <w:t>5dB</w:t>
            </w:r>
          </w:p>
        </w:tc>
        <w:tc>
          <w:tcPr>
            <w:tcW w:w="3275" w:type="dxa"/>
            <w:shd w:val="clear" w:color="auto" w:fill="auto"/>
          </w:tcPr>
          <w:p>
            <w:pPr>
              <w:rPr>
                <w:lang w:val="en-US"/>
              </w:rPr>
            </w:pPr>
            <w:r>
              <w:rPr>
                <w:rFonts w:hint="eastAsia"/>
                <w:lang w:val="en-US"/>
              </w:rPr>
              <w:t>1</w:t>
            </w:r>
            <w:r>
              <w:rPr>
                <w:lang w:val="en-US"/>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P</w:t>
            </w:r>
            <w:r>
              <w:rPr>
                <w:lang w:val="en-US"/>
              </w:rPr>
              <w:t>max (TRP)</w:t>
            </w:r>
          </w:p>
        </w:tc>
        <w:tc>
          <w:tcPr>
            <w:tcW w:w="3245" w:type="dxa"/>
            <w:shd w:val="clear" w:color="auto" w:fill="auto"/>
          </w:tcPr>
          <w:p>
            <w:pPr>
              <w:rPr>
                <w:lang w:val="en-US"/>
              </w:rPr>
            </w:pPr>
            <w:r>
              <w:rPr>
                <w:rFonts w:hint="eastAsia"/>
                <w:lang w:val="en-US"/>
              </w:rPr>
              <w:t>4</w:t>
            </w:r>
            <w:r>
              <w:rPr>
                <w:lang w:val="en-US"/>
              </w:rPr>
              <w:t>0dBm</w:t>
            </w:r>
          </w:p>
        </w:tc>
        <w:tc>
          <w:tcPr>
            <w:tcW w:w="3275" w:type="dxa"/>
            <w:shd w:val="clear" w:color="auto" w:fill="auto"/>
          </w:tcPr>
          <w:p>
            <w:pPr>
              <w:rPr>
                <w:lang w:val="en-US"/>
              </w:rPr>
            </w:pPr>
            <w:r>
              <w:rPr>
                <w:rFonts w:hint="eastAsia"/>
                <w:lang w:val="en-US"/>
              </w:rPr>
              <w:t>2</w:t>
            </w:r>
            <w:r>
              <w:rPr>
                <w:lang w:val="en-US"/>
              </w:rPr>
              <w:t>3dBm for per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B</w:t>
            </w:r>
            <w:r>
              <w:rPr>
                <w:lang w:val="en-US"/>
              </w:rPr>
              <w:t>W</w:t>
            </w:r>
          </w:p>
        </w:tc>
        <w:tc>
          <w:tcPr>
            <w:tcW w:w="3245" w:type="dxa"/>
            <w:shd w:val="clear" w:color="auto" w:fill="auto"/>
          </w:tcPr>
          <w:p>
            <w:pPr>
              <w:rPr>
                <w:lang w:val="en-US"/>
              </w:rPr>
            </w:pPr>
            <w:r>
              <w:rPr>
                <w:rFonts w:hint="eastAsia"/>
                <w:lang w:val="en-US"/>
              </w:rPr>
              <w:t>2</w:t>
            </w:r>
            <w:r>
              <w:rPr>
                <w:lang w:val="en-US"/>
              </w:rPr>
              <w:t>0MHz</w:t>
            </w:r>
          </w:p>
        </w:tc>
        <w:tc>
          <w:tcPr>
            <w:tcW w:w="3275" w:type="dxa"/>
            <w:shd w:val="clear" w:color="auto" w:fill="auto"/>
          </w:tcPr>
          <w:p>
            <w:pPr>
              <w:rPr>
                <w:lang w:val="en-US"/>
              </w:rPr>
            </w:pPr>
            <w:r>
              <w:rPr>
                <w:rFonts w:hint="eastAsia"/>
                <w:lang w:val="en-US"/>
              </w:rPr>
              <w:t>1</w:t>
            </w:r>
            <w:r>
              <w:rPr>
                <w:lang w:val="en-US"/>
              </w:rPr>
              <w:t>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t>R</w:t>
            </w:r>
            <w:r>
              <w:rPr>
                <w:vertAlign w:val="subscript"/>
              </w:rPr>
              <w:t>min</w:t>
            </w:r>
          </w:p>
        </w:tc>
        <w:tc>
          <w:tcPr>
            <w:tcW w:w="3245" w:type="dxa"/>
            <w:shd w:val="clear" w:color="auto" w:fill="auto"/>
          </w:tcPr>
          <w:p>
            <w:pPr>
              <w:rPr>
                <w:lang w:val="en-US" w:eastAsia="zh-CN"/>
              </w:rPr>
            </w:pPr>
            <w:r>
              <w:rPr>
                <w:rFonts w:hint="eastAsia"/>
                <w:lang w:val="en-US" w:eastAsia="zh-CN"/>
              </w:rPr>
              <w:t>-</w:t>
            </w:r>
            <w:r>
              <w:rPr>
                <w:lang w:val="en-US" w:eastAsia="zh-CN"/>
              </w:rPr>
              <w:t>27dBm</w:t>
            </w:r>
          </w:p>
        </w:tc>
        <w:tc>
          <w:tcPr>
            <w:tcW w:w="3275" w:type="dxa"/>
            <w:shd w:val="clear" w:color="auto" w:fill="auto"/>
          </w:tcPr>
          <w:p>
            <w:pPr>
              <w:rPr>
                <w:lang w:val="en-US"/>
              </w:rPr>
            </w:pPr>
            <w:r>
              <w:rPr>
                <w:rFonts w:hint="eastAsia"/>
                <w:lang w:val="en-US" w:eastAsia="zh-CN"/>
              </w:rPr>
              <w:t>-</w:t>
            </w:r>
            <w:r>
              <w:rPr>
                <w:lang w:val="en-US" w:eastAsia="zh-CN"/>
              </w:rPr>
              <w:t>20dBm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N</w:t>
            </w:r>
            <w:r>
              <w:rPr>
                <w:lang w:val="en-US"/>
              </w:rPr>
              <w:t>F for ATG BS</w:t>
            </w:r>
          </w:p>
        </w:tc>
        <w:tc>
          <w:tcPr>
            <w:tcW w:w="3245" w:type="dxa"/>
            <w:shd w:val="clear" w:color="auto" w:fill="auto"/>
          </w:tcPr>
          <w:p>
            <w:pPr>
              <w:rPr>
                <w:lang w:val="en-US"/>
              </w:rPr>
            </w:pPr>
            <w:r>
              <w:rPr>
                <w:rFonts w:hint="eastAsia"/>
                <w:lang w:val="en-US"/>
              </w:rPr>
              <w:t>5</w:t>
            </w:r>
            <w:r>
              <w:rPr>
                <w:lang w:val="en-US"/>
              </w:rPr>
              <w:t>dB</w:t>
            </w:r>
          </w:p>
        </w:tc>
        <w:tc>
          <w:tcPr>
            <w:tcW w:w="3275" w:type="dxa"/>
            <w:shd w:val="clear" w:color="auto" w:fill="auto"/>
          </w:tcPr>
          <w:p>
            <w:pPr>
              <w:rPr>
                <w:lang w:val="en-US"/>
              </w:rPr>
            </w:pPr>
            <w:r>
              <w:rPr>
                <w:rFonts w:hint="eastAsia"/>
                <w:lang w:val="en-US"/>
              </w:rPr>
              <w:t>5</w:t>
            </w:r>
            <w:r>
              <w:rPr>
                <w:lang w:val="en-US"/>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C</w:t>
            </w:r>
            <w:r>
              <w:rPr>
                <w:lang w:val="en-US"/>
              </w:rPr>
              <w:t>Lx_ile</w:t>
            </w:r>
          </w:p>
        </w:tc>
        <w:tc>
          <w:tcPr>
            <w:tcW w:w="3245" w:type="dxa"/>
            <w:shd w:val="clear" w:color="auto" w:fill="auto"/>
          </w:tcPr>
          <w:p>
            <w:pPr>
              <w:rPr>
                <w:lang w:val="en-US"/>
              </w:rPr>
            </w:pPr>
            <w:r>
              <w:rPr>
                <w:rFonts w:hint="eastAsia"/>
                <w:lang w:val="en-US"/>
              </w:rPr>
              <w:t>1</w:t>
            </w:r>
            <w:r>
              <w:rPr>
                <w:lang w:val="en-US"/>
              </w:rPr>
              <w:t>21dB</w:t>
            </w:r>
          </w:p>
        </w:tc>
        <w:tc>
          <w:tcPr>
            <w:tcW w:w="3275" w:type="dxa"/>
            <w:shd w:val="clear" w:color="auto" w:fill="auto"/>
          </w:tcPr>
          <w:p>
            <w:pPr>
              <w:rPr>
                <w:lang w:val="en-US"/>
              </w:rPr>
            </w:pPr>
            <w:r>
              <w:rPr>
                <w:lang w:val="en-US"/>
              </w:rPr>
              <w:t>97</w:t>
            </w:r>
          </w:p>
        </w:tc>
      </w:tr>
    </w:tbl>
    <w:p/>
    <w:p>
      <w:pPr>
        <w:pStyle w:val="5"/>
      </w:pPr>
      <w:bookmarkStart w:id="51" w:name="_Toc133498142"/>
      <w:r>
        <w:rPr>
          <w:rFonts w:hint="eastAsia"/>
        </w:rPr>
        <w:t xml:space="preserve">6.2.6.4 </w:t>
      </w:r>
      <w:r>
        <w:t>ATG DL TPC</w:t>
      </w:r>
      <w:bookmarkEnd w:id="51"/>
    </w:p>
    <w:p>
      <w:r>
        <w:rPr>
          <w:lang w:eastAsia="zh-CN"/>
        </w:rPr>
        <w:t>For downlink scenario, no power control scheme is applied.</w:t>
      </w:r>
    </w:p>
    <w:p>
      <w:pPr>
        <w:pStyle w:val="4"/>
        <w:rPr>
          <w:lang w:eastAsia="zh-CN"/>
        </w:rPr>
      </w:pPr>
      <w:bookmarkStart w:id="52" w:name="_Toc133498143"/>
      <w:r>
        <w:rPr>
          <w:rFonts w:hint="eastAsia"/>
          <w:lang w:eastAsia="zh-CN"/>
        </w:rPr>
        <w:t xml:space="preserve">6.2.7 </w:t>
      </w:r>
      <w:r>
        <w:rPr>
          <w:lang w:eastAsia="zh-CN"/>
        </w:rPr>
        <w:t>Received power model</w:t>
      </w:r>
      <w:bookmarkEnd w:id="52"/>
    </w:p>
    <w:p>
      <w:pPr>
        <w:rPr>
          <w:rFonts w:eastAsia="MS Mincho"/>
          <w:lang w:eastAsia="ja-JP"/>
        </w:rPr>
      </w:pPr>
      <w:r>
        <w:rPr>
          <w:rFonts w:eastAsia="MS Mincho"/>
          <w:lang w:eastAsia="ja-JP"/>
        </w:rPr>
        <w:t>The received power in downlink and uplink scenarios is defined as below:</w:t>
      </w:r>
    </w:p>
    <w:p>
      <w:pPr>
        <w:pStyle w:val="57"/>
        <w:rPr>
          <w:rFonts w:eastAsia="MS Mincho"/>
          <w:lang w:eastAsia="ja-JP"/>
        </w:rPr>
      </w:pPr>
      <w:r>
        <w:rPr>
          <w:rFonts w:eastAsia="MS Mincho"/>
          <w:lang w:eastAsia="ja-JP"/>
        </w:rPr>
        <w:t>RX_PWR = TX_PWR – Path loss + G_TX + G_RX</w:t>
      </w:r>
    </w:p>
    <w:p>
      <w:pPr>
        <w:rPr>
          <w:rFonts w:eastAsia="MS Mincho"/>
          <w:lang w:eastAsia="ja-JP"/>
        </w:rPr>
      </w:pPr>
      <w:r>
        <w:rPr>
          <w:rFonts w:eastAsia="MS Mincho"/>
          <w:lang w:eastAsia="ja-JP"/>
        </w:rPr>
        <w:t>where:</w:t>
      </w:r>
    </w:p>
    <w:p>
      <w:pPr>
        <w:pStyle w:val="73"/>
        <w:rPr>
          <w:lang w:eastAsia="ja-JP"/>
        </w:rPr>
      </w:pPr>
      <w:r>
        <w:rPr>
          <w:lang w:eastAsia="ja-JP"/>
        </w:rPr>
        <w:t>-</w:t>
      </w:r>
      <w:r>
        <w:rPr>
          <w:lang w:eastAsia="ja-JP"/>
        </w:rPr>
        <w:tab/>
      </w:r>
      <w:r>
        <w:rPr>
          <w:lang w:eastAsia="ja-JP"/>
        </w:rPr>
        <w:t>RX_PWR is the received power</w:t>
      </w:r>
    </w:p>
    <w:p>
      <w:pPr>
        <w:pStyle w:val="73"/>
        <w:rPr>
          <w:lang w:eastAsia="ja-JP"/>
        </w:rPr>
      </w:pPr>
      <w:r>
        <w:rPr>
          <w:lang w:eastAsia="ja-JP"/>
        </w:rPr>
        <w:t>-</w:t>
      </w:r>
      <w:r>
        <w:rPr>
          <w:lang w:eastAsia="ja-JP"/>
        </w:rPr>
        <w:tab/>
      </w:r>
      <w:r>
        <w:rPr>
          <w:lang w:eastAsia="ja-JP"/>
        </w:rPr>
        <w:t>TX_PWR is the transmitted power</w:t>
      </w:r>
    </w:p>
    <w:p>
      <w:pPr>
        <w:pStyle w:val="73"/>
        <w:rPr>
          <w:lang w:eastAsia="ja-JP"/>
        </w:rPr>
      </w:pPr>
      <w:r>
        <w:rPr>
          <w:lang w:eastAsia="ja-JP"/>
        </w:rPr>
        <w:t>-</w:t>
      </w:r>
      <w:r>
        <w:rPr>
          <w:lang w:eastAsia="ja-JP"/>
        </w:rPr>
        <w:tab/>
      </w:r>
      <w:r>
        <w:rPr>
          <w:lang w:eastAsia="ja-JP"/>
        </w:rPr>
        <w:t>G_TX is the transmitter antenna gain (directional array gain)</w:t>
      </w:r>
    </w:p>
    <w:p>
      <w:pPr>
        <w:rPr>
          <w:lang w:eastAsia="zh-CN"/>
        </w:rPr>
      </w:pPr>
      <w:r>
        <w:rPr>
          <w:lang w:eastAsia="ja-JP"/>
        </w:rPr>
        <w:t>-</w:t>
      </w:r>
      <w:r>
        <w:rPr>
          <w:lang w:eastAsia="ja-JP"/>
        </w:rPr>
        <w:tab/>
      </w:r>
      <w:r>
        <w:rPr>
          <w:lang w:eastAsia="ja-JP"/>
        </w:rPr>
        <w:t>G_RX is the receiver antenna gain (directional array gain).</w:t>
      </w:r>
    </w:p>
    <w:p>
      <w:pPr>
        <w:pStyle w:val="4"/>
        <w:rPr>
          <w:lang w:eastAsia="zh-CN"/>
        </w:rPr>
      </w:pPr>
      <w:bookmarkStart w:id="53" w:name="_Toc133498144"/>
      <w:r>
        <w:rPr>
          <w:rFonts w:hint="eastAsia"/>
          <w:lang w:eastAsia="zh-CN"/>
        </w:rPr>
        <w:t xml:space="preserve">6.2.8 </w:t>
      </w:r>
      <w:r>
        <w:rPr>
          <w:lang w:eastAsia="zh-CN"/>
        </w:rPr>
        <w:t>Performance metric</w:t>
      </w:r>
      <w:bookmarkEnd w:id="53"/>
    </w:p>
    <w:p>
      <w:pPr>
        <w:rPr>
          <w:bCs/>
          <w:lang w:eastAsia="zh-CN"/>
        </w:rPr>
      </w:pPr>
      <w:r>
        <w:rPr>
          <w:bCs/>
          <w:lang w:eastAsia="zh-CN"/>
        </w:rPr>
        <w:t>For NR, the average throughput loss and 5%-ile throughput loss should be less than 5%.</w:t>
      </w:r>
    </w:p>
    <w:p>
      <w:pPr>
        <w:rPr>
          <w:bCs/>
          <w:lang w:eastAsia="zh-CN"/>
        </w:rPr>
      </w:pPr>
      <w:r>
        <w:rPr>
          <w:bCs/>
          <w:lang w:eastAsia="zh-CN"/>
        </w:rPr>
        <w:t>For ATG, the average throughput loss and 5%-ile throughput loss should be less than 5%.</w:t>
      </w:r>
    </w:p>
    <w:p>
      <w:pPr>
        <w:rPr>
          <w:bCs/>
          <w:lang w:val="en-US" w:eastAsia="zh-CN"/>
        </w:rPr>
      </w:pPr>
      <w:r>
        <w:rPr>
          <w:bCs/>
          <w:lang w:eastAsia="zh-CN"/>
        </w:rPr>
        <w:t xml:space="preserve">For the TN network,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pPr>
        <w:pStyle w:val="73"/>
        <w:rPr>
          <w:sz w:val="24"/>
          <w:lang w:eastAsia="en-US"/>
        </w:rPr>
      </w:pPr>
      <w:r>
        <w:rPr>
          <w:rFonts w:eastAsia="Yu Mincho"/>
          <w:lang w:eastAsia="en-US" w:bidi="ar"/>
        </w:rPr>
        <w:t>-</w:t>
      </w:r>
      <w:r>
        <w:rPr>
          <w:rFonts w:eastAsia="Yu Mincho"/>
          <w:lang w:eastAsia="en-US" w:bidi="ar"/>
        </w:rPr>
        <w:tab/>
      </w:r>
      <w:r>
        <w:rPr>
          <w:rFonts w:eastAsia="Yu Mincho"/>
          <w:lang w:eastAsia="en-US" w:bidi="ar"/>
        </w:rPr>
        <w:t>5% and 50% in the whole network (When TN as victim, 5% and 50% are 5% ad 50% of the whole TN. When ATG as victim, 5% and 50% are the 5% and 50% among all drops.)</w:t>
      </w:r>
    </w:p>
    <w:p>
      <w:pPr>
        <w:pStyle w:val="73"/>
        <w:rPr>
          <w:sz w:val="24"/>
          <w:lang w:eastAsia="en-US"/>
        </w:rPr>
      </w:pPr>
      <w:r>
        <w:rPr>
          <w:rFonts w:eastAsia="Yu Mincho"/>
          <w:lang w:eastAsia="en-US" w:bidi="ar"/>
        </w:rPr>
        <w:t>-</w:t>
      </w:r>
      <w:r>
        <w:rPr>
          <w:rFonts w:eastAsia="Yu Mincho"/>
          <w:lang w:eastAsia="en-US" w:bidi="ar"/>
        </w:rPr>
        <w:tab/>
      </w:r>
      <w:r>
        <w:rPr>
          <w:rFonts w:eastAsia="Yu Mincho"/>
          <w:lang w:eastAsia="en-US" w:bidi="ar"/>
        </w:rPr>
        <w:t>5% and 50% of users within the cell with largest throughput loss for the case of TN DL victim</w:t>
      </w:r>
    </w:p>
    <w:p>
      <w:pPr>
        <w:rPr>
          <w:lang w:eastAsia="zh-CN"/>
        </w:rPr>
      </w:pPr>
    </w:p>
    <w:p>
      <w:pPr>
        <w:pStyle w:val="4"/>
        <w:rPr>
          <w:lang w:eastAsia="zh-CN"/>
        </w:rPr>
      </w:pPr>
      <w:bookmarkStart w:id="54" w:name="_Toc133498145"/>
      <w:r>
        <w:rPr>
          <w:rFonts w:hint="eastAsia"/>
          <w:lang w:eastAsia="zh-CN"/>
        </w:rPr>
        <w:t xml:space="preserve">6.2.9 </w:t>
      </w:r>
      <w:r>
        <w:rPr>
          <w:lang w:eastAsia="zh-CN"/>
        </w:rPr>
        <w:t>Link level performance for NR ATG coexistence</w:t>
      </w:r>
      <w:bookmarkEnd w:id="54"/>
    </w:p>
    <w:p>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pPr>
        <w:pStyle w:val="57"/>
      </w:pPr>
      <w:r>
        <w:rPr>
          <w:rFonts w:eastAsia="MS Mincho"/>
        </w:rPr>
        <w:tab/>
      </w:r>
      <w:r>
        <w:fldChar w:fldCharType="begin"/>
      </w:r>
      <w:r>
        <w:instrText xml:space="preserve"> QUOTE </w:instrText>
      </w:r>
      <w:r>
        <w:rPr>
          <w:position w:val="-32"/>
        </w:rPr>
        <w:pict>
          <v:shape id="_x0000_i1090" o:spt="75" type="#_x0000_t75" style="height:35.45pt;width:4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43" chromakey="#FFFFFF" o:title=""/>
            <o:lock v:ext="edit" aspectratio="t"/>
            <w10:wrap type="none"/>
            <w10:anchorlock/>
          </v:shape>
        </w:pict>
      </w:r>
      <w:r>
        <w:instrText xml:space="preserve"> </w:instrText>
      </w:r>
      <w:r>
        <w:fldChar w:fldCharType="end"/>
      </w:r>
      <m:oMath>
        <m:r>
          <m:rPr/>
          <w:rPr>
            <w:rFonts w:ascii="Cambria Math" w:hAnsi="Cambria Math"/>
            <w:szCs w:val="22"/>
          </w:rPr>
          <m:t xml:space="preserve"> Tℎrougℎput </m:t>
        </m:r>
        <m:d>
          <m:dPr>
            <m:ctrlPr>
              <w:rPr>
                <w:rFonts w:ascii="Cambria Math" w:hAnsi="Cambria Math" w:cs="宋体"/>
                <w:i/>
                <w:sz w:val="24"/>
                <w:szCs w:val="22"/>
              </w:rPr>
            </m:ctrlPr>
          </m:dPr>
          <m:e>
            <m:r>
              <m:rPr/>
              <w:rPr>
                <w:rFonts w:ascii="Cambria Math" w:hAnsi="Cambria Math"/>
                <w:szCs w:val="22"/>
              </w:rPr>
              <m:t>SNIR</m:t>
            </m:r>
            <m:ctrlPr>
              <w:rPr>
                <w:rFonts w:ascii="Cambria Math" w:hAnsi="Cambria Math" w:cs="宋体"/>
                <w:i/>
                <w:sz w:val="24"/>
                <w:szCs w:val="22"/>
              </w:rPr>
            </m:ctrlPr>
          </m:e>
        </m:d>
        <m:r>
          <m:rP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宋体"/>
                <w:sz w:val="24"/>
                <w:szCs w:val="22"/>
              </w:rPr>
            </m:ctrlPr>
          </m:dPr>
          <m:e>
            <m:eqArr>
              <m:eqArrPr>
                <m:ctrlPr>
                  <w:rPr>
                    <w:rFonts w:ascii="Cambria Math" w:hAnsi="Cambria Math" w:cs="宋体"/>
                    <w:i/>
                    <w:sz w:val="24"/>
                    <w:szCs w:val="22"/>
                  </w:rPr>
                </m:ctrlPr>
              </m:eqArrPr>
              <m:e>
                <m:r>
                  <m:rPr/>
                  <w:rPr>
                    <w:rFonts w:ascii="Cambria Math" w:hAnsi="Cambria Math"/>
                    <w:szCs w:val="22"/>
                  </w:rPr>
                  <m:t>0                                  for SNIR&lt; SNI</m:t>
                </m:r>
                <m:sSub>
                  <m:sSubPr>
                    <m:ctrlPr>
                      <w:rPr>
                        <w:rFonts w:ascii="Cambria Math" w:hAnsi="Cambria Math" w:cs="宋体"/>
                        <w:i/>
                        <w:sz w:val="24"/>
                        <w:szCs w:val="22"/>
                      </w:rPr>
                    </m:ctrlPr>
                  </m:sSubPr>
                  <m:e>
                    <m:r>
                      <m:rPr/>
                      <w:rPr>
                        <w:rFonts w:ascii="Cambria Math" w:hAnsi="Cambria Math"/>
                        <w:szCs w:val="22"/>
                      </w:rPr>
                      <m:t>R</m:t>
                    </m:r>
                    <m:ctrlPr>
                      <w:rPr>
                        <w:rFonts w:ascii="Cambria Math" w:hAnsi="Cambria Math" w:cs="宋体"/>
                        <w:i/>
                        <w:sz w:val="24"/>
                        <w:szCs w:val="22"/>
                      </w:rPr>
                    </m:ctrlPr>
                  </m:e>
                  <m:sub>
                    <m:r>
                      <m:rPr/>
                      <w:rPr>
                        <w:rFonts w:ascii="Cambria Math" w:hAnsi="Cambria Math"/>
                        <w:szCs w:val="22"/>
                      </w:rPr>
                      <m:t>MIN</m:t>
                    </m:r>
                    <m:ctrlPr>
                      <w:rPr>
                        <w:rFonts w:ascii="Cambria Math" w:hAnsi="Cambria Math" w:cs="宋体"/>
                        <w:i/>
                        <w:sz w:val="24"/>
                        <w:szCs w:val="22"/>
                      </w:rPr>
                    </m:ctrlPr>
                  </m:sub>
                </m:sSub>
                <m:r>
                  <m:rPr/>
                  <w:rPr>
                    <w:rFonts w:ascii="Cambria Math" w:hAnsi="Cambria Math"/>
                    <w:szCs w:val="22"/>
                  </w:rPr>
                  <m:t xml:space="preserve">                                        </m:t>
                </m:r>
                <m:ctrlPr>
                  <w:rPr>
                    <w:rFonts w:ascii="Cambria Math" w:hAnsi="Cambria Math" w:cs="宋体"/>
                    <w:i/>
                    <w:sz w:val="24"/>
                    <w:szCs w:val="22"/>
                  </w:rPr>
                </m:ctrlPr>
              </m:e>
              <m:e>
                <m:r>
                  <m:rPr/>
                  <w:rPr>
                    <w:rFonts w:ascii="Cambria Math" w:hAnsi="Cambria Math"/>
                    <w:szCs w:val="22"/>
                  </w:rPr>
                  <m:t>∝∙S</m:t>
                </m:r>
                <m:d>
                  <m:dPr>
                    <m:ctrlPr>
                      <w:rPr>
                        <w:rFonts w:ascii="Cambria Math" w:hAnsi="Cambria Math" w:cs="宋体"/>
                        <w:i/>
                        <w:sz w:val="24"/>
                        <w:szCs w:val="22"/>
                      </w:rPr>
                    </m:ctrlPr>
                  </m:dPr>
                  <m:e>
                    <m:r>
                      <m:rPr/>
                      <w:rPr>
                        <w:rFonts w:ascii="Cambria Math" w:hAnsi="Cambria Math"/>
                        <w:szCs w:val="22"/>
                      </w:rPr>
                      <m:t>SNIR</m:t>
                    </m:r>
                    <m:ctrlPr>
                      <w:rPr>
                        <w:rFonts w:ascii="Cambria Math" w:hAnsi="Cambria Math" w:cs="宋体"/>
                        <w:i/>
                        <w:sz w:val="24"/>
                        <w:szCs w:val="22"/>
                      </w:rPr>
                    </m:ctrlPr>
                  </m:e>
                </m:d>
                <m:r>
                  <m:rPr/>
                  <w:rPr>
                    <w:rFonts w:ascii="Cambria Math" w:hAnsi="Cambria Math"/>
                    <w:szCs w:val="22"/>
                  </w:rPr>
                  <m:t xml:space="preserve">                     for SNI</m:t>
                </m:r>
                <m:sSub>
                  <m:sSubPr>
                    <m:ctrlPr>
                      <w:rPr>
                        <w:rFonts w:ascii="Cambria Math" w:hAnsi="Cambria Math" w:cs="宋体"/>
                        <w:i/>
                        <w:sz w:val="24"/>
                        <w:szCs w:val="22"/>
                      </w:rPr>
                    </m:ctrlPr>
                  </m:sSubPr>
                  <m:e>
                    <m:r>
                      <m:rPr/>
                      <w:rPr>
                        <w:rFonts w:ascii="Cambria Math" w:hAnsi="Cambria Math"/>
                        <w:szCs w:val="22"/>
                      </w:rPr>
                      <m:t>R</m:t>
                    </m:r>
                    <m:ctrlPr>
                      <w:rPr>
                        <w:rFonts w:ascii="Cambria Math" w:hAnsi="Cambria Math" w:cs="宋体"/>
                        <w:i/>
                        <w:sz w:val="24"/>
                        <w:szCs w:val="22"/>
                      </w:rPr>
                    </m:ctrlPr>
                  </m:e>
                  <m:sub>
                    <m:r>
                      <m:rPr/>
                      <w:rPr>
                        <w:rFonts w:ascii="Cambria Math" w:hAnsi="Cambria Math"/>
                        <w:szCs w:val="22"/>
                      </w:rPr>
                      <m:t>MIN</m:t>
                    </m:r>
                    <m:ctrlPr>
                      <w:rPr>
                        <w:rFonts w:ascii="Cambria Math" w:hAnsi="Cambria Math" w:cs="宋体"/>
                        <w:i/>
                        <w:sz w:val="24"/>
                        <w:szCs w:val="22"/>
                      </w:rPr>
                    </m:ctrlPr>
                  </m:sub>
                </m:sSub>
                <m:r>
                  <m:rPr/>
                  <w:rPr>
                    <w:rFonts w:ascii="Cambria Math" w:hAnsi="Cambria Math"/>
                    <w:szCs w:val="22"/>
                  </w:rPr>
                  <m:t>≤SNIR&lt;SNI</m:t>
                </m:r>
                <m:sSub>
                  <m:sSubPr>
                    <m:ctrlPr>
                      <w:rPr>
                        <w:rFonts w:ascii="Cambria Math" w:hAnsi="Cambria Math" w:cs="宋体"/>
                        <w:i/>
                        <w:sz w:val="24"/>
                        <w:szCs w:val="22"/>
                      </w:rPr>
                    </m:ctrlPr>
                  </m:sSubPr>
                  <m:e>
                    <m:r>
                      <m:rPr/>
                      <w:rPr>
                        <w:rFonts w:ascii="Cambria Math" w:hAnsi="Cambria Math"/>
                        <w:szCs w:val="22"/>
                      </w:rPr>
                      <m:t>R</m:t>
                    </m:r>
                    <m:ctrlPr>
                      <w:rPr>
                        <w:rFonts w:ascii="Cambria Math" w:hAnsi="Cambria Math" w:cs="宋体"/>
                        <w:i/>
                        <w:sz w:val="24"/>
                        <w:szCs w:val="22"/>
                      </w:rPr>
                    </m:ctrlPr>
                  </m:e>
                  <m:sub>
                    <m:r>
                      <m:rPr/>
                      <w:rPr>
                        <w:rFonts w:ascii="Cambria Math" w:hAnsi="Cambria Math"/>
                        <w:szCs w:val="22"/>
                      </w:rPr>
                      <m:t>MAX</m:t>
                    </m:r>
                    <m:ctrlPr>
                      <w:rPr>
                        <w:rFonts w:ascii="Cambria Math" w:hAnsi="Cambria Math" w:cs="宋体"/>
                        <w:i/>
                        <w:sz w:val="24"/>
                        <w:szCs w:val="22"/>
                      </w:rPr>
                    </m:ctrlPr>
                  </m:sub>
                </m:sSub>
                <m:r>
                  <m:rPr/>
                  <w:rPr>
                    <w:rFonts w:ascii="Cambria Math" w:hAnsi="Cambria Math"/>
                    <w:szCs w:val="22"/>
                  </w:rPr>
                  <m:t xml:space="preserve"> </m:t>
                </m:r>
                <m:ctrlPr>
                  <w:rPr>
                    <w:rFonts w:ascii="Cambria Math" w:hAnsi="Cambria Math" w:eastAsia="Cambria Math" w:cs="Cambria Math"/>
                    <w:i/>
                    <w:sz w:val="24"/>
                    <w:szCs w:val="24"/>
                  </w:rPr>
                </m:ctrlPr>
              </m:e>
              <m:e>
                <m:r>
                  <m:rPr/>
                  <w:rPr>
                    <w:rFonts w:ascii="Cambria Math" w:hAnsi="Cambria Math"/>
                    <w:szCs w:val="22"/>
                  </w:rPr>
                  <m:t>∝∙S</m:t>
                </m:r>
                <m:d>
                  <m:dPr>
                    <m:ctrlPr>
                      <w:rPr>
                        <w:rFonts w:ascii="Cambria Math" w:hAnsi="Cambria Math" w:cs="宋体"/>
                        <w:i/>
                        <w:sz w:val="24"/>
                        <w:szCs w:val="22"/>
                      </w:rPr>
                    </m:ctrlPr>
                  </m:dPr>
                  <m:e>
                    <m:r>
                      <m:rPr/>
                      <w:rPr>
                        <w:rFonts w:ascii="Cambria Math" w:hAnsi="Cambria Math"/>
                        <w:szCs w:val="22"/>
                      </w:rPr>
                      <m:t>SNI</m:t>
                    </m:r>
                    <m:sSub>
                      <m:sSubPr>
                        <m:ctrlPr>
                          <w:rPr>
                            <w:rFonts w:ascii="Cambria Math" w:hAnsi="Cambria Math" w:cs="宋体"/>
                            <w:i/>
                            <w:sz w:val="24"/>
                            <w:szCs w:val="22"/>
                          </w:rPr>
                        </m:ctrlPr>
                      </m:sSubPr>
                      <m:e>
                        <m:r>
                          <m:rPr/>
                          <w:rPr>
                            <w:rFonts w:ascii="Cambria Math" w:hAnsi="Cambria Math"/>
                            <w:szCs w:val="22"/>
                          </w:rPr>
                          <m:t>R</m:t>
                        </m:r>
                        <m:ctrlPr>
                          <w:rPr>
                            <w:rFonts w:ascii="Cambria Math" w:hAnsi="Cambria Math" w:cs="宋体"/>
                            <w:i/>
                            <w:sz w:val="24"/>
                            <w:szCs w:val="22"/>
                          </w:rPr>
                        </m:ctrlPr>
                      </m:e>
                      <m:sub>
                        <m:r>
                          <m:rPr/>
                          <w:rPr>
                            <w:rFonts w:ascii="Cambria Math" w:hAnsi="Cambria Math"/>
                            <w:szCs w:val="22"/>
                          </w:rPr>
                          <m:t>MAX</m:t>
                        </m:r>
                        <m:ctrlPr>
                          <w:rPr>
                            <w:rFonts w:ascii="Cambria Math" w:hAnsi="Cambria Math" w:cs="宋体"/>
                            <w:i/>
                            <w:sz w:val="24"/>
                            <w:szCs w:val="22"/>
                          </w:rPr>
                        </m:ctrlPr>
                      </m:sub>
                    </m:sSub>
                    <m:ctrlPr>
                      <w:rPr>
                        <w:rFonts w:ascii="Cambria Math" w:hAnsi="Cambria Math" w:cs="宋体"/>
                        <w:i/>
                        <w:sz w:val="24"/>
                        <w:szCs w:val="22"/>
                      </w:rPr>
                    </m:ctrlPr>
                  </m:e>
                </m:d>
                <m:r>
                  <m:rPr/>
                  <w:rPr>
                    <w:rFonts w:ascii="Cambria Math" w:hAnsi="Cambria Math"/>
                    <w:szCs w:val="22"/>
                  </w:rPr>
                  <m:t xml:space="preserve">               for SNIR ≥ SNI</m:t>
                </m:r>
                <m:sSub>
                  <m:sSubPr>
                    <m:ctrlPr>
                      <w:rPr>
                        <w:rFonts w:ascii="Cambria Math" w:hAnsi="Cambria Math" w:cs="宋体"/>
                        <w:i/>
                        <w:sz w:val="24"/>
                        <w:szCs w:val="22"/>
                      </w:rPr>
                    </m:ctrlPr>
                  </m:sSubPr>
                  <m:e>
                    <m:r>
                      <m:rPr/>
                      <w:rPr>
                        <w:rFonts w:ascii="Cambria Math" w:hAnsi="Cambria Math"/>
                        <w:szCs w:val="22"/>
                      </w:rPr>
                      <m:t>R</m:t>
                    </m:r>
                    <m:ctrlPr>
                      <w:rPr>
                        <w:rFonts w:ascii="Cambria Math" w:hAnsi="Cambria Math" w:cs="宋体"/>
                        <w:i/>
                        <w:sz w:val="24"/>
                        <w:szCs w:val="22"/>
                      </w:rPr>
                    </m:ctrlPr>
                  </m:e>
                  <m:sub>
                    <m:r>
                      <m:rPr/>
                      <w:rPr>
                        <w:rFonts w:ascii="Cambria Math" w:hAnsi="Cambria Math"/>
                        <w:szCs w:val="22"/>
                      </w:rPr>
                      <m:t>MAX</m:t>
                    </m:r>
                    <m:ctrlPr>
                      <w:rPr>
                        <w:rFonts w:ascii="Cambria Math" w:hAnsi="Cambria Math" w:cs="宋体"/>
                        <w:i/>
                        <w:sz w:val="24"/>
                        <w:szCs w:val="22"/>
                      </w:rPr>
                    </m:ctrlPr>
                  </m:sub>
                </m:sSub>
                <m:r>
                  <m:rPr/>
                  <w:rPr>
                    <w:rFonts w:ascii="Cambria Math" w:hAnsi="Cambria Math"/>
                    <w:szCs w:val="22"/>
                  </w:rPr>
                  <m:t xml:space="preserve">                        </m:t>
                </m:r>
                <m:ctrlPr>
                  <w:rPr>
                    <w:rFonts w:ascii="Cambria Math" w:hAnsi="Cambria Math" w:cs="宋体"/>
                    <w:i/>
                    <w:sz w:val="24"/>
                    <w:szCs w:val="22"/>
                  </w:rPr>
                </m:ctrlPr>
              </m:e>
            </m:eqArr>
            <m:ctrlPr>
              <w:rPr>
                <w:rFonts w:ascii="Cambria Math" w:hAnsi="Cambria Math" w:cs="宋体"/>
                <w:sz w:val="24"/>
                <w:szCs w:val="22"/>
              </w:rPr>
            </m:ctrlPr>
          </m:e>
        </m:d>
      </m:oMath>
    </w:p>
    <w:p>
      <w:pPr>
        <w:rPr>
          <w:rFonts w:eastAsia="MS Mincho"/>
        </w:rPr>
      </w:pPr>
      <w:r>
        <w:rPr>
          <w:rFonts w:eastAsia="MS Mincho"/>
        </w:rPr>
        <w:t>Where:</w:t>
      </w:r>
      <w:r>
        <w:rPr>
          <w:rFonts w:eastAsia="MS Mincho"/>
        </w:rPr>
        <w:tab/>
      </w:r>
    </w:p>
    <w:p>
      <w:pPr>
        <w:pStyle w:val="73"/>
      </w:pPr>
      <w:r>
        <w:t>-</w:t>
      </w:r>
      <w:r>
        <w:tab/>
      </w:r>
      <w:r>
        <w:t>S(SNIR)</w:t>
      </w:r>
      <w:r>
        <w:tab/>
      </w:r>
      <w:r>
        <w:tab/>
      </w:r>
      <w:r>
        <w:t>Shannon bound, S(SNIR) =log</w:t>
      </w:r>
      <w:r>
        <w:rPr>
          <w:vertAlign w:val="subscript"/>
        </w:rPr>
        <w:t>2</w:t>
      </w:r>
      <w:r>
        <w:t>(1+SNIR) bps/Hz</w:t>
      </w:r>
    </w:p>
    <w:p>
      <w:pPr>
        <w:pStyle w:val="73"/>
      </w:pPr>
      <w:r>
        <w:t>-</w:t>
      </w:r>
      <w:r>
        <w:tab/>
      </w:r>
      <w:r>
        <w:rPr/>
        <w:sym w:font="Symbol" w:char="F061"/>
      </w:r>
      <w:r>
        <w:tab/>
      </w:r>
      <w:r>
        <w:tab/>
      </w:r>
      <w:r>
        <w:tab/>
      </w:r>
      <w:r>
        <w:tab/>
      </w:r>
      <w:r>
        <w:t>Attenuation factor, representing implementation losses</w:t>
      </w:r>
    </w:p>
    <w:p>
      <w:pPr>
        <w:pStyle w:val="73"/>
      </w:pPr>
      <w:r>
        <w:t>-</w:t>
      </w:r>
      <w:r>
        <w:tab/>
      </w:r>
      <w:r>
        <w:t>SNIR</w:t>
      </w:r>
      <w:r>
        <w:rPr>
          <w:vertAlign w:val="subscript"/>
        </w:rPr>
        <w:t>MIN</w:t>
      </w:r>
      <w:r>
        <w:rPr>
          <w:vertAlign w:val="subscript"/>
        </w:rPr>
        <w:tab/>
      </w:r>
      <w:r>
        <w:rPr>
          <w:vertAlign w:val="subscript"/>
        </w:rPr>
        <w:tab/>
      </w:r>
      <w:r>
        <w:t>Minimum SN</w:t>
      </w:r>
      <w:r>
        <w:rPr>
          <w:lang w:eastAsia="ja-JP"/>
        </w:rPr>
        <w:t>I</w:t>
      </w:r>
      <w:r>
        <w:t>R of the code</w:t>
      </w:r>
      <w:r>
        <w:rPr>
          <w:lang w:eastAsia="ja-JP"/>
        </w:rPr>
        <w:t xml:space="preserve"> </w:t>
      </w:r>
      <w:r>
        <w:t>set, dB</w:t>
      </w:r>
    </w:p>
    <w:p>
      <w:pPr>
        <w:pStyle w:val="73"/>
      </w:pPr>
      <w:r>
        <w:t>-</w:t>
      </w:r>
      <w:r>
        <w:tab/>
      </w:r>
      <w:r>
        <w:t>SN</w:t>
      </w:r>
      <w:r>
        <w:rPr>
          <w:lang w:eastAsia="ja-JP"/>
        </w:rPr>
        <w:t>I</w:t>
      </w:r>
      <w:r>
        <w:t>R</w:t>
      </w:r>
      <w:r>
        <w:rPr>
          <w:vertAlign w:val="subscript"/>
        </w:rPr>
        <w:t>MAX</w:t>
      </w:r>
      <w:r>
        <w:rPr>
          <w:vertAlign w:val="subscript"/>
        </w:rPr>
        <w:tab/>
      </w:r>
      <w:r>
        <w:rPr>
          <w:vertAlign w:val="subscript"/>
        </w:rPr>
        <w:tab/>
      </w:r>
      <w:r>
        <w:t>Maximum SN</w:t>
      </w:r>
      <w:r>
        <w:rPr>
          <w:lang w:eastAsia="ja-JP"/>
        </w:rPr>
        <w:t>I</w:t>
      </w:r>
      <w:r>
        <w:t>R of the code set, dB</w:t>
      </w:r>
    </w:p>
    <w:p>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pPr>
        <w:pStyle w:val="73"/>
        <w:rPr>
          <w:lang w:eastAsia="ja-JP"/>
        </w:rPr>
      </w:pPr>
      <w:r>
        <w:rPr>
          <w:lang w:eastAsia="ja-JP"/>
        </w:rPr>
        <w:t>-</w:t>
      </w:r>
      <w:r>
        <w:rPr>
          <w:lang w:eastAsia="ja-JP"/>
        </w:rPr>
        <w:tab/>
      </w:r>
      <w:r>
        <w:rPr>
          <w:lang w:eastAsia="ja-JP"/>
        </w:rPr>
        <w:t>1:1 antenna configuration</w:t>
      </w:r>
    </w:p>
    <w:p>
      <w:pPr>
        <w:pStyle w:val="73"/>
        <w:rPr>
          <w:lang w:eastAsia="ja-JP"/>
        </w:rPr>
      </w:pPr>
      <w:r>
        <w:rPr>
          <w:lang w:eastAsia="ja-JP"/>
        </w:rPr>
        <w:t>-</w:t>
      </w:r>
      <w:r>
        <w:rPr>
          <w:lang w:eastAsia="ja-JP"/>
        </w:rPr>
        <w:tab/>
      </w:r>
      <w:r>
        <w:rPr>
          <w:lang w:eastAsia="ja-JP"/>
        </w:rPr>
        <w:t>AWGN channel model</w:t>
      </w:r>
    </w:p>
    <w:p>
      <w:pPr>
        <w:pStyle w:val="73"/>
        <w:rPr>
          <w:lang w:eastAsia="ja-JP"/>
        </w:rPr>
      </w:pPr>
      <w:r>
        <w:rPr>
          <w:lang w:eastAsia="ja-JP"/>
        </w:rPr>
        <w:t>-</w:t>
      </w:r>
      <w:r>
        <w:rPr>
          <w:lang w:eastAsia="ja-JP"/>
        </w:rPr>
        <w:tab/>
      </w:r>
      <w:r>
        <w:rPr>
          <w:lang w:eastAsia="ja-JP"/>
        </w:rPr>
        <w:t>Link Adaptation (see Table 4.2.7-1 for details of the highest and lowest rate codes)</w:t>
      </w:r>
    </w:p>
    <w:p>
      <w:pPr>
        <w:pStyle w:val="73"/>
        <w:rPr>
          <w:lang w:eastAsia="ja-JP"/>
        </w:rPr>
      </w:pPr>
      <w:r>
        <w:rPr>
          <w:lang w:eastAsia="ja-JP"/>
        </w:rPr>
        <w:t>-</w:t>
      </w:r>
      <w:r>
        <w:rPr>
          <w:lang w:eastAsia="ja-JP"/>
        </w:rPr>
        <w:tab/>
      </w:r>
      <w:r>
        <w:rPr>
          <w:lang w:eastAsia="ja-JP"/>
        </w:rPr>
        <w:t>No HARQ</w:t>
      </w:r>
    </w:p>
    <w:p>
      <w:pPr>
        <w:pStyle w:val="75"/>
        <w:rPr>
          <w:rFonts w:eastAsia="MS Mincho"/>
        </w:rPr>
      </w:pPr>
      <w:r>
        <w:rPr>
          <w:rFonts w:eastAsia="MS Mincho"/>
        </w:rPr>
        <w:t xml:space="preserve">Table </w:t>
      </w:r>
      <w:r>
        <w:rPr>
          <w:rFonts w:eastAsia="MS Mincho"/>
          <w:lang w:eastAsia="ja-JP"/>
        </w:rPr>
        <w:t>6.2.9-1</w:t>
      </w:r>
      <w:r>
        <w:rPr>
          <w:rFonts w:eastAsia="MS Mincho"/>
        </w:rPr>
        <w:t>: Parameters describing baseline Link Level performance for 5G NR</w:t>
      </w:r>
    </w:p>
    <w:tbl>
      <w:tblPr>
        <w:tblStyle w:val="49"/>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11"/>
        <w:gridCol w:w="477"/>
        <w:gridCol w:w="477"/>
        <w:gridCol w:w="4118"/>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0"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6"/>
              <w:rPr>
                <w:lang w:val="en-US"/>
              </w:rPr>
            </w:pPr>
            <w:r>
              <w:t xml:space="preserve">Parameter </w:t>
            </w:r>
          </w:p>
        </w:tc>
        <w:tc>
          <w:tcPr>
            <w:tcW w:w="0" w:type="auto"/>
            <w:tcBorders>
              <w:top w:val="single" w:color="auto" w:sz="8" w:space="0"/>
              <w:left w:val="single" w:color="auto" w:sz="8" w:space="0"/>
              <w:bottom w:val="single" w:color="auto" w:sz="8" w:space="0"/>
              <w:right w:val="single" w:color="auto" w:sz="8" w:space="0"/>
            </w:tcBorders>
            <w:vAlign w:val="bottom"/>
          </w:tcPr>
          <w:p>
            <w:pPr>
              <w:pStyle w:val="66"/>
            </w:pPr>
            <w:r>
              <w:t xml:space="preserve">DL </w:t>
            </w:r>
          </w:p>
        </w:tc>
        <w:tc>
          <w:tcPr>
            <w:tcW w:w="0" w:type="auto"/>
            <w:tcBorders>
              <w:top w:val="single" w:color="auto" w:sz="8" w:space="0"/>
              <w:left w:val="single" w:color="auto" w:sz="8" w:space="0"/>
              <w:bottom w:val="single" w:color="auto" w:sz="8" w:space="0"/>
              <w:right w:val="single" w:color="auto" w:sz="8" w:space="0"/>
            </w:tcBorders>
            <w:vAlign w:val="bottom"/>
          </w:tcPr>
          <w:p>
            <w:pPr>
              <w:pStyle w:val="66"/>
            </w:pPr>
            <w:r>
              <w:t xml:space="preserve">UL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6"/>
            </w:pPr>
            <w:r>
              <w:t xml:space="preserve">Notes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0"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7"/>
              <w:rPr>
                <w:rFonts w:eastAsia="MS Mincho"/>
              </w:rPr>
            </w:pPr>
            <w:r>
              <w:rPr>
                <w:rFonts w:eastAsia="MS Mincho"/>
              </w:rPr>
              <w:t xml:space="preserve">α, attenuation </w:t>
            </w:r>
          </w:p>
        </w:tc>
        <w:tc>
          <w:tcPr>
            <w:tcW w:w="0" w:type="auto"/>
            <w:tcBorders>
              <w:top w:val="single" w:color="auto" w:sz="8" w:space="0"/>
              <w:left w:val="single" w:color="auto" w:sz="8" w:space="0"/>
              <w:bottom w:val="single" w:color="auto" w:sz="8" w:space="0"/>
              <w:right w:val="single" w:color="auto" w:sz="8" w:space="0"/>
            </w:tcBorders>
            <w:vAlign w:val="bottom"/>
          </w:tcPr>
          <w:p>
            <w:pPr>
              <w:pStyle w:val="67"/>
              <w:rPr>
                <w:rFonts w:eastAsia="MS Mincho"/>
              </w:rPr>
            </w:pPr>
            <w:r>
              <w:rPr>
                <w:rFonts w:eastAsia="MS Mincho"/>
              </w:rPr>
              <w:t xml:space="preserve">0.6 </w:t>
            </w:r>
          </w:p>
        </w:tc>
        <w:tc>
          <w:tcPr>
            <w:tcW w:w="0" w:type="auto"/>
            <w:tcBorders>
              <w:top w:val="single" w:color="auto" w:sz="8" w:space="0"/>
              <w:left w:val="single" w:color="auto" w:sz="8" w:space="0"/>
              <w:bottom w:val="single" w:color="auto" w:sz="8" w:space="0"/>
              <w:right w:val="single" w:color="auto" w:sz="8" w:space="0"/>
            </w:tcBorders>
            <w:vAlign w:val="bottom"/>
          </w:tcPr>
          <w:p>
            <w:pPr>
              <w:pStyle w:val="67"/>
              <w:rPr>
                <w:rFonts w:eastAsia="MS Mincho"/>
              </w:rPr>
            </w:pPr>
            <w:r>
              <w:rPr>
                <w:rFonts w:eastAsia="MS Mincho"/>
              </w:rPr>
              <w:t xml:space="preserve">0.4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7"/>
              <w:rPr>
                <w:rFonts w:eastAsia="MS Mincho"/>
              </w:rPr>
            </w:pPr>
            <w:r>
              <w:rPr>
                <w:rFonts w:eastAsia="MS Mincho"/>
              </w:rPr>
              <w:t xml:space="preserve">Represents implementation losses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13"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7"/>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color="auto" w:sz="8" w:space="0"/>
              <w:left w:val="single" w:color="auto" w:sz="8" w:space="0"/>
              <w:bottom w:val="single" w:color="auto" w:sz="8" w:space="0"/>
              <w:right w:val="single" w:color="auto" w:sz="8" w:space="0"/>
            </w:tcBorders>
            <w:vAlign w:val="bottom"/>
          </w:tcPr>
          <w:p>
            <w:pPr>
              <w:pStyle w:val="67"/>
              <w:rPr>
                <w:rFonts w:eastAsia="MS Mincho"/>
              </w:rPr>
            </w:pPr>
            <w:r>
              <w:rPr>
                <w:rFonts w:eastAsia="MS Mincho"/>
              </w:rPr>
              <w:t xml:space="preserve">-10 </w:t>
            </w:r>
          </w:p>
        </w:tc>
        <w:tc>
          <w:tcPr>
            <w:tcW w:w="0" w:type="auto"/>
            <w:tcBorders>
              <w:top w:val="single" w:color="auto" w:sz="8" w:space="0"/>
              <w:left w:val="single" w:color="auto" w:sz="8" w:space="0"/>
              <w:bottom w:val="single" w:color="auto" w:sz="8" w:space="0"/>
              <w:right w:val="single" w:color="auto" w:sz="8" w:space="0"/>
            </w:tcBorders>
            <w:vAlign w:val="bottom"/>
          </w:tcPr>
          <w:p>
            <w:pPr>
              <w:pStyle w:val="67"/>
              <w:rPr>
                <w:rFonts w:eastAsia="MS Mincho"/>
              </w:rPr>
            </w:pPr>
            <w:r>
              <w:rPr>
                <w:rFonts w:eastAsia="MS Mincho"/>
              </w:rPr>
              <w:t xml:space="preserve">-10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7"/>
              <w:rPr>
                <w:rFonts w:eastAsia="MS Mincho"/>
              </w:rPr>
            </w:pPr>
            <w:r>
              <w:rPr>
                <w:rFonts w:eastAsia="MS Mincho"/>
              </w:rPr>
              <w:t xml:space="preserve">Based on QPSK, 1/8 rate (DL) &amp; 1/5 rate (UL)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13"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7"/>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color="auto" w:sz="8" w:space="0"/>
              <w:left w:val="single" w:color="auto" w:sz="8" w:space="0"/>
              <w:bottom w:val="single" w:color="auto" w:sz="8" w:space="0"/>
              <w:right w:val="single" w:color="auto" w:sz="8" w:space="0"/>
            </w:tcBorders>
            <w:vAlign w:val="bottom"/>
          </w:tcPr>
          <w:p>
            <w:pPr>
              <w:pStyle w:val="67"/>
              <w:rPr>
                <w:rFonts w:eastAsia="MS Mincho"/>
              </w:rPr>
            </w:pPr>
            <w:r>
              <w:rPr>
                <w:rFonts w:eastAsia="MS Mincho"/>
              </w:rPr>
              <w:t xml:space="preserve">30 </w:t>
            </w:r>
          </w:p>
        </w:tc>
        <w:tc>
          <w:tcPr>
            <w:tcW w:w="0" w:type="auto"/>
            <w:tcBorders>
              <w:top w:val="single" w:color="auto" w:sz="8" w:space="0"/>
              <w:left w:val="single" w:color="auto" w:sz="8" w:space="0"/>
              <w:bottom w:val="single" w:color="auto" w:sz="8" w:space="0"/>
              <w:right w:val="single" w:color="auto" w:sz="8" w:space="0"/>
            </w:tcBorders>
            <w:vAlign w:val="bottom"/>
          </w:tcPr>
          <w:p>
            <w:pPr>
              <w:pStyle w:val="67"/>
              <w:rPr>
                <w:rFonts w:eastAsia="MS Mincho"/>
              </w:rPr>
            </w:pPr>
            <w:r>
              <w:rPr>
                <w:rFonts w:eastAsia="MS Mincho"/>
              </w:rPr>
              <w:t xml:space="preserve">22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7"/>
              <w:rPr>
                <w:rFonts w:eastAsia="MS Mincho"/>
              </w:rPr>
            </w:pPr>
            <w:r>
              <w:rPr>
                <w:rFonts w:eastAsia="MS Mincho"/>
              </w:rPr>
              <w:t xml:space="preserve">Based on 256QAM 0.93(DL) &amp; 64QAM 0.93 (UL) </w:t>
            </w:r>
          </w:p>
        </w:tc>
      </w:tr>
    </w:tbl>
    <w:p>
      <w:pPr>
        <w:rPr>
          <w:rFonts w:eastAsia="MS Mincho"/>
        </w:rPr>
      </w:pPr>
    </w:p>
    <w:p>
      <w:pPr>
        <w:rPr>
          <w:lang w:eastAsia="zh-CN"/>
        </w:rPr>
      </w:pPr>
      <w:r>
        <w:rPr>
          <w:rFonts w:eastAsia="MS Mincho"/>
        </w:rPr>
        <w:t>Note that the parameters proposed in Table 4.2.7-1 are targeted for eMBB coexistence scenario.</w:t>
      </w:r>
    </w:p>
    <w:p>
      <w:pPr>
        <w:pStyle w:val="3"/>
        <w:rPr>
          <w:lang w:eastAsia="zh-CN"/>
        </w:rPr>
      </w:pPr>
      <w:bookmarkStart w:id="55" w:name="_Toc133498146"/>
      <w:r>
        <w:rPr>
          <w:rFonts w:hint="eastAsia"/>
          <w:lang w:eastAsia="zh-CN"/>
        </w:rPr>
        <w:t xml:space="preserve">6.3 </w:t>
      </w:r>
      <w:r>
        <w:rPr>
          <w:lang w:eastAsia="zh-CN"/>
        </w:rPr>
        <w:t>Co-existence simulation methodology</w:t>
      </w:r>
      <w:bookmarkEnd w:id="55"/>
    </w:p>
    <w:p>
      <w:pPr>
        <w:spacing w:after="120"/>
        <w:rPr>
          <w:rFonts w:eastAsia="宋体"/>
        </w:rPr>
      </w:pPr>
      <w:r>
        <w:rPr>
          <w:rFonts w:eastAsia="宋体"/>
        </w:rPr>
        <w:t xml:space="preserve">Adopt following simulation steps. </w:t>
      </w:r>
    </w:p>
    <w:p>
      <w:pPr>
        <w:pStyle w:val="73"/>
        <w:rPr>
          <w:rFonts w:eastAsia="宋体"/>
          <w:szCs w:val="24"/>
        </w:rPr>
      </w:pPr>
      <w:r>
        <w:t>-</w:t>
      </w:r>
      <w:r>
        <w:tab/>
      </w:r>
      <w:r>
        <w:t xml:space="preserve">Step 1: Generate aggressor and victim networks. </w:t>
      </w:r>
    </w:p>
    <w:p>
      <w:pPr>
        <w:pStyle w:val="84"/>
      </w:pPr>
      <w:r>
        <w:t>-</w:t>
      </w:r>
      <w:r>
        <w:tab/>
      </w:r>
      <w:r>
        <w:tab/>
      </w:r>
      <w:r>
        <w:t>One ATG site with one sector is dropped referring to clause 6.2.1.3</w:t>
      </w:r>
    </w:p>
    <w:p>
      <w:pPr>
        <w:pStyle w:val="84"/>
      </w:pPr>
      <w:r>
        <w:t xml:space="preserve">- </w:t>
      </w:r>
      <w:r>
        <w:tab/>
      </w:r>
      <w:r>
        <w:t>Deployment of terrestrial network (19 cells with wraparound) refers to Table 6.2.1.2-1</w:t>
      </w:r>
    </w:p>
    <w:p>
      <w:pPr>
        <w:pStyle w:val="84"/>
        <w:rPr>
          <w:rFonts w:eastAsia="宋体"/>
        </w:rPr>
      </w:pPr>
      <w:r>
        <w:t xml:space="preserve">- </w:t>
      </w:r>
      <w:r>
        <w:tab/>
      </w:r>
      <w:r>
        <w:t>The relationship between TN and ATG can refer to clause 6.2.1.1</w:t>
      </w:r>
    </w:p>
    <w:p>
      <w:pPr>
        <w:pStyle w:val="73"/>
        <w:rPr>
          <w:rFonts w:eastAsia="宋体"/>
          <w:szCs w:val="24"/>
        </w:rPr>
      </w:pPr>
      <w:r>
        <w:t>-</w:t>
      </w:r>
      <w:r>
        <w:tab/>
      </w:r>
      <w:r>
        <w:t>Step2: UE associations</w:t>
      </w:r>
    </w:p>
    <w:p>
      <w:pPr>
        <w:pStyle w:val="84"/>
      </w:pPr>
      <w:r>
        <w:t>-</w:t>
      </w:r>
      <w:r>
        <w:tab/>
      </w:r>
      <w:r>
        <w:t xml:space="preserve">TN UE are generated randomly inside the TN network, make sure enough TN UEs are associated to each TN sectors based on coupling loss. </w:t>
      </w:r>
    </w:p>
    <w:p>
      <w:pPr>
        <w:pStyle w:val="84"/>
      </w:pPr>
      <w:r>
        <w:t>-</w:t>
      </w:r>
      <w:r>
        <w:tab/>
      </w:r>
      <w:r>
        <w:t>Deployment of ATG UE refers to clause 6.2.1.3.</w:t>
      </w:r>
    </w:p>
    <w:p>
      <w:pPr>
        <w:pStyle w:val="73"/>
        <w:rPr>
          <w:rFonts w:eastAsia="宋体"/>
          <w:szCs w:val="24"/>
        </w:rPr>
      </w:pPr>
      <w:r>
        <w:t>-</w:t>
      </w:r>
      <w:r>
        <w:tab/>
      </w:r>
      <w:r>
        <w:t>Step 3: Once association is done, round robin scheduling is used. BF weights are adjusted to point to the LOS direction between BS/ATG BS-UE. This</w:t>
      </w:r>
      <w:r>
        <w:rPr>
          <w:lang w:eastAsia="ja-JP"/>
        </w:rPr>
        <w:t xml:space="preserve"> is</w:t>
      </w:r>
      <w:r>
        <w:t xml:space="preserve"> done for both victim and aggressor networks.</w:t>
      </w:r>
    </w:p>
    <w:p>
      <w:pPr>
        <w:pStyle w:val="73"/>
        <w:rPr>
          <w:rFonts w:eastAsia="宋体"/>
          <w:szCs w:val="24"/>
        </w:rPr>
      </w:pPr>
      <w:r>
        <w:rPr>
          <w:lang w:eastAsia="ja-JP"/>
        </w:rPr>
        <w:t>-</w:t>
      </w:r>
      <w:r>
        <w:rPr>
          <w:lang w:eastAsia="ja-JP"/>
        </w:rPr>
        <w:tab/>
      </w:r>
      <w:r>
        <w:rPr>
          <w:lang w:eastAsia="ja-JP"/>
        </w:rPr>
        <w:t>Step 4: T</w:t>
      </w:r>
      <w:r>
        <w:t xml:space="preserve">hroughput </w:t>
      </w:r>
      <w:r>
        <w:rPr>
          <w:lang w:eastAsia="ja-JP"/>
        </w:rPr>
        <w:t xml:space="preserve">is computed </w:t>
      </w:r>
      <w:r>
        <w:t>in the victim systems without considering ACI</w:t>
      </w:r>
      <w:r>
        <w:rPr>
          <w:lang w:eastAsia="ja-JP"/>
        </w:rPr>
        <w:t xml:space="preserve"> as below:</w:t>
      </w:r>
    </w:p>
    <w:p>
      <w:pPr>
        <w:pStyle w:val="57"/>
        <w:jc w:val="center"/>
      </w:pPr>
      <m:oMath>
        <m:sSub>
          <m:sSubPr>
            <m:ctrlPr>
              <w:rPr>
                <w:rFonts w:ascii="Cambria Math" w:hAnsi="Cambria Math"/>
                <w:iCs/>
              </w:rPr>
            </m:ctrlPr>
          </m:sSubPr>
          <m:e>
            <m:r>
              <m:rPr/>
              <w:rPr>
                <w:rFonts w:ascii="Cambria Math" w:hAnsi="Cambria Math"/>
              </w:rPr>
              <m:t>Tℎput</m:t>
            </m:r>
            <m:ctrlPr>
              <w:rPr>
                <w:rFonts w:ascii="Cambria Math" w:hAnsi="Cambria Math"/>
                <w:iCs/>
              </w:rPr>
            </m:ctrlPr>
          </m:e>
          <m:sub>
            <m:r>
              <m:rPr>
                <m:sty m:val="p"/>
              </m:rPr>
              <w:rPr>
                <w:rFonts w:ascii="Cambria Math" w:hAnsi="Cambria Math"/>
              </w:rPr>
              <m:t>NO ACI</m:t>
            </m:r>
            <m:ctrlPr>
              <w:rPr>
                <w:rFonts w:ascii="Cambria Math" w:hAnsi="Cambria Math"/>
                <w:iCs/>
              </w:rPr>
            </m:ctrlPr>
          </m:sub>
        </m:sSub>
        <m:d>
          <m:dPr>
            <m:begChr m:val="["/>
            <m:endChr m:val="]"/>
            <m:ctrlPr>
              <w:rPr>
                <w:rFonts w:ascii="Cambria Math" w:hAnsi="Cambria Math"/>
                <w:iCs/>
              </w:rPr>
            </m:ctrlPr>
          </m:dPr>
          <m:e>
            <m:r>
              <m:rPr/>
              <w:rPr>
                <w:rFonts w:ascii="Cambria Math" w:hAnsi="Cambria Math"/>
              </w:rPr>
              <m:t>bpsℎz</m:t>
            </m:r>
            <m:ctrlPr>
              <w:rPr>
                <w:rFonts w:ascii="Cambria Math" w:hAnsi="Cambria Math"/>
                <w:iCs/>
              </w:rPr>
            </m:ctrlPr>
          </m:e>
        </m:d>
        <m:r>
          <m:rPr>
            <m:sty m:val="p"/>
          </m:rPr>
          <w:rPr>
            <w:rFonts w:ascii="Cambria Math" w:hAnsi="Cambria Math"/>
          </w:rPr>
          <m:t>=</m:t>
        </m:r>
        <m:r>
          <m:rPr/>
          <w:rPr>
            <w:rFonts w:ascii="Cambria Math" w:hAnsi="Cambria Math"/>
          </w:rPr>
          <m:t>f</m:t>
        </m:r>
        <m:d>
          <m:dPr>
            <m:ctrlPr>
              <w:rPr>
                <w:rFonts w:ascii="Cambria Math" w:hAnsi="Cambria Math"/>
                <w:iCs/>
              </w:rPr>
            </m:ctrlPr>
          </m:dPr>
          <m:e>
            <m:sSub>
              <m:sSubPr>
                <m:ctrlPr>
                  <w:rPr>
                    <w:rFonts w:ascii="Cambria Math" w:hAnsi="Cambria Math"/>
                    <w:iCs/>
                  </w:rPr>
                </m:ctrlPr>
              </m:sSubPr>
              <m:e>
                <m:r>
                  <m:rPr/>
                  <w:rPr>
                    <w:rFonts w:ascii="Cambria Math" w:hAnsi="Cambria Math"/>
                  </w:rPr>
                  <m:t>SINR</m:t>
                </m:r>
                <m:ctrlPr>
                  <w:rPr>
                    <w:rFonts w:ascii="Cambria Math" w:hAnsi="Cambria Math"/>
                    <w:iCs/>
                  </w:rPr>
                </m:ctrlPr>
              </m:e>
              <m:sub>
                <m:r>
                  <m:rPr/>
                  <w:rPr>
                    <w:rFonts w:ascii="Cambria Math" w:hAnsi="Cambria Math"/>
                  </w:rPr>
                  <m:t>ICI</m:t>
                </m:r>
                <m:ctrlPr>
                  <w:rPr>
                    <w:rFonts w:ascii="Cambria Math" w:hAnsi="Cambria Math"/>
                    <w:iCs/>
                  </w:rPr>
                </m:ctrlPr>
              </m:sub>
            </m:sSub>
            <m:ctrlPr>
              <w:rPr>
                <w:rFonts w:ascii="Cambria Math" w:hAnsi="Cambria Math"/>
                <w:iCs/>
              </w:rPr>
            </m:ctrlPr>
          </m:e>
        </m:d>
        <m:r>
          <m:rPr>
            <m:sty m:val="p"/>
          </m:rPr>
          <w:rPr>
            <w:rFonts w:ascii="Cambria Math" w:hAnsi="Cambria Math"/>
          </w:rPr>
          <m:t>=</m:t>
        </m:r>
        <m:r>
          <m:rPr/>
          <w:rPr>
            <w:rFonts w:ascii="Cambria Math" w:hAnsi="Cambria Math"/>
          </w:rPr>
          <m:t>f</m:t>
        </m:r>
        <m:d>
          <m:dPr>
            <m:ctrlPr>
              <w:rPr>
                <w:rFonts w:ascii="Cambria Math" w:hAnsi="Cambria Math"/>
                <w:iCs/>
              </w:rPr>
            </m:ctrlPr>
          </m:dPr>
          <m:e>
            <m:f>
              <m:fPr>
                <m:ctrlPr>
                  <w:rPr>
                    <w:rFonts w:ascii="Cambria Math" w:hAnsi="Cambria Math"/>
                    <w:iCs/>
                  </w:rPr>
                </m:ctrlPr>
              </m:fPr>
              <m:num>
                <m:r>
                  <m:rPr/>
                  <w:rPr>
                    <w:rFonts w:ascii="Cambria Math" w:hAnsi="Cambria Math"/>
                  </w:rPr>
                  <m:t>S</m:t>
                </m:r>
                <m:ctrlPr>
                  <w:rPr>
                    <w:rFonts w:ascii="Cambria Math" w:hAnsi="Cambria Math"/>
                    <w:iCs/>
                  </w:rPr>
                </m:ctrlPr>
              </m:num>
              <m:den>
                <m:r>
                  <m:rPr/>
                  <w:rPr>
                    <w:rFonts w:ascii="Cambria Math" w:hAnsi="Cambria Math"/>
                  </w:rPr>
                  <m:t>N</m:t>
                </m:r>
                <m:r>
                  <m:rPr>
                    <m:sty m:val="p"/>
                  </m:rPr>
                  <w:rPr>
                    <w:rFonts w:ascii="Cambria Math" w:hAnsi="Cambria Math"/>
                  </w:rPr>
                  <m:t>+</m:t>
                </m:r>
                <m:sSub>
                  <m:sSubPr>
                    <m:ctrlPr>
                      <w:rPr>
                        <w:rFonts w:ascii="Cambria Math" w:hAnsi="Cambria Math"/>
                        <w:iCs/>
                      </w:rPr>
                    </m:ctrlPr>
                  </m:sSubPr>
                  <m:e>
                    <m:r>
                      <m:rPr/>
                      <w:rPr>
                        <w:rFonts w:ascii="Cambria Math" w:hAnsi="Cambria Math"/>
                      </w:rPr>
                      <m:t>I</m:t>
                    </m:r>
                    <m:ctrlPr>
                      <w:rPr>
                        <w:rFonts w:ascii="Cambria Math" w:hAnsi="Cambria Math"/>
                        <w:iCs/>
                      </w:rPr>
                    </m:ctrlPr>
                  </m:e>
                  <m:sub>
                    <m:r>
                      <m:rPr/>
                      <w:rPr>
                        <w:rFonts w:ascii="Cambria Math" w:hAnsi="Cambria Math"/>
                      </w:rPr>
                      <m:t>ICI</m:t>
                    </m:r>
                    <m:ctrlPr>
                      <w:rPr>
                        <w:rFonts w:ascii="Cambria Math" w:hAnsi="Cambria Math"/>
                        <w:iCs/>
                      </w:rPr>
                    </m:ctrlPr>
                  </m:sub>
                </m:sSub>
                <m:ctrlPr>
                  <w:rPr>
                    <w:rFonts w:ascii="Cambria Math" w:hAnsi="Cambria Math"/>
                    <w:iCs/>
                  </w:rPr>
                </m:ctrlPr>
              </m:den>
            </m:f>
            <m:ctrlPr>
              <w:rPr>
                <w:rFonts w:ascii="Cambria Math" w:hAnsi="Cambria Math"/>
                <w:iCs/>
              </w:rPr>
            </m:ctrlPr>
          </m:e>
        </m:d>
      </m:oMath>
      <w:r>
        <w:t xml:space="preserve">, </w:t>
      </w:r>
    </w:p>
    <w:p>
      <w:pPr>
        <w:pStyle w:val="84"/>
      </w:pPr>
      <w:r>
        <w:t>where</w:t>
      </w:r>
      <w:r>
        <w:rPr>
          <w:lang w:eastAsia="zh-CN"/>
        </w:rPr>
        <w:t>:</w:t>
      </w:r>
      <w:r>
        <w:tab/>
      </w:r>
      <w:r>
        <w:tab/>
      </w:r>
      <w:r>
        <w:tab/>
      </w:r>
      <m:oMath>
        <m:sSub>
          <m:sSubPr>
            <m:ctrlPr>
              <w:rPr>
                <w:rFonts w:ascii="Cambria Math" w:hAnsi="Cambria Math"/>
                <w:iCs/>
              </w:rPr>
            </m:ctrlPr>
          </m:sSubPr>
          <m:e>
            <m:r>
              <m:rPr/>
              <w:rPr>
                <w:rFonts w:ascii="Cambria Math" w:hAnsi="Cambria Math"/>
              </w:rPr>
              <m:t>I</m:t>
            </m:r>
            <m:ctrlPr>
              <w:rPr>
                <w:rFonts w:ascii="Cambria Math" w:hAnsi="Cambria Math"/>
                <w:iCs/>
              </w:rPr>
            </m:ctrlPr>
          </m:e>
          <m:sub>
            <m:r>
              <m:rPr/>
              <w:rPr>
                <w:rFonts w:ascii="Cambria Math" w:hAnsi="Cambria Math"/>
              </w:rPr>
              <m:t>ICI</m:t>
            </m:r>
            <m:ctrlPr>
              <w:rPr>
                <w:rFonts w:ascii="Cambria Math" w:hAnsi="Cambria Math"/>
                <w:iCs/>
              </w:rPr>
            </m:ctrlPr>
          </m:sub>
        </m:sSub>
      </m:oMath>
      <w:r>
        <w:t xml:space="preserve"> is the inter-cell interference.</w:t>
      </w:r>
    </w:p>
    <w:p>
      <w:pPr>
        <w:pStyle w:val="73"/>
      </w:pPr>
      <w:r>
        <w:rPr>
          <w:lang w:eastAsia="ja-JP"/>
        </w:rPr>
        <w:t>-</w:t>
      </w:r>
      <w:r>
        <w:rPr>
          <w:lang w:eastAsia="ja-JP"/>
        </w:rPr>
        <w:tab/>
      </w:r>
      <w:r>
        <w:rPr>
          <w:lang w:eastAsia="ja-JP"/>
        </w:rPr>
        <w:t>Step 5: T</w:t>
      </w:r>
      <w:r>
        <w:t>hroughput</w:t>
      </w:r>
      <w:r>
        <w:rPr>
          <w:lang w:eastAsia="ja-JP"/>
        </w:rPr>
        <w:t xml:space="preserve"> is</w:t>
      </w:r>
      <w:r>
        <w:t xml:space="preserve"> computed considering ACI</w:t>
      </w:r>
      <w:r>
        <w:rPr>
          <w:lang w:eastAsia="ja-JP"/>
        </w:rPr>
        <w:t xml:space="preserve"> as below</w:t>
      </w:r>
      <w:r>
        <w:t>:</w:t>
      </w:r>
    </w:p>
    <w:p>
      <w:pPr>
        <w:pStyle w:val="57"/>
        <w:jc w:val="center"/>
      </w:pPr>
      <m:oMath>
        <m:sSub>
          <m:sSubPr>
            <m:ctrlPr>
              <w:rPr>
                <w:rFonts w:ascii="Cambria Math" w:hAnsi="Cambria Math"/>
                <w:i/>
                <w:iCs/>
              </w:rPr>
            </m:ctrlPr>
          </m:sSubPr>
          <m:e>
            <m:r>
              <m:rPr>
                <m:sty m:val="p"/>
              </m:rPr>
              <w:rPr>
                <w:rFonts w:ascii="Cambria Math" w:hAnsi="Cambria Math"/>
              </w:rPr>
              <m:t>Thput</m:t>
            </m:r>
            <m:ctrlPr>
              <w:rPr>
                <w:rFonts w:ascii="Cambria Math" w:hAnsi="Cambria Math"/>
                <w:i/>
                <w:iCs/>
              </w:rPr>
            </m:ctrlPr>
          </m:e>
          <m:sub>
            <m:r>
              <m:rPr>
                <m:sty m:val="p"/>
              </m:rPr>
              <w:rPr>
                <w:rFonts w:ascii="Cambria Math" w:hAnsi="Cambria Math"/>
              </w:rPr>
              <m:t>ACI</m:t>
            </m:r>
            <m:ctrlPr>
              <w:rPr>
                <w:rFonts w:ascii="Cambria Math" w:hAnsi="Cambria Math"/>
                <w:i/>
                <w:iCs/>
              </w:rPr>
            </m:ctrlPr>
          </m:sub>
        </m:sSub>
        <m:d>
          <m:dPr>
            <m:begChr m:val="["/>
            <m:endChr m:val="]"/>
            <m:ctrlPr>
              <w:rPr>
                <w:rFonts w:ascii="Cambria Math" w:hAnsi="Cambria Math"/>
                <w:i/>
                <w:iCs/>
              </w:rPr>
            </m:ctrlPr>
          </m:dPr>
          <m:e>
            <m:r>
              <m:rPr>
                <m:sty m:val="p"/>
              </m:rPr>
              <w:rPr>
                <w:rFonts w:ascii="Cambria Math" w:hAnsi="Cambria Math"/>
              </w:rPr>
              <m:t>bpshz</m:t>
            </m:r>
            <m:ctrlPr>
              <w:rPr>
                <w:rFonts w:ascii="Cambria Math" w:hAnsi="Cambria Math"/>
                <w:i/>
                <w:iCs/>
              </w:rPr>
            </m:ctrlP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ctrlPr>
                  <w:rPr>
                    <w:rFonts w:ascii="Cambria Math" w:hAnsi="Cambria Math"/>
                    <w:i/>
                    <w:iCs/>
                  </w:rPr>
                </m:ctrlPr>
              </m:e>
              <m:sub>
                <m:r>
                  <m:rPr>
                    <m:sty m:val="p"/>
                  </m:rPr>
                  <w:rPr>
                    <w:rFonts w:ascii="Cambria Math" w:hAnsi="Cambria Math"/>
                  </w:rPr>
                  <m:t>ICI+ACI</m:t>
                </m:r>
                <m:ctrlPr>
                  <w:rPr>
                    <w:rFonts w:ascii="Cambria Math" w:hAnsi="Cambria Math"/>
                    <w:i/>
                    <w:iCs/>
                  </w:rPr>
                </m:ctrlPr>
              </m:sub>
            </m:sSub>
            <m:ctrlPr>
              <w:rPr>
                <w:rFonts w:ascii="Cambria Math" w:hAnsi="Cambria Math"/>
                <w:i/>
                <w:iCs/>
              </w:rPr>
            </m:ctrlPr>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ctrlPr>
                  <w:rPr>
                    <w:rFonts w:ascii="Cambria Math" w:hAnsi="Cambria Math"/>
                    <w:i/>
                    <w:iCs/>
                  </w:rPr>
                </m:ctrlP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ctrlPr>
                      <w:rPr>
                        <w:rFonts w:ascii="Cambria Math" w:hAnsi="Cambria Math"/>
                        <w:i/>
                        <w:iCs/>
                      </w:rPr>
                    </m:ctrlPr>
                  </m:e>
                  <m:sub>
                    <m:r>
                      <m:rPr>
                        <m:sty m:val="p"/>
                      </m:rPr>
                      <w:rPr>
                        <w:rFonts w:ascii="Cambria Math" w:hAnsi="Cambria Math"/>
                      </w:rPr>
                      <m:t>ICI</m:t>
                    </m:r>
                    <m:ctrlPr>
                      <w:rPr>
                        <w:rFonts w:ascii="Cambria Math" w:hAnsi="Cambria Math"/>
                        <w:i/>
                        <w:iCs/>
                      </w:rPr>
                    </m:ctrlP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ctrlPr>
                      <w:rPr>
                        <w:rFonts w:ascii="Cambria Math" w:hAnsi="Cambria Math"/>
                        <w:i/>
                        <w:iCs/>
                      </w:rPr>
                    </m:ctrlPr>
                  </m:e>
                  <m:sub>
                    <m:r>
                      <m:rPr>
                        <m:sty m:val="p"/>
                      </m:rPr>
                      <w:rPr>
                        <w:rFonts w:ascii="Cambria Math" w:hAnsi="Cambria Math"/>
                      </w:rPr>
                      <m:t>ACI</m:t>
                    </m:r>
                    <m:ctrlPr>
                      <w:rPr>
                        <w:rFonts w:ascii="Cambria Math" w:hAnsi="Cambria Math"/>
                        <w:i/>
                        <w:iCs/>
                      </w:rPr>
                    </m:ctrlPr>
                  </m:sub>
                </m:sSub>
                <m:ctrlPr>
                  <w:rPr>
                    <w:rFonts w:ascii="Cambria Math" w:hAnsi="Cambria Math"/>
                    <w:i/>
                    <w:iCs/>
                  </w:rPr>
                </m:ctrlPr>
              </m:den>
            </m:f>
            <m:ctrlPr>
              <w:rPr>
                <w:rFonts w:ascii="Cambria Math" w:hAnsi="Cambria Math"/>
                <w:i/>
                <w:iCs/>
              </w:rPr>
            </m:ctrlPr>
          </m:e>
        </m:d>
      </m:oMath>
      <w:r>
        <w:t xml:space="preserve">, </w:t>
      </w:r>
    </w:p>
    <w:p>
      <w:pPr>
        <w:pStyle w:val="84"/>
      </w:pPr>
      <w:r>
        <w:t>where:</w:t>
      </w:r>
      <w:r>
        <w:tab/>
      </w:r>
      <w:r>
        <w:tab/>
      </w:r>
      <w:r>
        <w:tab/>
      </w:r>
      <m:oMath>
        <m:sSub>
          <m:sSubPr>
            <m:ctrlPr>
              <w:rPr>
                <w:rFonts w:ascii="Cambria Math" w:hAnsi="Cambria Math"/>
                <w:i/>
                <w:iCs/>
              </w:rPr>
            </m:ctrlPr>
          </m:sSubPr>
          <m:e>
            <m:r>
              <m:rPr/>
              <w:rPr>
                <w:rFonts w:ascii="Cambria Math" w:hAnsi="Cambria Math"/>
              </w:rPr>
              <m:t>I</m:t>
            </m:r>
            <m:ctrlPr>
              <w:rPr>
                <w:rFonts w:ascii="Cambria Math" w:hAnsi="Cambria Math"/>
                <w:i/>
                <w:iCs/>
              </w:rPr>
            </m:ctrlPr>
          </m:e>
          <m:sub>
            <m:r>
              <m:rPr/>
              <w:rPr>
                <w:rFonts w:ascii="Cambria Math" w:hAnsi="Cambria Math"/>
              </w:rPr>
              <m:t>ACI</m:t>
            </m:r>
            <m:ctrlPr>
              <w:rPr>
                <w:rFonts w:ascii="Cambria Math" w:hAnsi="Cambria Math"/>
                <w:i/>
                <w:iCs/>
              </w:rPr>
            </m:ctrlPr>
          </m:sub>
        </m:sSub>
      </m:oMath>
      <w:r>
        <w:t xml:space="preserve"> is the adjacent channel interference.</w:t>
      </w:r>
    </w:p>
    <w:p>
      <w:pPr>
        <w:pStyle w:val="73"/>
      </w:pPr>
      <w:r>
        <w:rPr>
          <w:lang w:eastAsia="ja-JP"/>
        </w:rPr>
        <w:t>-</w:t>
      </w:r>
      <w:r>
        <w:rPr>
          <w:lang w:eastAsia="ja-JP"/>
        </w:rPr>
        <w:tab/>
      </w:r>
      <w:r>
        <w:rPr>
          <w:lang w:eastAsia="ja-JP"/>
        </w:rPr>
        <w:t>Step 6: RF</w:t>
      </w:r>
      <w:r>
        <w:t xml:space="preserve"> parameters are determined based </w:t>
      </w:r>
      <w:r>
        <w:rPr>
          <w:lang w:eastAsia="ja-JP"/>
        </w:rPr>
        <w:t xml:space="preserve">on the </w:t>
      </w:r>
      <w:r>
        <w:t>degradation cause by ACI</w:t>
      </w:r>
      <w:r>
        <w:rPr>
          <w:lang w:eastAsia="ja-JP"/>
        </w:rPr>
        <w:t xml:space="preserve"> as below</w:t>
      </w:r>
      <w:r>
        <w:t>:</w:t>
      </w:r>
    </w:p>
    <w:p>
      <w:pPr>
        <w:pStyle w:val="57"/>
        <w:rPr>
          <w:iCs/>
        </w:rPr>
      </w:pPr>
      <m:oMathPara>
        <m:oMath>
          <m:r>
            <m:rPr/>
            <w:rPr>
              <w:rFonts w:ascii="Cambria Math" w:hAnsi="Cambria Math"/>
            </w:rPr>
            <m:t>Los</m:t>
          </m:r>
          <m:sSub>
            <m:sSubPr>
              <m:ctrlPr>
                <w:rPr>
                  <w:rFonts w:ascii="Cambria Math" w:hAnsi="Cambria Math"/>
                  <w:iCs/>
                </w:rPr>
              </m:ctrlPr>
            </m:sSubPr>
            <m:e>
              <m:r>
                <m:rPr/>
                <w:rPr>
                  <w:rFonts w:ascii="Cambria Math" w:hAnsi="Cambria Math"/>
                </w:rPr>
                <m:t>s</m:t>
              </m:r>
              <m:ctrlPr>
                <w:rPr>
                  <w:rFonts w:ascii="Cambria Math" w:hAnsi="Cambria Math"/>
                  <w:iCs/>
                </w:rPr>
              </m:ctrlPr>
            </m:e>
            <m:sub>
              <m:r>
                <m:rPr/>
                <w:rPr>
                  <w:rFonts w:ascii="Cambria Math" w:hAnsi="Cambria Math"/>
                </w:rPr>
                <m:t>ACI</m:t>
              </m:r>
              <m:ctrlPr>
                <w:rPr>
                  <w:rFonts w:ascii="Cambria Math" w:hAnsi="Cambria Math"/>
                  <w:iCs/>
                </w:rPr>
              </m:ctrlP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ctrlPr>
                    <w:rPr>
                      <w:rFonts w:ascii="Cambria Math" w:hAnsi="Cambria Math"/>
                      <w:iCs/>
                    </w:rPr>
                  </m:ctrlPr>
                </m:e>
                <m:sub>
                  <m:r>
                    <m:rPr>
                      <m:sty m:val="p"/>
                    </m:rPr>
                    <w:rPr>
                      <w:rFonts w:ascii="Cambria Math" w:hAnsi="Cambria Math"/>
                    </w:rPr>
                    <m:t>ACI</m:t>
                  </m:r>
                  <m:ctrlPr>
                    <w:rPr>
                      <w:rFonts w:ascii="Cambria Math" w:hAnsi="Cambria Math"/>
                      <w:iCs/>
                    </w:rPr>
                  </m:ctrlPr>
                </m:sub>
              </m:sSub>
              <m:ctrlPr>
                <w:rPr>
                  <w:rFonts w:ascii="Cambria Math" w:hAnsi="Cambria Math"/>
                  <w:iCs/>
                </w:rPr>
              </m:ctrlPr>
            </m:num>
            <m:den>
              <m:sSub>
                <m:sSubPr>
                  <m:ctrlPr>
                    <w:rPr>
                      <w:rFonts w:ascii="Cambria Math" w:hAnsi="Cambria Math"/>
                      <w:iCs/>
                    </w:rPr>
                  </m:ctrlPr>
                </m:sSubPr>
                <m:e>
                  <m:r>
                    <m:rPr>
                      <m:sty m:val="p"/>
                    </m:rPr>
                    <w:rPr>
                      <w:rFonts w:ascii="Cambria Math" w:hAnsi="Cambria Math"/>
                    </w:rPr>
                    <m:t>Thput</m:t>
                  </m:r>
                  <m:ctrlPr>
                    <w:rPr>
                      <w:rFonts w:ascii="Cambria Math" w:hAnsi="Cambria Math"/>
                      <w:iCs/>
                    </w:rPr>
                  </m:ctrlPr>
                </m:e>
                <m:sub>
                  <m:r>
                    <m:rPr>
                      <m:sty m:val="p"/>
                    </m:rPr>
                    <w:rPr>
                      <w:rFonts w:ascii="Cambria Math" w:hAnsi="Cambria Math"/>
                    </w:rPr>
                    <m:t>SINGLE</m:t>
                  </m:r>
                  <m:ctrlPr>
                    <w:rPr>
                      <w:rFonts w:ascii="Cambria Math" w:hAnsi="Cambria Math"/>
                      <w:iCs/>
                    </w:rPr>
                  </m:ctrlPr>
                </m:sub>
              </m:sSub>
              <m:ctrlPr>
                <w:rPr>
                  <w:rFonts w:ascii="Cambria Math" w:hAnsi="Cambria Math"/>
                  <w:iCs/>
                </w:rPr>
              </m:ctrlPr>
            </m:den>
          </m:f>
        </m:oMath>
      </m:oMathPara>
    </w:p>
    <w:p>
      <w:pPr>
        <w:rPr>
          <w:lang w:eastAsia="zh-CN"/>
        </w:rPr>
      </w:pPr>
    </w:p>
    <w:p>
      <w:pPr>
        <w:keepNext/>
        <w:keepLines/>
        <w:spacing w:before="180"/>
        <w:ind w:left="1134" w:hanging="1134"/>
        <w:outlineLvl w:val="1"/>
        <w:rPr>
          <w:rFonts w:ascii="Arial" w:hAnsi="Arial" w:cs="Arial"/>
          <w:sz w:val="32"/>
          <w:lang w:eastAsia="ja-JP"/>
        </w:rPr>
      </w:pPr>
      <w:r>
        <w:rPr>
          <w:rFonts w:ascii="Arial" w:hAnsi="Arial" w:cs="Arial"/>
          <w:sz w:val="32"/>
          <w:lang w:eastAsia="ja-JP"/>
        </w:rPr>
        <w:t>6.4 Co-existence simulation results</w:t>
      </w:r>
    </w:p>
    <w:p>
      <w:pPr>
        <w:pStyle w:val="4"/>
        <w:rPr>
          <w:rFonts w:ascii="Arial" w:hAnsi="Arial" w:cs="Arial"/>
          <w:b/>
          <w:bCs/>
          <w:color w:val="auto"/>
        </w:rPr>
      </w:pPr>
      <w:r>
        <w:rPr>
          <w:rFonts w:ascii="Arial" w:hAnsi="Arial" w:cs="Arial"/>
          <w:b/>
          <w:bCs/>
          <w:color w:val="auto"/>
        </w:rPr>
        <w:t>6.4.1 Synchronized Scenarios</w:t>
      </w:r>
    </w:p>
    <w:p>
      <w:pPr>
        <w:rPr>
          <w:rFonts w:cs="Arial"/>
        </w:rPr>
      </w:pPr>
    </w:p>
    <w:p>
      <w:pPr>
        <w:pStyle w:val="5"/>
        <w:rPr>
          <w:rFonts w:ascii="Arial" w:hAnsi="Arial" w:cs="Arial"/>
          <w:b/>
          <w:bCs/>
          <w:i w:val="0"/>
          <w:iCs w:val="0"/>
          <w:color w:val="auto"/>
          <w:sz w:val="24"/>
          <w:szCs w:val="24"/>
          <w:lang w:val="sv-SE"/>
        </w:rPr>
      </w:pPr>
      <w:r>
        <w:rPr>
          <w:rFonts w:ascii="Arial" w:hAnsi="Arial" w:cs="Arial"/>
          <w:b/>
          <w:bCs/>
          <w:i w:val="0"/>
          <w:iCs w:val="0"/>
          <w:color w:val="auto"/>
          <w:sz w:val="24"/>
          <w:szCs w:val="24"/>
          <w:lang w:val="sv-SE"/>
        </w:rPr>
        <w:t>6.4.1.1 Scenario 1: 4GHz ATG DL interfering TN DL</w:t>
      </w:r>
    </w:p>
    <w:p>
      <w:pPr>
        <w:rPr>
          <w:rFonts w:cs="Arial"/>
        </w:rPr>
      </w:pPr>
      <w:r>
        <w:rPr>
          <w:rFonts w:cs="Arial"/>
        </w:rPr>
        <w:br w:type="textWrapping"/>
      </w:r>
      <w:r>
        <w:rPr>
          <w:rFonts w:cs="Arial"/>
        </w:rPr>
        <w:t xml:space="preserve">This scenario captures the co-existence results after evaluation from all possible options. Here ATG DL with both AAS subarray and non-subarray model is interfering TN DL deployed in rural macro environment. </w:t>
      </w:r>
    </w:p>
    <w:p>
      <w:pPr>
        <w:jc w:val="center"/>
        <w:rPr>
          <w:rFonts w:ascii="Arial" w:hAnsi="Arial" w:cs="Arial"/>
          <w:b/>
          <w:bCs/>
          <w:color w:val="auto"/>
        </w:rPr>
      </w:pPr>
    </w:p>
    <w:p>
      <w:pPr>
        <w:jc w:val="center"/>
        <w:rPr>
          <w:rFonts w:cs="Arial"/>
        </w:rPr>
      </w:pPr>
      <w:r>
        <w:rPr>
          <w:rFonts w:cs="Arial"/>
        </w:rPr>
        <w:t>Table 6.4.1.1-1: Throughput Loss (%) at ATG BS ACLR 45 dB for Scenario 1 – 4 GHz ATG DL interfering TN DL</w:t>
      </w:r>
    </w:p>
    <w:tbl>
      <w:tblPr>
        <w:tblStyle w:val="49"/>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701"/>
        <w:gridCol w:w="4536"/>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27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rPr>
            </w:pPr>
            <w:r>
              <w:rPr>
                <w:rFonts w:eastAsia="Yu Mincho" w:cs="Arial"/>
                <w:b/>
                <w:lang w:val="zh-CN" w:eastAsia="zh-CN" w:bidi="ar"/>
              </w:rPr>
              <w:t>Company</w:t>
            </w:r>
          </w:p>
        </w:tc>
        <w:tc>
          <w:tcPr>
            <w:tcW w:w="170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val="sv-SE" w:eastAsia="zh-CN" w:bidi="ar"/>
              </w:rPr>
            </w:pPr>
            <w:r>
              <w:rPr>
                <w:rFonts w:eastAsia="Yu Mincho" w:cs="Arial"/>
                <w:b/>
                <w:lang w:val="sv-SE" w:eastAsia="zh-CN" w:bidi="ar"/>
              </w:rPr>
              <w:t>ATG/ TN BS antenna model</w:t>
            </w: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en-IN" w:eastAsia="zh-CN"/>
              </w:rPr>
            </w:pPr>
            <w:r>
              <w:rPr>
                <w:rFonts w:eastAsia="Yu Mincho" w:cs="Arial"/>
                <w:b/>
                <w:lang w:val="en-IN" w:eastAsia="zh-CN" w:bidi="ar"/>
              </w:rPr>
              <w:t>Performance Metric</w:t>
            </w:r>
          </w:p>
        </w:tc>
        <w:tc>
          <w:tcPr>
            <w:tcW w:w="2410"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rPr>
            </w:pPr>
            <w:r>
              <w:rPr>
                <w:rFonts w:eastAsia="Yu Mincho" w:cs="Arial"/>
                <w:b/>
                <w:lang w:eastAsia="zh-CN" w:bidi="ar"/>
              </w:rPr>
              <w:t>Throughput Loss (%) at ATG BS ACLR 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Ericsson</w:t>
            </w:r>
          </w:p>
          <w:p>
            <w:pPr>
              <w:overflowPunct w:val="0"/>
              <w:autoSpaceDE w:val="0"/>
              <w:autoSpaceDN w:val="0"/>
              <w:adjustRightInd w:val="0"/>
              <w:jc w:val="center"/>
              <w:rPr>
                <w:rFonts w:eastAsia="Yu Mincho" w:cs="Arial"/>
                <w:lang w:val="sv-SE" w:eastAsia="zh-CN"/>
              </w:rPr>
            </w:pPr>
          </w:p>
        </w:tc>
        <w:tc>
          <w:tcPr>
            <w:tcW w:w="1701"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0.102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US" w:eastAsia="ko"/>
              </w:rPr>
            </w:pPr>
            <w:r>
              <w:rPr>
                <w:rFonts w:eastAsia="Yu Mincho" w:cs="Arial"/>
                <w:lang w:eastAsia="ko"/>
              </w:rPr>
              <w:t>0.010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2.465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0.268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701"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0.905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0.241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271"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ZTE</w:t>
            </w:r>
          </w:p>
          <w:p>
            <w:pPr>
              <w:overflowPunct w:val="0"/>
              <w:autoSpaceDE w:val="0"/>
              <w:autoSpaceDN w:val="0"/>
              <w:adjustRightInd w:val="0"/>
              <w:rPr>
                <w:rFonts w:eastAsia="Yu Mincho" w:cs="Arial"/>
              </w:rPr>
            </w:pPr>
          </w:p>
        </w:tc>
        <w:tc>
          <w:tcPr>
            <w:tcW w:w="1701"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53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2.388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CMCC</w:t>
            </w:r>
          </w:p>
          <w:p>
            <w:pPr>
              <w:overflowPunct w:val="0"/>
              <w:autoSpaceDE w:val="0"/>
              <w:autoSpaceDN w:val="0"/>
              <w:adjustRightInd w:val="0"/>
              <w:rPr>
                <w:rFonts w:eastAsia="Yu Mincho" w:cs="Arial"/>
              </w:rPr>
            </w:pPr>
          </w:p>
        </w:tc>
        <w:tc>
          <w:tcPr>
            <w:tcW w:w="1701"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3.455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0.761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Qualcomm</w:t>
            </w:r>
          </w:p>
          <w:p>
            <w:pPr>
              <w:overflowPunct w:val="0"/>
              <w:autoSpaceDE w:val="0"/>
              <w:autoSpaceDN w:val="0"/>
              <w:adjustRightInd w:val="0"/>
              <w:rPr>
                <w:rFonts w:eastAsia="Yu Mincho" w:cs="Arial"/>
              </w:rPr>
            </w:pPr>
          </w:p>
        </w:tc>
        <w:tc>
          <w:tcPr>
            <w:tcW w:w="1701"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0.355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Huawei</w:t>
            </w:r>
          </w:p>
          <w:p>
            <w:pPr>
              <w:keepNext/>
              <w:keepLines/>
              <w:overflowPunct w:val="0"/>
              <w:autoSpaceDE w:val="0"/>
              <w:autoSpaceDN w:val="0"/>
              <w:adjustRightInd w:val="0"/>
              <w:spacing w:after="0"/>
              <w:jc w:val="center"/>
              <w:textAlignment w:val="baseline"/>
              <w:rPr>
                <w:rFonts w:eastAsia="Yu Mincho" w:cs="Arial"/>
                <w:lang w:val="sv-SE" w:eastAsia="zh-CN"/>
              </w:rPr>
            </w:pPr>
          </w:p>
        </w:tc>
        <w:tc>
          <w:tcPr>
            <w:tcW w:w="1701"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p>
        </w:tc>
        <w:tc>
          <w:tcPr>
            <w:tcW w:w="1701"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CATT</w:t>
            </w:r>
          </w:p>
          <w:p>
            <w:pPr>
              <w:overflowPunct w:val="0"/>
              <w:autoSpaceDE w:val="0"/>
              <w:autoSpaceDN w:val="0"/>
              <w:adjustRightInd w:val="0"/>
              <w:rPr>
                <w:rFonts w:eastAsia="Yu Mincho" w:cs="Arial"/>
              </w:rPr>
            </w:pPr>
          </w:p>
        </w:tc>
        <w:tc>
          <w:tcPr>
            <w:tcW w:w="1701"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701"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bl>
    <w:p>
      <w:pPr>
        <w:keepNext/>
        <w:rPr>
          <w:rFonts w:cs="Arial"/>
        </w:rPr>
      </w:pPr>
    </w:p>
    <w:p>
      <w:pPr>
        <w:keepNext/>
        <w:rPr>
          <w:rFonts w:cs="Arial"/>
        </w:rPr>
      </w:pPr>
    </w:p>
    <w:p>
      <w:pPr>
        <w:keepNext/>
        <w:rPr>
          <w:rFonts w:cs="Arial"/>
        </w:rPr>
      </w:pPr>
    </w:p>
    <w:p>
      <w:pPr>
        <w:keepNext/>
        <w:rPr>
          <w:rFonts w:cs="Arial"/>
        </w:rPr>
      </w:pPr>
    </w:p>
    <w:p>
      <w:pPr>
        <w:pStyle w:val="6"/>
        <w:keepNext/>
        <w:rPr>
          <w:rFonts w:cs="Arial"/>
          <w:b/>
          <w:bCs/>
        </w:rPr>
      </w:pPr>
      <w:r>
        <w:rPr>
          <w:rFonts w:hint="eastAsia" w:ascii="Arial" w:hAnsi="Arial" w:eastAsia="宋体" w:cs="Arial"/>
          <w:b/>
          <w:bCs/>
          <w:color w:val="auto"/>
          <w:lang w:val="en-US" w:eastAsia="zh-CN"/>
        </w:rPr>
        <w:t xml:space="preserve">6.4.1.1.1 </w:t>
      </w:r>
      <w:r>
        <w:rPr>
          <w:rFonts w:ascii="Arial" w:hAnsi="Arial" w:cs="Arial"/>
          <w:b/>
          <w:bCs/>
          <w:color w:val="auto"/>
        </w:rPr>
        <w:t>Non-Subarray model</w:t>
      </w:r>
    </w:p>
    <w:p>
      <w:pPr>
        <w:keepNext/>
        <w:jc w:val="left"/>
        <w:rPr>
          <w:rFonts w:cs="Arial"/>
        </w:rPr>
      </w:pPr>
    </w:p>
    <w:p>
      <w:pPr>
        <w:keepNext/>
        <w:jc w:val="center"/>
        <w:rPr>
          <w:rFonts w:cs="Arial"/>
        </w:rPr>
      </w:pPr>
      <w:r>
        <w:rPr>
          <w:rFonts w:cs="Arial"/>
        </w:rPr>
        <w:drawing>
          <wp:inline distT="0" distB="0" distL="0" distR="0">
            <wp:extent cx="6120765" cy="2814320"/>
            <wp:effectExtent l="4445" t="4445" r="8890" b="133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pPr>
        <w:pStyle w:val="28"/>
        <w:jc w:val="center"/>
        <w:rPr>
          <w:rFonts w:cs="Arial"/>
          <w:color w:val="auto"/>
        </w:rPr>
      </w:pPr>
      <w:r>
        <w:rPr>
          <w:rFonts w:cs="Arial"/>
          <w:color w:val="auto"/>
        </w:rPr>
        <w:t>Figure 6.4.1.1-1: Simulation results for Throughput Loss - 5% of users in the whole network</w:t>
      </w:r>
    </w:p>
    <w:p>
      <w:pPr>
        <w:jc w:val="center"/>
        <w:rPr>
          <w:rFonts w:cs="Arial"/>
        </w:rPr>
      </w:pPr>
    </w:p>
    <w:p>
      <w:pPr>
        <w:keepNext/>
        <w:jc w:val="center"/>
        <w:rPr>
          <w:rFonts w:cs="Arial"/>
        </w:rPr>
      </w:pPr>
      <w:r>
        <w:rPr>
          <w:rFonts w:cs="Arial"/>
        </w:rPr>
        <w:drawing>
          <wp:inline distT="0" distB="0" distL="0" distR="0">
            <wp:extent cx="6120765" cy="2789555"/>
            <wp:effectExtent l="4445" t="4445" r="8890"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pPr>
        <w:pStyle w:val="28"/>
        <w:jc w:val="center"/>
        <w:rPr>
          <w:rFonts w:cs="Arial"/>
          <w:color w:val="auto"/>
        </w:rPr>
      </w:pPr>
      <w:r>
        <w:rPr>
          <w:rFonts w:cs="Arial"/>
          <w:color w:val="auto"/>
        </w:rPr>
        <w:t>Figure 6.4.1.1-2: Simulation results for Throughput Loss – Average of all users in the whole network</w:t>
      </w:r>
    </w:p>
    <w:p>
      <w:pPr>
        <w:rPr>
          <w:rFonts w:cs="Arial"/>
        </w:rPr>
      </w:pPr>
    </w:p>
    <w:p>
      <w:pPr>
        <w:keepNext/>
        <w:jc w:val="center"/>
        <w:rPr>
          <w:rFonts w:cs="Arial"/>
        </w:rPr>
      </w:pPr>
      <w:r>
        <w:rPr>
          <w:rFonts w:cs="Arial"/>
        </w:rPr>
        <w:drawing>
          <wp:inline distT="0" distB="0" distL="0" distR="0">
            <wp:extent cx="6120765" cy="2809875"/>
            <wp:effectExtent l="4445" t="4445" r="8890" b="508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pPr>
        <w:pStyle w:val="28"/>
        <w:jc w:val="center"/>
        <w:rPr>
          <w:rFonts w:cs="Arial"/>
          <w:color w:val="auto"/>
        </w:rPr>
      </w:pPr>
      <w:r>
        <w:rPr>
          <w:rFonts w:cs="Arial"/>
          <w:color w:val="auto"/>
        </w:rPr>
        <w:t>Figure 6.4.1.1-3: Simulation results for Throughput Loss – 5% of users within cell of largest throughput loss of victim network</w:t>
      </w:r>
    </w:p>
    <w:p>
      <w:pPr>
        <w:jc w:val="center"/>
        <w:rPr>
          <w:rFonts w:cs="Arial"/>
        </w:rPr>
      </w:pPr>
    </w:p>
    <w:p>
      <w:pPr>
        <w:keepNext/>
        <w:jc w:val="center"/>
        <w:rPr>
          <w:rFonts w:cs="Arial"/>
        </w:rPr>
      </w:pPr>
      <w:r>
        <w:rPr>
          <w:rFonts w:cs="Arial"/>
        </w:rPr>
        <w:drawing>
          <wp:inline distT="0" distB="0" distL="0" distR="0">
            <wp:extent cx="6120765" cy="2797810"/>
            <wp:effectExtent l="4445" t="4445" r="8890" b="171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pPr>
        <w:pStyle w:val="28"/>
        <w:jc w:val="center"/>
        <w:rPr>
          <w:rFonts w:cs="Arial"/>
        </w:rPr>
      </w:pPr>
      <w:r>
        <w:rPr>
          <w:rFonts w:cs="Arial"/>
          <w:color w:val="auto"/>
        </w:rPr>
        <w:t>Figure 6.4.1.1-4: Simulation results for Throughput Loss – Average of all users within cell of largest throughput loss of victim network</w:t>
      </w:r>
    </w:p>
    <w:p>
      <w:pPr>
        <w:rPr>
          <w:rFonts w:cs="Arial"/>
        </w:rPr>
      </w:pPr>
    </w:p>
    <w:p>
      <w:pPr>
        <w:pStyle w:val="6"/>
        <w:rPr>
          <w:rFonts w:cs="Arial"/>
          <w:b/>
          <w:bCs/>
        </w:rPr>
      </w:pPr>
      <w:r>
        <w:rPr>
          <w:rFonts w:hint="eastAsia" w:ascii="Arial" w:hAnsi="Arial" w:eastAsia="宋体" w:cs="Arial"/>
          <w:b/>
          <w:bCs/>
          <w:color w:val="auto"/>
          <w:lang w:val="en-US" w:eastAsia="zh-CN"/>
        </w:rPr>
        <w:t xml:space="preserve">6.4.1.1.2 </w:t>
      </w:r>
      <w:r>
        <w:rPr>
          <w:rFonts w:ascii="Arial" w:hAnsi="Arial" w:cs="Arial"/>
          <w:b/>
          <w:bCs/>
          <w:color w:val="auto"/>
        </w:rPr>
        <w:t>Subarray model</w:t>
      </w:r>
    </w:p>
    <w:p>
      <w:pPr>
        <w:rPr>
          <w:rFonts w:cs="Arial"/>
        </w:rPr>
      </w:pPr>
    </w:p>
    <w:p>
      <w:pPr>
        <w:keepNext/>
        <w:rPr>
          <w:rFonts w:cs="Arial"/>
        </w:rPr>
      </w:pPr>
      <w:r>
        <w:rPr>
          <w:rFonts w:cs="Arial"/>
        </w:rPr>
        <w:drawing>
          <wp:inline distT="0" distB="0" distL="0" distR="0">
            <wp:extent cx="6120765" cy="2820670"/>
            <wp:effectExtent l="4445" t="4445" r="8890" b="698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pPr>
        <w:pStyle w:val="28"/>
        <w:jc w:val="center"/>
        <w:rPr>
          <w:rFonts w:cs="Arial"/>
        </w:rPr>
      </w:pPr>
      <w:r>
        <w:rPr>
          <w:rFonts w:cs="Arial"/>
          <w:color w:val="auto"/>
        </w:rPr>
        <w:t>Figure 6.4.1.1-5: Simulation results for Throughput Loss - 5% of users in the whole network</w:t>
      </w:r>
    </w:p>
    <w:p>
      <w:pPr>
        <w:rPr>
          <w:rFonts w:cs="Arial"/>
        </w:rPr>
      </w:pPr>
    </w:p>
    <w:p>
      <w:pPr>
        <w:rPr>
          <w:rFonts w:cs="Arial"/>
        </w:rPr>
      </w:pPr>
    </w:p>
    <w:p>
      <w:pPr>
        <w:keepNext/>
        <w:rPr>
          <w:rFonts w:cs="Arial"/>
        </w:rPr>
      </w:pPr>
      <w:r>
        <w:rPr>
          <w:rFonts w:cs="Arial"/>
        </w:rPr>
        <w:drawing>
          <wp:inline distT="0" distB="0" distL="0" distR="0">
            <wp:extent cx="6120765" cy="2915285"/>
            <wp:effectExtent l="4445" t="4445" r="8890" b="1397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pPr>
        <w:pStyle w:val="28"/>
        <w:jc w:val="center"/>
        <w:rPr>
          <w:rFonts w:cs="Arial"/>
        </w:rPr>
      </w:pPr>
      <w:r>
        <w:rPr>
          <w:rFonts w:cs="Arial"/>
          <w:color w:val="auto"/>
        </w:rPr>
        <w:t>Figure 6.4.1.1-6: Simulation results for Throughput Loss – Average of all users in the whole network</w:t>
      </w:r>
    </w:p>
    <w:p>
      <w:pPr>
        <w:rPr>
          <w:rFonts w:cs="Arial"/>
        </w:rPr>
      </w:pPr>
    </w:p>
    <w:p>
      <w:pPr>
        <w:rPr>
          <w:rFonts w:cs="Arial"/>
        </w:rPr>
      </w:pPr>
      <w:r>
        <w:rPr>
          <w:rFonts w:cs="Arial"/>
        </w:rPr>
        <w:drawing>
          <wp:inline distT="0" distB="0" distL="0" distR="0">
            <wp:extent cx="6120765" cy="2830195"/>
            <wp:effectExtent l="4445" t="4445" r="8890"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pPr>
        <w:pStyle w:val="28"/>
        <w:jc w:val="center"/>
        <w:rPr>
          <w:rFonts w:cs="Arial"/>
          <w:color w:val="auto"/>
        </w:rPr>
      </w:pPr>
      <w:r>
        <w:rPr>
          <w:rFonts w:cs="Arial"/>
          <w:color w:val="auto"/>
        </w:rPr>
        <w:t>Figure 6.4.1.1-7: Simulation results for Throughput Loss – 5% of users within cell of largest throughput loss of victim network</w:t>
      </w:r>
    </w:p>
    <w:p>
      <w:pPr>
        <w:rPr>
          <w:rFonts w:cs="Arial"/>
        </w:rPr>
      </w:pPr>
    </w:p>
    <w:p>
      <w:pPr>
        <w:keepNext/>
        <w:rPr>
          <w:rFonts w:cs="Arial"/>
        </w:rPr>
      </w:pPr>
      <w:r>
        <w:rPr>
          <w:rFonts w:cs="Arial"/>
        </w:rPr>
        <w:drawing>
          <wp:inline distT="0" distB="0" distL="0" distR="0">
            <wp:extent cx="6120765" cy="2795905"/>
            <wp:effectExtent l="4445" t="4445" r="8890" b="63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pPr>
        <w:pStyle w:val="28"/>
        <w:jc w:val="center"/>
        <w:rPr>
          <w:rFonts w:cs="Arial"/>
        </w:rPr>
      </w:pPr>
      <w:r>
        <w:rPr>
          <w:rFonts w:cs="Arial"/>
          <w:color w:val="auto"/>
        </w:rPr>
        <w:t>Figure 6.4.1.1-4: Simulation results for Throughput Loss – Average of all users within cell of largest throughput loss of victim network</w:t>
      </w:r>
    </w:p>
    <w:p>
      <w:pPr>
        <w:rPr>
          <w:rFonts w:cs="Arial"/>
        </w:rPr>
      </w:pPr>
    </w:p>
    <w:p>
      <w:pPr>
        <w:rPr>
          <w:rFonts w:cs="Arial"/>
        </w:rPr>
      </w:pPr>
    </w:p>
    <w:p>
      <w:pPr>
        <w:pStyle w:val="5"/>
        <w:rPr>
          <w:rFonts w:ascii="Arial" w:hAnsi="Arial" w:cs="Arial"/>
          <w:b/>
          <w:bCs/>
          <w:i w:val="0"/>
          <w:iCs w:val="0"/>
          <w:color w:val="auto"/>
          <w:sz w:val="24"/>
          <w:szCs w:val="24"/>
          <w:lang w:val="sv-SE"/>
        </w:rPr>
      </w:pPr>
      <w:r>
        <w:rPr>
          <w:rFonts w:ascii="Arial" w:hAnsi="Arial" w:cs="Arial"/>
          <w:b/>
          <w:bCs/>
          <w:i w:val="0"/>
          <w:iCs w:val="0"/>
          <w:color w:val="auto"/>
          <w:sz w:val="24"/>
          <w:szCs w:val="24"/>
          <w:lang w:val="sv-SE"/>
        </w:rPr>
        <w:t>6.4.1.2 Scenario 2: 4GHz ATG UL interfering TN UL</w:t>
      </w:r>
      <w:r>
        <w:rPr>
          <w:rFonts w:ascii="Arial" w:hAnsi="Arial" w:cs="Arial"/>
          <w:b/>
          <w:bCs/>
          <w:i w:val="0"/>
          <w:iCs w:val="0"/>
          <w:color w:val="auto"/>
          <w:sz w:val="24"/>
          <w:szCs w:val="24"/>
          <w:lang w:val="sv-SE"/>
        </w:rPr>
        <w:br w:type="textWrapping"/>
      </w:r>
    </w:p>
    <w:p>
      <w:pPr>
        <w:rPr>
          <w:rFonts w:cs="Arial"/>
        </w:rPr>
      </w:pPr>
      <w:r>
        <w:rPr>
          <w:rFonts w:cs="Arial"/>
        </w:rPr>
        <w:t xml:space="preserve">This scenario captures the co-existence results after evaluation from all possible options. Here ATG UL with both AAS subarray and non-subarray model is interfering TN UL deployed in rural macro environment. </w:t>
      </w:r>
    </w:p>
    <w:p>
      <w:pPr>
        <w:rPr>
          <w:rFonts w:cs="Arial"/>
        </w:rPr>
      </w:pPr>
    </w:p>
    <w:p>
      <w:pPr>
        <w:jc w:val="center"/>
        <w:rPr>
          <w:rFonts w:ascii="Arial" w:hAnsi="Arial" w:cs="Arial"/>
          <w:b/>
          <w:bCs/>
          <w:color w:val="auto"/>
        </w:rPr>
      </w:pPr>
      <w:r>
        <w:rPr>
          <w:rFonts w:cs="Arial"/>
          <w:b/>
          <w:bCs/>
        </w:rPr>
        <w:t>Table 6.4.1.2-1: Simulation results for Scenario 2 – 4 GHz ATG UL interfering TN UL</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155"/>
        <w:gridCol w:w="5082"/>
        <w:gridCol w:w="1276"/>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rPr>
            </w:pPr>
            <w:r>
              <w:rPr>
                <w:rFonts w:eastAsia="Yu Mincho" w:cs="Arial"/>
                <w:b/>
                <w:lang w:val="zh-CN" w:eastAsia="zh-CN" w:bidi="ar"/>
              </w:rPr>
              <w:t>Company</w:t>
            </w:r>
          </w:p>
        </w:tc>
        <w:tc>
          <w:tcPr>
            <w:tcW w:w="1155"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val="sv-SE" w:eastAsia="zh-CN" w:bidi="ar"/>
              </w:rPr>
            </w:pPr>
            <w:r>
              <w:rPr>
                <w:rFonts w:eastAsia="Yu Mincho" w:cs="Arial"/>
                <w:b/>
                <w:lang w:val="sv-SE" w:eastAsia="zh-CN" w:bidi="ar"/>
              </w:rPr>
              <w:t>ATG/ TN BS antenna model</w:t>
            </w:r>
          </w:p>
        </w:tc>
        <w:tc>
          <w:tcPr>
            <w:tcW w:w="5082"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en-IN" w:eastAsia="zh-CN"/>
              </w:rPr>
            </w:pPr>
            <w:r>
              <w:rPr>
                <w:rFonts w:eastAsia="Yu Mincho" w:cs="Arial"/>
                <w:b/>
                <w:lang w:val="en-IN" w:eastAsia="zh-CN" w:bidi="ar"/>
              </w:rPr>
              <w:t>Performance Metric</w:t>
            </w:r>
          </w:p>
        </w:tc>
        <w:tc>
          <w:tcPr>
            <w:tcW w:w="2551" w:type="dxa"/>
            <w:gridSpan w:val="2"/>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rPr>
            </w:pPr>
            <w:r>
              <w:rPr>
                <w:rFonts w:eastAsia="Yu Mincho" w:cs="Arial"/>
                <w:b/>
                <w:lang w:eastAsia="zh-CN" w:bidi="ar"/>
              </w:rPr>
              <w:t>Throughput Loss (%) at ATG UE ACLR 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eastAsia="zh-CN" w:bidi="ar"/>
              </w:rPr>
            </w:pPr>
          </w:p>
        </w:tc>
        <w:tc>
          <w:tcPr>
            <w:tcW w:w="508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2551" w:type="dxa"/>
            <w:gridSpan w:val="2"/>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155" w:type="dxa"/>
            <w:vMerge w:val="continue"/>
            <w:tcBorders>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eastAsia="zh-CN" w:bidi="ar"/>
              </w:rPr>
            </w:pPr>
          </w:p>
        </w:tc>
        <w:tc>
          <w:tcPr>
            <w:tcW w:w="5082" w:type="dxa"/>
            <w:vMerge w:val="continue"/>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27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100 km</w:t>
            </w:r>
          </w:p>
        </w:tc>
        <w:tc>
          <w:tcPr>
            <w:tcW w:w="1275"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Ericsson</w:t>
            </w:r>
          </w:p>
          <w:p>
            <w:pPr>
              <w:overflowPunct w:val="0"/>
              <w:autoSpaceDE w:val="0"/>
              <w:autoSpaceDN w:val="0"/>
              <w:adjustRightInd w:val="0"/>
              <w:jc w:val="center"/>
              <w:rPr>
                <w:rFonts w:eastAsia="Yu Mincho" w:cs="Arial"/>
                <w:lang w:val="sv-SE" w:eastAsia="zh-CN"/>
              </w:rPr>
            </w:pPr>
          </w:p>
        </w:tc>
        <w:tc>
          <w:tcPr>
            <w:tcW w:w="1155"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0</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IN" w:eastAsia="ko"/>
              </w:rPr>
            </w:pPr>
            <w:r>
              <w:rPr>
                <w:rFonts w:eastAsia="Yu Mincho" w:cs="Arial"/>
                <w:lang w:val="en-IN" w:eastAsia="ko"/>
              </w:rPr>
              <w:t>0</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IN" w:eastAsia="ko"/>
              </w:rPr>
            </w:pPr>
            <w:r>
              <w:rPr>
                <w:rFonts w:eastAsia="Yu Mincho" w:cs="Arial"/>
                <w:lang w:val="en-IN" w:eastAsia="k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0.05</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w:t>
            </w:r>
            <w:r>
              <w:rPr>
                <w:rFonts w:eastAsia="Malgun Gothic" w:cs="Arial"/>
                <w:lang w:eastAsia="ko" w:bidi="ar"/>
              </w:rPr>
              <w:t>within the cell with largest throughput loss for the case of TN UL victim</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0.03</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w:t>
            </w:r>
            <w:r>
              <w:rPr>
                <w:rFonts w:eastAsia="Malgun Gothic" w:cs="Arial"/>
                <w:lang w:eastAsia="ko" w:bidi="ar"/>
              </w:rPr>
              <w:t>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0.01</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ZTE</w:t>
            </w:r>
          </w:p>
          <w:p>
            <w:pPr>
              <w:overflowPunct w:val="0"/>
              <w:autoSpaceDE w:val="0"/>
              <w:autoSpaceDN w:val="0"/>
              <w:adjustRightInd w:val="0"/>
              <w:rPr>
                <w:rFonts w:eastAsia="Yu Mincho" w:cs="Arial"/>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val="en-IN"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CMCC</w:t>
            </w:r>
          </w:p>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0.03</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0.01</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Qualcomm</w:t>
            </w:r>
          </w:p>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r>
              <w:rPr>
                <w:rFonts w:eastAsia="Yu Mincho" w:cs="Arial"/>
                <w:highlight w:val="none"/>
                <w:lang w:eastAsia="zh-CN"/>
              </w:rPr>
              <w:t>Huawei</w:t>
            </w: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r>
              <w:rPr>
                <w:rFonts w:eastAsia="Yu Mincho" w:cs="Arial"/>
                <w:highlight w:val="none"/>
                <w:lang w:eastAsia="zh-CN"/>
              </w:rPr>
              <w:t>CATT</w:t>
            </w: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bl>
    <w:p>
      <w:pPr>
        <w:rPr>
          <w:rFonts w:cs="Arial"/>
        </w:rPr>
      </w:pPr>
    </w:p>
    <w:p>
      <w:pPr>
        <w:pStyle w:val="6"/>
        <w:rPr>
          <w:rFonts w:ascii="Arial" w:hAnsi="Arial" w:cs="Arial"/>
          <w:b/>
          <w:bCs/>
          <w:color w:val="auto"/>
        </w:rPr>
      </w:pPr>
      <w:r>
        <w:rPr>
          <w:rFonts w:hint="eastAsia" w:ascii="Arial" w:hAnsi="Arial" w:eastAsia="宋体" w:cs="Arial"/>
          <w:b/>
          <w:bCs/>
          <w:color w:val="auto"/>
          <w:lang w:val="en-US" w:eastAsia="zh-CN"/>
        </w:rPr>
        <w:t xml:space="preserve">6.4.1.2.1 </w:t>
      </w:r>
      <w:r>
        <w:rPr>
          <w:rFonts w:ascii="Arial" w:hAnsi="Arial" w:cs="Arial"/>
          <w:b/>
          <w:bCs/>
          <w:color w:val="auto"/>
        </w:rPr>
        <w:t>Non-Subarray model</w:t>
      </w:r>
    </w:p>
    <w:p>
      <w:pPr>
        <w:rPr>
          <w:rFonts w:cs="Arial"/>
        </w:rPr>
      </w:pPr>
    </w:p>
    <w:p>
      <w:pPr>
        <w:pStyle w:val="7"/>
        <w:rPr>
          <w:rFonts w:cs="Arial"/>
          <w:b/>
          <w:bCs/>
        </w:rPr>
      </w:pPr>
      <w:r>
        <w:rPr>
          <w:rFonts w:ascii="Arial" w:hAnsi="Arial" w:cs="Arial"/>
          <w:b/>
          <w:bCs/>
          <w:color w:val="auto"/>
        </w:rPr>
        <w:t>Maximum distance between ATG BS and ATG UE is 100 km</w:t>
      </w:r>
    </w:p>
    <w:p>
      <w:pPr>
        <w:rPr>
          <w:rFonts w:cs="Arial"/>
        </w:rPr>
      </w:pPr>
    </w:p>
    <w:p>
      <w:pPr>
        <w:keepNext/>
        <w:rPr>
          <w:rFonts w:cs="Arial"/>
        </w:rPr>
      </w:pPr>
      <w:r>
        <w:rPr>
          <w:rFonts w:cs="Arial"/>
        </w:rPr>
        <w:drawing>
          <wp:inline distT="0" distB="0" distL="0" distR="0">
            <wp:extent cx="6133465" cy="2284730"/>
            <wp:effectExtent l="4445" t="4445" r="889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pPr>
        <w:pStyle w:val="28"/>
        <w:jc w:val="center"/>
        <w:rPr>
          <w:rFonts w:cs="Arial"/>
        </w:rPr>
      </w:pPr>
      <w:r>
        <w:rPr>
          <w:rFonts w:cs="Arial"/>
          <w:color w:val="auto"/>
        </w:rPr>
        <w:t>Figure 6.4.1.2-1: Simulation results for Throughput Loss - 5% of users in the whole network</w:t>
      </w:r>
    </w:p>
    <w:p>
      <w:pPr>
        <w:rPr>
          <w:rFonts w:cs="Arial"/>
        </w:rPr>
      </w:pPr>
    </w:p>
    <w:p>
      <w:pPr>
        <w:rPr>
          <w:rFonts w:cs="Arial"/>
        </w:rPr>
      </w:pPr>
    </w:p>
    <w:p>
      <w:pPr>
        <w:keepNext/>
        <w:rPr>
          <w:rFonts w:cs="Arial"/>
        </w:rPr>
      </w:pPr>
      <w:r>
        <w:rPr>
          <w:rFonts w:cs="Arial"/>
        </w:rPr>
        <w:drawing>
          <wp:inline distT="0" distB="0" distL="0" distR="0">
            <wp:extent cx="6120765" cy="2573655"/>
            <wp:effectExtent l="4445" t="4445" r="8890" b="1270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pPr>
        <w:pStyle w:val="28"/>
        <w:jc w:val="center"/>
        <w:rPr>
          <w:rFonts w:cs="Arial"/>
        </w:rPr>
      </w:pPr>
      <w:r>
        <w:rPr>
          <w:rFonts w:cs="Arial"/>
          <w:color w:val="auto"/>
        </w:rPr>
        <w:t>Figure 6.4.1.2-2: Simulation results for Throughput Loss – Average of all users in the whole network</w:t>
      </w:r>
    </w:p>
    <w:p>
      <w:pPr>
        <w:rPr>
          <w:rFonts w:cs="Arial"/>
        </w:rPr>
      </w:pPr>
    </w:p>
    <w:p>
      <w:pPr>
        <w:keepNext/>
        <w:rPr>
          <w:rFonts w:cs="Arial"/>
        </w:rPr>
      </w:pPr>
      <w:r>
        <w:rPr>
          <w:rFonts w:cs="Arial"/>
        </w:rPr>
        <w:drawing>
          <wp:inline distT="0" distB="0" distL="0" distR="0">
            <wp:extent cx="6120765" cy="2825115"/>
            <wp:effectExtent l="4445" t="4445" r="8890"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pPr>
        <w:pStyle w:val="28"/>
        <w:jc w:val="center"/>
        <w:rPr>
          <w:rFonts w:cs="Arial"/>
        </w:rPr>
      </w:pPr>
      <w:r>
        <w:rPr>
          <w:rFonts w:cs="Arial"/>
          <w:color w:val="auto"/>
        </w:rPr>
        <w:t>Figure 6.4.1.2-3: Simulation results for Throughput Loss – 5% of users within cell of largest throughput loss of victim network</w:t>
      </w:r>
    </w:p>
    <w:p>
      <w:pPr>
        <w:rPr>
          <w:rFonts w:cs="Arial"/>
        </w:rPr>
      </w:pPr>
    </w:p>
    <w:p>
      <w:pPr>
        <w:rPr>
          <w:rFonts w:cs="Arial"/>
        </w:rPr>
      </w:pPr>
      <w:r>
        <w:rPr>
          <w:rFonts w:cs="Arial"/>
        </w:rPr>
        <w:drawing>
          <wp:inline distT="0" distB="0" distL="0" distR="0">
            <wp:extent cx="6120765" cy="2707640"/>
            <wp:effectExtent l="4445" t="4445" r="8890" b="571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pPr>
        <w:pStyle w:val="28"/>
        <w:jc w:val="center"/>
        <w:rPr>
          <w:rFonts w:cs="Arial"/>
        </w:rPr>
      </w:pPr>
      <w:r>
        <w:rPr>
          <w:rFonts w:cs="Arial"/>
          <w:color w:val="auto"/>
        </w:rPr>
        <w:t>Figure 6.4.1.2-4: Simulation results for Throughput Loss – Average of all users within cell of largest throughput loss of victim network</w:t>
      </w:r>
    </w:p>
    <w:p>
      <w:pPr>
        <w:rPr>
          <w:rFonts w:cs="Arial"/>
        </w:rPr>
      </w:pPr>
    </w:p>
    <w:p>
      <w:pPr>
        <w:pStyle w:val="7"/>
        <w:rPr>
          <w:rFonts w:ascii="Arial" w:hAnsi="Arial" w:cs="Arial"/>
          <w:b/>
          <w:bCs/>
          <w:color w:val="auto"/>
        </w:rPr>
      </w:pPr>
      <w:r>
        <w:rPr>
          <w:rFonts w:ascii="Arial" w:hAnsi="Arial" w:cs="Arial"/>
          <w:b/>
          <w:bCs/>
          <w:color w:val="auto"/>
        </w:rPr>
        <w:t>Maximum distance between ATG BS and ATG UE is 300 km</w:t>
      </w:r>
    </w:p>
    <w:p>
      <w:pPr>
        <w:rPr>
          <w:rFonts w:cs="Arial"/>
        </w:rPr>
      </w:pPr>
    </w:p>
    <w:p>
      <w:pPr>
        <w:keepNext/>
        <w:rPr>
          <w:rFonts w:cs="Arial"/>
        </w:rPr>
      </w:pPr>
      <w:r>
        <w:rPr>
          <w:rFonts w:cs="Arial"/>
        </w:rPr>
        <w:drawing>
          <wp:inline distT="0" distB="0" distL="0" distR="0">
            <wp:extent cx="6120765" cy="2687955"/>
            <wp:effectExtent l="4445" t="4445" r="889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pPr>
        <w:pStyle w:val="28"/>
        <w:jc w:val="center"/>
        <w:rPr>
          <w:rFonts w:cs="Arial"/>
        </w:rPr>
      </w:pPr>
      <w:r>
        <w:rPr>
          <w:rFonts w:cs="Arial"/>
          <w:color w:val="auto"/>
        </w:rPr>
        <w:t>Figure 6.4.1.2-5: Simulation results for Throughput Loss - 5% of users in the whole network</w:t>
      </w:r>
    </w:p>
    <w:p>
      <w:pPr>
        <w:rPr>
          <w:rFonts w:cs="Arial"/>
        </w:rPr>
      </w:pPr>
    </w:p>
    <w:p>
      <w:pPr>
        <w:keepNext/>
        <w:rPr>
          <w:rFonts w:cs="Arial"/>
        </w:rPr>
      </w:pPr>
      <w:r>
        <w:rPr>
          <w:rFonts w:cs="Arial"/>
        </w:rPr>
        <w:drawing>
          <wp:inline distT="0" distB="0" distL="0" distR="0">
            <wp:extent cx="6120765" cy="2693035"/>
            <wp:effectExtent l="4445" t="4445" r="8890" b="762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pPr>
        <w:pStyle w:val="28"/>
        <w:jc w:val="center"/>
        <w:rPr>
          <w:rFonts w:cs="Arial"/>
          <w:sz w:val="16"/>
          <w:szCs w:val="16"/>
        </w:rPr>
      </w:pPr>
      <w:r>
        <w:rPr>
          <w:rFonts w:cs="Arial"/>
          <w:color w:val="auto"/>
          <w:sz w:val="16"/>
          <w:szCs w:val="16"/>
        </w:rPr>
        <w:t>Figure 6.4.1.2-6: Simulation results for Throughput Loss – Average of all users in the whole network</w:t>
      </w:r>
    </w:p>
    <w:p>
      <w:pPr>
        <w:rPr>
          <w:rFonts w:cs="Arial"/>
        </w:rPr>
      </w:pPr>
    </w:p>
    <w:p>
      <w:pPr>
        <w:rPr>
          <w:rFonts w:cs="Arial"/>
        </w:rPr>
      </w:pPr>
      <w:r>
        <w:rPr>
          <w:rFonts w:cs="Arial"/>
        </w:rPr>
        <w:drawing>
          <wp:inline distT="0" distB="0" distL="0" distR="0">
            <wp:extent cx="6120765" cy="2910205"/>
            <wp:effectExtent l="4445" t="4445" r="8890" b="635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pPr>
        <w:pStyle w:val="28"/>
        <w:jc w:val="center"/>
        <w:rPr>
          <w:rFonts w:cs="Arial"/>
          <w:color w:val="auto"/>
        </w:rPr>
      </w:pPr>
      <w:r>
        <w:rPr>
          <w:rFonts w:cs="Arial"/>
          <w:color w:val="auto"/>
        </w:rPr>
        <w:t>Figure 6.4.1.2-7: Simulation results for Throughput Loss – 5% of users within cell of largest throughput loss of victim network</w:t>
      </w:r>
    </w:p>
    <w:p>
      <w:pPr>
        <w:rPr>
          <w:rFonts w:cs="Arial"/>
        </w:rPr>
      </w:pPr>
    </w:p>
    <w:p>
      <w:pPr>
        <w:rPr>
          <w:rFonts w:cs="Arial"/>
        </w:rPr>
      </w:pPr>
      <w:r>
        <w:rPr>
          <w:rFonts w:cs="Arial"/>
        </w:rPr>
        <w:drawing>
          <wp:inline distT="0" distB="0" distL="0" distR="0">
            <wp:extent cx="6120765" cy="2819400"/>
            <wp:effectExtent l="4445" t="4445" r="8890" b="825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pPr>
        <w:pStyle w:val="28"/>
        <w:jc w:val="center"/>
        <w:rPr>
          <w:rFonts w:cs="Arial"/>
          <w:color w:val="auto"/>
        </w:rPr>
      </w:pPr>
      <w:r>
        <w:rPr>
          <w:rFonts w:cs="Arial"/>
          <w:color w:val="auto"/>
        </w:rPr>
        <w:t>Figure 6.4.1.2-8: Simulation results for Throughput Loss – Average of all users within cell of largest throughput loss of victim network</w:t>
      </w:r>
    </w:p>
    <w:p>
      <w:pPr>
        <w:rPr>
          <w:rFonts w:cs="Arial"/>
        </w:rPr>
      </w:pPr>
    </w:p>
    <w:p>
      <w:pPr>
        <w:pStyle w:val="6"/>
        <w:rPr>
          <w:rFonts w:cs="Arial"/>
          <w:b/>
          <w:bCs/>
        </w:rPr>
      </w:pPr>
      <w:r>
        <w:rPr>
          <w:rFonts w:hint="eastAsia" w:ascii="Arial" w:hAnsi="Arial" w:eastAsia="宋体" w:cs="Arial"/>
          <w:b/>
          <w:bCs/>
          <w:color w:val="auto"/>
          <w:lang w:val="en-US" w:eastAsia="zh-CN"/>
        </w:rPr>
        <w:t xml:space="preserve">6.4.1.2.2 </w:t>
      </w:r>
      <w:r>
        <w:rPr>
          <w:rFonts w:ascii="Arial" w:hAnsi="Arial" w:cs="Arial"/>
          <w:b/>
          <w:bCs/>
          <w:color w:val="auto"/>
        </w:rPr>
        <w:t>Subarray model</w:t>
      </w:r>
    </w:p>
    <w:p>
      <w:pPr>
        <w:rPr>
          <w:rFonts w:cs="Arial"/>
        </w:rPr>
      </w:pPr>
    </w:p>
    <w:p>
      <w:pPr>
        <w:pStyle w:val="7"/>
        <w:rPr>
          <w:rFonts w:ascii="Arial" w:hAnsi="Arial" w:cs="Arial"/>
          <w:b/>
          <w:bCs/>
          <w:color w:val="auto"/>
        </w:rPr>
      </w:pPr>
      <w:r>
        <w:rPr>
          <w:rFonts w:ascii="Arial" w:hAnsi="Arial" w:cs="Arial"/>
          <w:b/>
          <w:bCs/>
          <w:color w:val="auto"/>
        </w:rPr>
        <w:t>Maximum distance between ATG BS and ATG UE is 100 km</w:t>
      </w:r>
    </w:p>
    <w:p>
      <w:pPr>
        <w:rPr>
          <w:rFonts w:cs="Arial"/>
        </w:rPr>
      </w:pPr>
    </w:p>
    <w:p>
      <w:pPr>
        <w:rPr>
          <w:rFonts w:cs="Arial"/>
        </w:rPr>
      </w:pPr>
    </w:p>
    <w:p>
      <w:pPr>
        <w:rPr>
          <w:rFonts w:cs="Arial"/>
        </w:rPr>
      </w:pPr>
      <w:r>
        <w:rPr>
          <w:rFonts w:cs="Arial"/>
        </w:rPr>
        <w:drawing>
          <wp:inline distT="0" distB="0" distL="0" distR="0">
            <wp:extent cx="6120765" cy="2820670"/>
            <wp:effectExtent l="4445" t="4445" r="889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pPr>
        <w:pStyle w:val="28"/>
        <w:jc w:val="center"/>
        <w:rPr>
          <w:rFonts w:cs="Arial"/>
          <w:color w:val="auto"/>
        </w:rPr>
      </w:pPr>
      <w:r>
        <w:rPr>
          <w:rFonts w:cs="Arial"/>
          <w:color w:val="auto"/>
        </w:rPr>
        <w:t>Figure 6.4.1.2-9: Simulation results for Throughput Loss - 5% of users in the whole network</w:t>
      </w:r>
    </w:p>
    <w:p>
      <w:pPr>
        <w:rPr>
          <w:rFonts w:cs="Arial"/>
        </w:rPr>
      </w:pPr>
    </w:p>
    <w:p>
      <w:pPr>
        <w:rPr>
          <w:rFonts w:cs="Arial"/>
        </w:rPr>
      </w:pPr>
      <w:r>
        <w:rPr>
          <w:rFonts w:cs="Arial"/>
        </w:rPr>
        <w:drawing>
          <wp:inline distT="0" distB="0" distL="0" distR="0">
            <wp:extent cx="6120765" cy="2773045"/>
            <wp:effectExtent l="4445" t="4445" r="8890" b="1651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pPr>
        <w:pStyle w:val="28"/>
        <w:jc w:val="center"/>
        <w:rPr>
          <w:rFonts w:cs="Arial"/>
          <w:color w:val="auto"/>
        </w:rPr>
      </w:pPr>
      <w:r>
        <w:rPr>
          <w:rFonts w:cs="Arial"/>
          <w:color w:val="auto"/>
        </w:rPr>
        <w:t>Figure 6.4.1.2-10: Simulation results for Throughput Loss – Average of all users in the whole network</w:t>
      </w:r>
    </w:p>
    <w:p>
      <w:pPr>
        <w:rPr>
          <w:rFonts w:cs="Arial"/>
        </w:rPr>
      </w:pPr>
    </w:p>
    <w:p>
      <w:pPr>
        <w:rPr>
          <w:rFonts w:cs="Arial"/>
        </w:rPr>
      </w:pPr>
    </w:p>
    <w:p>
      <w:pPr>
        <w:rPr>
          <w:rFonts w:cs="Arial"/>
        </w:rPr>
      </w:pPr>
      <w:r>
        <w:rPr>
          <w:rFonts w:cs="Arial"/>
        </w:rPr>
        <w:drawing>
          <wp:inline distT="0" distB="0" distL="0" distR="0">
            <wp:extent cx="6120765" cy="2828925"/>
            <wp:effectExtent l="4445" t="4445" r="889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pPr>
        <w:pStyle w:val="28"/>
        <w:jc w:val="center"/>
        <w:rPr>
          <w:rFonts w:cs="Arial"/>
          <w:color w:val="auto"/>
        </w:rPr>
      </w:pPr>
      <w:r>
        <w:rPr>
          <w:rFonts w:cs="Arial"/>
          <w:color w:val="auto"/>
        </w:rPr>
        <w:t>Figure 6.4.1.2-11: Simulation results for Throughput Loss – 5% of users within cell of largest throughput loss of victim network</w:t>
      </w:r>
    </w:p>
    <w:p>
      <w:pPr>
        <w:rPr>
          <w:rFonts w:cs="Arial"/>
        </w:rPr>
      </w:pPr>
    </w:p>
    <w:p>
      <w:pPr>
        <w:rPr>
          <w:rFonts w:cs="Arial"/>
        </w:rPr>
      </w:pPr>
    </w:p>
    <w:p>
      <w:pPr>
        <w:rPr>
          <w:rFonts w:cs="Arial"/>
        </w:rPr>
      </w:pPr>
      <w:r>
        <w:rPr>
          <w:rFonts w:cs="Arial"/>
        </w:rPr>
        <w:drawing>
          <wp:inline distT="0" distB="0" distL="0" distR="0">
            <wp:extent cx="6120765" cy="2795905"/>
            <wp:effectExtent l="4445" t="4445" r="8890" b="635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pPr>
        <w:pStyle w:val="28"/>
        <w:jc w:val="center"/>
        <w:rPr>
          <w:rFonts w:cs="Arial"/>
          <w:color w:val="auto"/>
        </w:rPr>
      </w:pPr>
      <w:r>
        <w:rPr>
          <w:rFonts w:cs="Arial"/>
          <w:color w:val="auto"/>
        </w:rPr>
        <w:t>Figure 6.4.1.2-12: Simulation results for Throughput Loss – Average of all users within cell of largest throughput loss of victim network</w:t>
      </w:r>
    </w:p>
    <w:p>
      <w:pPr>
        <w:rPr>
          <w:rFonts w:cs="Arial"/>
        </w:rPr>
      </w:pPr>
    </w:p>
    <w:p>
      <w:pPr>
        <w:rPr>
          <w:rFonts w:cs="Arial"/>
        </w:rPr>
      </w:pPr>
    </w:p>
    <w:p>
      <w:pPr>
        <w:pStyle w:val="7"/>
        <w:rPr>
          <w:rFonts w:ascii="Arial" w:hAnsi="Arial" w:cs="Arial"/>
          <w:b/>
          <w:bCs/>
          <w:color w:val="auto"/>
        </w:rPr>
      </w:pPr>
      <w:r>
        <w:rPr>
          <w:rFonts w:ascii="Arial" w:hAnsi="Arial" w:cs="Arial"/>
          <w:b/>
          <w:bCs/>
          <w:color w:val="auto"/>
        </w:rPr>
        <w:t>Maximum distance between ATG BS and ATG UE is 300 km</w:t>
      </w:r>
    </w:p>
    <w:p>
      <w:pPr>
        <w:rPr>
          <w:rFonts w:cs="Arial"/>
        </w:rPr>
      </w:pPr>
    </w:p>
    <w:p>
      <w:pPr>
        <w:rPr>
          <w:rFonts w:cs="Arial"/>
        </w:rPr>
      </w:pPr>
      <w:r>
        <w:rPr>
          <w:rFonts w:cs="Arial"/>
        </w:rPr>
        <w:drawing>
          <wp:inline distT="0" distB="0" distL="0" distR="0">
            <wp:extent cx="6120765" cy="2912745"/>
            <wp:effectExtent l="4445" t="4445" r="8890" b="165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pPr>
        <w:pStyle w:val="28"/>
        <w:jc w:val="center"/>
        <w:rPr>
          <w:rFonts w:cs="Arial"/>
          <w:color w:val="auto"/>
        </w:rPr>
      </w:pPr>
      <w:r>
        <w:rPr>
          <w:rFonts w:cs="Arial"/>
          <w:color w:val="auto"/>
        </w:rPr>
        <w:t>Figure 6.4.1.2-13: Simulation results for Throughput Loss - 5% of users in the whole network</w:t>
      </w:r>
    </w:p>
    <w:p>
      <w:pPr>
        <w:rPr>
          <w:rFonts w:cs="Arial"/>
        </w:rPr>
      </w:pPr>
    </w:p>
    <w:p>
      <w:pPr>
        <w:rPr>
          <w:rFonts w:cs="Arial"/>
        </w:rPr>
      </w:pPr>
      <w:r>
        <w:rPr>
          <w:rFonts w:cs="Arial"/>
        </w:rPr>
        <w:drawing>
          <wp:inline distT="0" distB="0" distL="0" distR="0">
            <wp:extent cx="6120765" cy="2769235"/>
            <wp:effectExtent l="4445" t="4445" r="8890" b="762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pPr>
        <w:pStyle w:val="28"/>
        <w:jc w:val="center"/>
        <w:rPr>
          <w:rFonts w:cs="Arial"/>
        </w:rPr>
      </w:pPr>
      <w:r>
        <w:rPr>
          <w:rFonts w:cs="Arial"/>
          <w:color w:val="auto"/>
        </w:rPr>
        <w:t>Figure 6.4.1.2-14: Simulation results for Throughput Loss – Average of all users in the whole network</w:t>
      </w:r>
    </w:p>
    <w:p>
      <w:pPr>
        <w:rPr>
          <w:rFonts w:cs="Arial"/>
        </w:rPr>
      </w:pPr>
      <w:r>
        <w:rPr>
          <w:rFonts w:cs="Arial"/>
        </w:rPr>
        <w:drawing>
          <wp:inline distT="0" distB="0" distL="0" distR="0">
            <wp:extent cx="6120765" cy="2912110"/>
            <wp:effectExtent l="5080" t="4445" r="8255" b="1714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pPr>
        <w:pStyle w:val="28"/>
        <w:jc w:val="center"/>
        <w:rPr>
          <w:rFonts w:cs="Arial"/>
          <w:color w:val="auto"/>
        </w:rPr>
      </w:pPr>
      <w:r>
        <w:rPr>
          <w:rFonts w:cs="Arial"/>
          <w:color w:val="auto"/>
        </w:rPr>
        <w:t>Figure 6.4.1.2-15: Simulation results for Throughput Loss – 5% of users within cell of largest throughput loss of victim network</w:t>
      </w:r>
    </w:p>
    <w:p>
      <w:pPr>
        <w:rPr>
          <w:rFonts w:cs="Arial"/>
        </w:rPr>
      </w:pPr>
    </w:p>
    <w:p>
      <w:pPr>
        <w:rPr>
          <w:rFonts w:cs="Arial"/>
        </w:rPr>
      </w:pPr>
    </w:p>
    <w:p>
      <w:pPr>
        <w:rPr>
          <w:rFonts w:cs="Arial"/>
        </w:rPr>
      </w:pPr>
      <w:r>
        <w:rPr>
          <w:rFonts w:cs="Arial"/>
        </w:rPr>
        <w:drawing>
          <wp:inline distT="0" distB="0" distL="0" distR="0">
            <wp:extent cx="6120765" cy="2907665"/>
            <wp:effectExtent l="4445" t="4445" r="8890" b="889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pPr>
        <w:pStyle w:val="28"/>
        <w:jc w:val="center"/>
        <w:rPr>
          <w:rFonts w:cs="Arial"/>
        </w:rPr>
      </w:pPr>
      <w:r>
        <w:rPr>
          <w:rFonts w:cs="Arial"/>
          <w:color w:val="auto"/>
        </w:rPr>
        <w:t>Figure 6.4.1.2-16: Simulation results for Throughput Loss – Average of all users within cell of largest throughput loss of victim network</w:t>
      </w:r>
    </w:p>
    <w:p>
      <w:pPr>
        <w:rPr>
          <w:rFonts w:cs="Arial"/>
        </w:rPr>
      </w:pPr>
    </w:p>
    <w:p>
      <w:pPr>
        <w:pStyle w:val="5"/>
        <w:rPr>
          <w:rFonts w:ascii="Arial" w:hAnsi="Arial" w:cs="Arial"/>
          <w:b/>
          <w:bCs/>
          <w:i w:val="0"/>
          <w:iCs w:val="0"/>
          <w:color w:val="auto"/>
          <w:sz w:val="24"/>
          <w:szCs w:val="24"/>
          <w:lang w:val="sv-SE"/>
        </w:rPr>
      </w:pPr>
      <w:r>
        <w:rPr>
          <w:rFonts w:ascii="Arial" w:hAnsi="Arial" w:cs="Arial"/>
          <w:b/>
          <w:bCs/>
          <w:i w:val="0"/>
          <w:iCs w:val="0"/>
          <w:color w:val="auto"/>
          <w:sz w:val="24"/>
          <w:szCs w:val="24"/>
          <w:lang w:val="sv-SE"/>
        </w:rPr>
        <w:t>6.4.1.3 Scenario 3: 4GHz TN DL interfering ATG DL</w:t>
      </w:r>
    </w:p>
    <w:p>
      <w:pPr>
        <w:rPr>
          <w:rFonts w:cs="Arial"/>
          <w:lang w:val="sv-SE"/>
        </w:rPr>
      </w:pPr>
    </w:p>
    <w:p>
      <w:pPr>
        <w:rPr>
          <w:rFonts w:cs="Arial"/>
        </w:rPr>
      </w:pPr>
      <w:r>
        <w:rPr>
          <w:rFonts w:cs="Arial"/>
        </w:rPr>
        <w:t xml:space="preserve">This scenario captures the co-existence results after evaluation from all possible options. TN DL with both AAS subarray and non-subarray model is interfering ATG DL deployed in rural macro environment. </w:t>
      </w:r>
    </w:p>
    <w:p>
      <w:pPr>
        <w:rPr>
          <w:rFonts w:cs="Arial"/>
        </w:rPr>
      </w:pPr>
    </w:p>
    <w:p>
      <w:pPr>
        <w:jc w:val="center"/>
        <w:rPr>
          <w:rFonts w:ascii="Arial" w:hAnsi="Arial" w:cs="Arial"/>
          <w:b/>
          <w:bCs/>
          <w:color w:val="auto"/>
        </w:rPr>
      </w:pPr>
      <w:r>
        <w:rPr>
          <w:rFonts w:cs="Arial"/>
          <w:b/>
          <w:bCs/>
        </w:rPr>
        <w:t>Table 6.4.1.3-1: Simulation results for Scenario 3 – 4GHz TN DL interfering ATG DL</w:t>
      </w:r>
    </w:p>
    <w:tbl>
      <w:tblPr>
        <w:tblStyle w:val="49"/>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155"/>
        <w:gridCol w:w="4090"/>
        <w:gridCol w:w="1346"/>
        <w:gridCol w:w="17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rPr>
            </w:pPr>
            <w:r>
              <w:rPr>
                <w:rFonts w:eastAsia="Yu Mincho" w:cs="Arial"/>
                <w:b/>
                <w:lang w:val="zh-CN" w:eastAsia="zh-CN" w:bidi="ar"/>
              </w:rPr>
              <w:t>Company</w:t>
            </w:r>
          </w:p>
        </w:tc>
        <w:tc>
          <w:tcPr>
            <w:tcW w:w="1155"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val="sv-SE" w:eastAsia="zh-CN" w:bidi="ar"/>
              </w:rPr>
            </w:pPr>
            <w:r>
              <w:rPr>
                <w:rFonts w:eastAsia="Yu Mincho" w:cs="Arial"/>
                <w:b/>
                <w:lang w:val="sv-SE" w:eastAsia="zh-CN" w:bidi="ar"/>
              </w:rPr>
              <w:t>ATG/ TN BS antenna model</w:t>
            </w:r>
          </w:p>
        </w:tc>
        <w:tc>
          <w:tcPr>
            <w:tcW w:w="4090"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en-IN" w:eastAsia="zh-CN"/>
              </w:rPr>
            </w:pPr>
            <w:r>
              <w:rPr>
                <w:rFonts w:eastAsia="Yu Mincho" w:cs="Arial"/>
                <w:b/>
                <w:lang w:val="en-IN" w:eastAsia="zh-CN" w:bidi="ar"/>
              </w:rPr>
              <w:t>Performance Metric</w:t>
            </w:r>
          </w:p>
        </w:tc>
        <w:tc>
          <w:tcPr>
            <w:tcW w:w="3118" w:type="dxa"/>
            <w:gridSpan w:val="2"/>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rPr>
            </w:pPr>
            <w:r>
              <w:rPr>
                <w:rFonts w:eastAsia="Yu Mincho" w:cs="Arial"/>
                <w:b/>
                <w:lang w:eastAsia="zh-CN" w:bidi="ar"/>
              </w:rPr>
              <w:t>Throughput Loss (%) at ATG UE ACS 33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eastAsia="zh-CN" w:bidi="ar"/>
              </w:rPr>
            </w:pPr>
          </w:p>
        </w:tc>
        <w:tc>
          <w:tcPr>
            <w:tcW w:w="4090"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3118" w:type="dxa"/>
            <w:gridSpan w:val="2"/>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155" w:type="dxa"/>
            <w:vMerge w:val="continue"/>
            <w:tcBorders>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eastAsia="zh-CN" w:bidi="ar"/>
              </w:rPr>
            </w:pPr>
          </w:p>
        </w:tc>
        <w:tc>
          <w:tcPr>
            <w:tcW w:w="4090" w:type="dxa"/>
            <w:vMerge w:val="continue"/>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34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100 km</w:t>
            </w:r>
          </w:p>
        </w:tc>
        <w:tc>
          <w:tcPr>
            <w:tcW w:w="1772"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Ericsson</w:t>
            </w:r>
          </w:p>
          <w:p>
            <w:pPr>
              <w:overflowPunct w:val="0"/>
              <w:autoSpaceDE w:val="0"/>
              <w:autoSpaceDN w:val="0"/>
              <w:adjustRightInd w:val="0"/>
              <w:jc w:val="center"/>
              <w:rPr>
                <w:rFonts w:eastAsia="Yu Mincho" w:cs="Arial"/>
                <w:lang w:val="sv-SE" w:eastAsia="zh-CN"/>
              </w:rPr>
            </w:pPr>
          </w:p>
        </w:tc>
        <w:tc>
          <w:tcPr>
            <w:tcW w:w="1155"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3.60</w:t>
            </w:r>
          </w:p>
        </w:tc>
        <w:tc>
          <w:tcPr>
            <w:tcW w:w="177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7.02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IN" w:eastAsia="ko"/>
              </w:rPr>
            </w:pPr>
            <w:r>
              <w:rPr>
                <w:rFonts w:eastAsia="Yu Mincho" w:cs="Arial"/>
                <w:lang w:val="en-IN" w:eastAsia="ko"/>
              </w:rPr>
              <w:t>1.35</w:t>
            </w:r>
          </w:p>
        </w:tc>
        <w:tc>
          <w:tcPr>
            <w:tcW w:w="177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IN" w:eastAsia="ko"/>
              </w:rPr>
            </w:pPr>
            <w:r>
              <w:rPr>
                <w:rFonts w:eastAsia="Yu Mincho" w:cs="Arial"/>
                <w:lang w:val="en-IN" w:eastAsia="ko"/>
              </w:rPr>
              <w:t>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6.35</w:t>
            </w:r>
          </w:p>
        </w:tc>
        <w:tc>
          <w:tcPr>
            <w:tcW w:w="1772"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11.93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1.97</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ZTE</w:t>
            </w:r>
          </w:p>
          <w:p>
            <w:pPr>
              <w:overflowPunct w:val="0"/>
              <w:autoSpaceDE w:val="0"/>
              <w:autoSpaceDN w:val="0"/>
              <w:adjustRightInd w:val="0"/>
              <w:rPr>
                <w:rFonts w:eastAsia="Yu Mincho" w:cs="Arial"/>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val="en-IN"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0.90</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0.24</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CMCC</w:t>
            </w:r>
          </w:p>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2.39</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0.47</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Qualcomm</w:t>
            </w:r>
          </w:p>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1.75</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0.55</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Huawei</w:t>
            </w:r>
          </w:p>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0.18</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0.23</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CATT</w:t>
            </w:r>
          </w:p>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2.04</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0.62</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bl>
    <w:p>
      <w:pPr>
        <w:rPr>
          <w:rFonts w:cs="Arial"/>
        </w:rPr>
      </w:pPr>
    </w:p>
    <w:p>
      <w:pPr>
        <w:rPr>
          <w:rFonts w:cs="Arial"/>
        </w:rPr>
      </w:pPr>
    </w:p>
    <w:p>
      <w:pPr>
        <w:pStyle w:val="6"/>
        <w:rPr>
          <w:rFonts w:ascii="Arial" w:hAnsi="Arial" w:cs="Arial"/>
          <w:b/>
          <w:bCs/>
          <w:color w:val="auto"/>
        </w:rPr>
      </w:pPr>
      <w:r>
        <w:rPr>
          <w:rFonts w:hint="eastAsia" w:ascii="Arial" w:hAnsi="Arial" w:eastAsia="宋体" w:cs="Arial"/>
          <w:b/>
          <w:bCs/>
          <w:color w:val="auto"/>
          <w:lang w:val="en-US" w:eastAsia="zh-CN"/>
        </w:rPr>
        <w:t xml:space="preserve">6.4.1.3.1 </w:t>
      </w:r>
      <w:r>
        <w:rPr>
          <w:rFonts w:ascii="Arial" w:hAnsi="Arial" w:cs="Arial"/>
          <w:b/>
          <w:bCs/>
          <w:color w:val="auto"/>
        </w:rPr>
        <w:t>Non-Subarray model</w:t>
      </w:r>
    </w:p>
    <w:p>
      <w:pPr>
        <w:rPr>
          <w:rFonts w:cs="Arial"/>
        </w:rPr>
      </w:pPr>
    </w:p>
    <w:p>
      <w:pPr>
        <w:pStyle w:val="7"/>
        <w:rPr>
          <w:rFonts w:ascii="Arial" w:hAnsi="Arial" w:cs="Arial"/>
          <w:b/>
          <w:bCs/>
          <w:color w:val="auto"/>
        </w:rPr>
      </w:pPr>
      <w:r>
        <w:rPr>
          <w:rFonts w:ascii="Arial" w:hAnsi="Arial" w:cs="Arial"/>
          <w:b/>
          <w:bCs/>
          <w:color w:val="auto"/>
        </w:rPr>
        <w:t>Maximum distance between ATG BS and ATG UE is 100 km</w:t>
      </w:r>
    </w:p>
    <w:p>
      <w:pPr>
        <w:rPr>
          <w:rFonts w:cs="Arial"/>
        </w:rPr>
      </w:pPr>
    </w:p>
    <w:p>
      <w:pPr>
        <w:rPr>
          <w:rFonts w:cs="Arial"/>
        </w:rPr>
      </w:pPr>
      <w:r>
        <w:rPr>
          <w:rFonts w:cs="Arial"/>
        </w:rPr>
        <w:drawing>
          <wp:inline distT="0" distB="0" distL="0" distR="0">
            <wp:extent cx="6120765" cy="2814320"/>
            <wp:effectExtent l="4445" t="4445" r="8890"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pPr>
        <w:pStyle w:val="28"/>
        <w:jc w:val="center"/>
        <w:rPr>
          <w:rFonts w:cs="Arial"/>
          <w:color w:val="auto"/>
        </w:rPr>
      </w:pPr>
      <w:r>
        <w:rPr>
          <w:rFonts w:cs="Arial"/>
          <w:color w:val="auto"/>
        </w:rPr>
        <w:t>Figure 6.4.1.3-1: Simulation results for Throughput Loss - 5% of users in the whole network</w:t>
      </w:r>
    </w:p>
    <w:p>
      <w:pPr>
        <w:rPr>
          <w:rFonts w:cs="Arial"/>
        </w:rPr>
      </w:pPr>
    </w:p>
    <w:p>
      <w:pPr>
        <w:rPr>
          <w:rFonts w:cs="Arial"/>
        </w:rPr>
      </w:pPr>
    </w:p>
    <w:p>
      <w:pPr>
        <w:rPr>
          <w:rFonts w:cs="Arial"/>
        </w:rPr>
      </w:pPr>
      <w:r>
        <w:rPr>
          <w:rFonts w:cs="Arial"/>
        </w:rPr>
        <w:drawing>
          <wp:inline distT="0" distB="0" distL="0" distR="0">
            <wp:extent cx="6120765" cy="2794000"/>
            <wp:effectExtent l="4445" t="4445" r="8890" b="825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pPr>
        <w:pStyle w:val="28"/>
        <w:jc w:val="center"/>
        <w:rPr>
          <w:rFonts w:cs="Arial"/>
        </w:rPr>
      </w:pPr>
      <w:r>
        <w:rPr>
          <w:rFonts w:cs="Arial"/>
          <w:color w:val="auto"/>
        </w:rPr>
        <w:t>Figure 6.4.1.3-2: Simulation results for Throughput Loss – Average of all users in the whole network</w:t>
      </w:r>
    </w:p>
    <w:p>
      <w:pPr>
        <w:rPr>
          <w:rFonts w:cs="Arial"/>
        </w:rPr>
      </w:pPr>
    </w:p>
    <w:p>
      <w:pPr>
        <w:rPr>
          <w:rFonts w:cs="Arial"/>
        </w:rPr>
      </w:pPr>
    </w:p>
    <w:p>
      <w:pPr>
        <w:pStyle w:val="7"/>
        <w:rPr>
          <w:rFonts w:ascii="Arial" w:hAnsi="Arial" w:cs="Arial"/>
          <w:b/>
          <w:bCs/>
          <w:color w:val="auto"/>
        </w:rPr>
      </w:pPr>
      <w:r>
        <w:rPr>
          <w:rFonts w:ascii="Arial" w:hAnsi="Arial" w:cs="Arial"/>
          <w:b/>
          <w:bCs/>
          <w:color w:val="auto"/>
        </w:rPr>
        <w:t>Maximum distance between ATG BS and ATG UE is 300 km</w:t>
      </w:r>
    </w:p>
    <w:p>
      <w:pPr>
        <w:rPr>
          <w:rFonts w:cs="Arial"/>
        </w:rPr>
      </w:pPr>
    </w:p>
    <w:p>
      <w:pPr>
        <w:rPr>
          <w:rFonts w:cs="Arial"/>
        </w:rPr>
      </w:pPr>
    </w:p>
    <w:p>
      <w:pPr>
        <w:rPr>
          <w:rFonts w:cs="Arial"/>
        </w:rPr>
      </w:pPr>
      <w:r>
        <w:rPr>
          <w:rFonts w:cs="Arial"/>
        </w:rPr>
        <w:drawing>
          <wp:inline distT="0" distB="0" distL="0" distR="0">
            <wp:extent cx="6120765" cy="2931795"/>
            <wp:effectExtent l="4445" t="4445" r="8890"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pPr>
        <w:pStyle w:val="28"/>
        <w:jc w:val="center"/>
        <w:rPr>
          <w:rFonts w:cs="Arial"/>
          <w:color w:val="auto"/>
        </w:rPr>
      </w:pPr>
      <w:r>
        <w:rPr>
          <w:rFonts w:cs="Arial"/>
          <w:color w:val="auto"/>
        </w:rPr>
        <w:t>Figure 6.4.1.3-3: Simulation results for Throughput Loss - 5% of users in the whole network</w:t>
      </w:r>
    </w:p>
    <w:p>
      <w:pPr>
        <w:rPr>
          <w:rFonts w:cs="Arial"/>
        </w:rPr>
      </w:pPr>
    </w:p>
    <w:p>
      <w:pPr>
        <w:rPr>
          <w:rFonts w:cs="Arial"/>
        </w:rPr>
      </w:pPr>
      <w:r>
        <w:rPr>
          <w:rFonts w:cs="Arial"/>
        </w:rPr>
        <w:drawing>
          <wp:inline distT="0" distB="0" distL="0" distR="0">
            <wp:extent cx="6120765" cy="2926715"/>
            <wp:effectExtent l="4445" t="4445" r="8890" b="1524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pPr>
        <w:pStyle w:val="28"/>
        <w:jc w:val="center"/>
        <w:rPr>
          <w:rFonts w:cs="Arial"/>
          <w:color w:val="auto"/>
        </w:rPr>
      </w:pPr>
      <w:r>
        <w:rPr>
          <w:rFonts w:cs="Arial"/>
          <w:color w:val="auto"/>
        </w:rPr>
        <w:t>Figure 6.4.1.3-4: Simulation results for Throughput Loss – Average of all users in the whole network</w:t>
      </w:r>
    </w:p>
    <w:p>
      <w:pPr>
        <w:rPr>
          <w:rFonts w:cs="Arial"/>
        </w:rPr>
      </w:pPr>
    </w:p>
    <w:p>
      <w:pPr>
        <w:rPr>
          <w:rFonts w:cs="Arial"/>
        </w:rPr>
      </w:pPr>
    </w:p>
    <w:p>
      <w:pPr>
        <w:pStyle w:val="6"/>
        <w:rPr>
          <w:rFonts w:ascii="Arial" w:hAnsi="Arial" w:cs="Arial"/>
          <w:b/>
          <w:bCs/>
          <w:color w:val="auto"/>
        </w:rPr>
      </w:pPr>
      <w:r>
        <w:rPr>
          <w:rFonts w:hint="eastAsia" w:ascii="Arial" w:hAnsi="Arial" w:eastAsia="宋体" w:cs="Arial"/>
          <w:b/>
          <w:bCs/>
          <w:color w:val="auto"/>
          <w:lang w:val="en-US" w:eastAsia="zh-CN"/>
        </w:rPr>
        <w:t xml:space="preserve">6.4.1.3.2 </w:t>
      </w:r>
      <w:r>
        <w:rPr>
          <w:rFonts w:ascii="Arial" w:hAnsi="Arial" w:cs="Arial"/>
          <w:b/>
          <w:bCs/>
          <w:color w:val="auto"/>
        </w:rPr>
        <w:t>Subarray model</w:t>
      </w:r>
    </w:p>
    <w:p>
      <w:pPr>
        <w:rPr>
          <w:rFonts w:cs="Arial"/>
        </w:rPr>
      </w:pPr>
    </w:p>
    <w:p>
      <w:pPr>
        <w:pStyle w:val="7"/>
        <w:rPr>
          <w:rFonts w:ascii="Arial" w:hAnsi="Arial" w:cs="Arial"/>
          <w:b/>
          <w:bCs/>
          <w:color w:val="auto"/>
        </w:rPr>
      </w:pPr>
      <w:r>
        <w:rPr>
          <w:rFonts w:ascii="Arial" w:hAnsi="Arial" w:cs="Arial"/>
          <w:b/>
          <w:bCs/>
          <w:color w:val="auto"/>
        </w:rPr>
        <w:t>Maximum distance between ATG BS and ATG UE is 100 km</w:t>
      </w:r>
    </w:p>
    <w:p>
      <w:pPr>
        <w:rPr>
          <w:rFonts w:cs="Arial"/>
        </w:rPr>
      </w:pPr>
    </w:p>
    <w:p>
      <w:pPr>
        <w:rPr>
          <w:rFonts w:cs="Arial"/>
        </w:rPr>
      </w:pPr>
      <w:r>
        <w:rPr>
          <w:rFonts w:cs="Arial"/>
        </w:rPr>
        <w:drawing>
          <wp:inline distT="0" distB="0" distL="0" distR="0">
            <wp:extent cx="6120765" cy="2835275"/>
            <wp:effectExtent l="4445" t="4445" r="889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pPr>
        <w:pStyle w:val="28"/>
        <w:jc w:val="center"/>
        <w:rPr>
          <w:rFonts w:cs="Arial"/>
          <w:color w:val="auto"/>
        </w:rPr>
      </w:pPr>
      <w:r>
        <w:rPr>
          <w:rFonts w:cs="Arial"/>
          <w:color w:val="auto"/>
        </w:rPr>
        <w:t>Figure 6.4.1.3-5: Simulation results for Throughput Loss - 5% of users in the whole network</w:t>
      </w:r>
    </w:p>
    <w:p>
      <w:pPr>
        <w:rPr>
          <w:rFonts w:cs="Arial"/>
        </w:rPr>
      </w:pPr>
    </w:p>
    <w:p>
      <w:pPr>
        <w:rPr>
          <w:rFonts w:cs="Arial"/>
        </w:rPr>
      </w:pPr>
    </w:p>
    <w:p>
      <w:pPr>
        <w:rPr>
          <w:rFonts w:cs="Arial"/>
        </w:rPr>
      </w:pPr>
      <w:r>
        <w:rPr>
          <w:rFonts w:cs="Arial"/>
        </w:rPr>
        <w:drawing>
          <wp:inline distT="0" distB="0" distL="0" distR="0">
            <wp:extent cx="6120765" cy="2926080"/>
            <wp:effectExtent l="4445" t="4445"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pPr>
        <w:pStyle w:val="28"/>
        <w:jc w:val="center"/>
        <w:rPr>
          <w:rFonts w:cs="Arial"/>
          <w:color w:val="auto"/>
        </w:rPr>
      </w:pPr>
      <w:r>
        <w:rPr>
          <w:rFonts w:cs="Arial"/>
          <w:color w:val="auto"/>
        </w:rPr>
        <w:t>Figure 6.4.1.3-6: Simulation results for Throughput Loss – Average of all users in the whole network</w:t>
      </w:r>
    </w:p>
    <w:p>
      <w:pPr>
        <w:rPr>
          <w:rFonts w:cs="Arial"/>
        </w:rPr>
      </w:pPr>
    </w:p>
    <w:p>
      <w:pPr>
        <w:rPr>
          <w:rFonts w:cs="Arial"/>
        </w:rPr>
      </w:pPr>
    </w:p>
    <w:p>
      <w:pPr>
        <w:pStyle w:val="7"/>
        <w:rPr>
          <w:rFonts w:cs="Arial" w:eastAsiaTheme="majorEastAsia"/>
          <w:b/>
          <w:bCs/>
        </w:rPr>
      </w:pPr>
      <w:r>
        <w:rPr>
          <w:rFonts w:ascii="Arial" w:hAnsi="Arial" w:cs="Arial"/>
          <w:b/>
          <w:bCs/>
          <w:color w:val="auto"/>
        </w:rPr>
        <w:t>Maximum distance between ATG BS and ATG UE is 300 km</w:t>
      </w:r>
    </w:p>
    <w:p>
      <w:pPr>
        <w:rPr>
          <w:rFonts w:cs="Arial"/>
        </w:rPr>
      </w:pPr>
    </w:p>
    <w:p>
      <w:pPr>
        <w:rPr>
          <w:rFonts w:cs="Arial"/>
        </w:rPr>
      </w:pPr>
      <w:r>
        <w:rPr>
          <w:rFonts w:cs="Arial"/>
        </w:rPr>
        <w:drawing>
          <wp:inline distT="0" distB="0" distL="0" distR="0">
            <wp:extent cx="6120765" cy="2932430"/>
            <wp:effectExtent l="4445" t="4445" r="889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pPr>
        <w:pStyle w:val="28"/>
        <w:jc w:val="center"/>
        <w:rPr>
          <w:rFonts w:cs="Arial"/>
          <w:color w:val="auto"/>
        </w:rPr>
      </w:pPr>
      <w:r>
        <w:rPr>
          <w:rFonts w:cs="Arial"/>
          <w:color w:val="auto"/>
        </w:rPr>
        <w:t>Figure 6.4.1.3-7: Simulation results for Throughput Loss - 5% of users in the whole network</w:t>
      </w:r>
    </w:p>
    <w:p>
      <w:pPr>
        <w:rPr>
          <w:rFonts w:cs="Arial"/>
        </w:rPr>
      </w:pPr>
    </w:p>
    <w:p>
      <w:pPr>
        <w:rPr>
          <w:rFonts w:cs="Arial"/>
        </w:rPr>
      </w:pPr>
    </w:p>
    <w:p>
      <w:pPr>
        <w:rPr>
          <w:rFonts w:cs="Arial"/>
        </w:rPr>
      </w:pPr>
    </w:p>
    <w:p>
      <w:pPr>
        <w:rPr>
          <w:rFonts w:cs="Arial"/>
        </w:rPr>
      </w:pPr>
      <w:r>
        <w:rPr>
          <w:rFonts w:cs="Arial"/>
        </w:rPr>
        <w:drawing>
          <wp:inline distT="0" distB="0" distL="0" distR="0">
            <wp:extent cx="6120765" cy="2917825"/>
            <wp:effectExtent l="4445" t="4445" r="8890" b="1143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pPr>
        <w:pStyle w:val="28"/>
        <w:jc w:val="center"/>
        <w:rPr>
          <w:rFonts w:cs="Arial"/>
          <w:color w:val="auto"/>
        </w:rPr>
      </w:pPr>
      <w:r>
        <w:rPr>
          <w:rFonts w:cs="Arial"/>
          <w:color w:val="auto"/>
        </w:rPr>
        <w:t>Figure 6.4.1.3-8: Simulation results for Throughput Loss – Average of all users in the whole network</w:t>
      </w:r>
    </w:p>
    <w:p>
      <w:pPr>
        <w:rPr>
          <w:rFonts w:cs="Arial"/>
        </w:rPr>
      </w:pPr>
    </w:p>
    <w:p>
      <w:pPr>
        <w:rPr>
          <w:rFonts w:cs="Arial"/>
        </w:rPr>
      </w:pPr>
    </w:p>
    <w:p>
      <w:pPr>
        <w:pStyle w:val="5"/>
        <w:rPr>
          <w:rFonts w:ascii="Arial" w:hAnsi="Arial" w:cs="Arial"/>
          <w:b/>
          <w:bCs/>
          <w:i w:val="0"/>
          <w:iCs w:val="0"/>
          <w:color w:val="auto"/>
          <w:sz w:val="24"/>
          <w:szCs w:val="24"/>
          <w:lang w:val="sv-SE"/>
        </w:rPr>
      </w:pPr>
      <w:r>
        <w:rPr>
          <w:rFonts w:ascii="Arial" w:hAnsi="Arial" w:cs="Arial"/>
          <w:b/>
          <w:bCs/>
          <w:i w:val="0"/>
          <w:iCs w:val="0"/>
          <w:color w:val="auto"/>
          <w:sz w:val="24"/>
          <w:szCs w:val="24"/>
          <w:lang w:val="sv-SE"/>
        </w:rPr>
        <w:t>6.4.1.4 Scenario 4: 4GHz TN UL interfering ATG UL</w:t>
      </w:r>
    </w:p>
    <w:p>
      <w:pPr>
        <w:rPr>
          <w:rFonts w:cs="Arial"/>
          <w:lang w:val="sv-SE"/>
        </w:rPr>
      </w:pPr>
    </w:p>
    <w:p>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pPr>
        <w:jc w:val="center"/>
        <w:rPr>
          <w:rFonts w:ascii="Arial" w:hAnsi="Arial" w:cs="Arial"/>
          <w:b/>
          <w:bCs/>
          <w:color w:val="auto"/>
        </w:rPr>
      </w:pPr>
      <w:r>
        <w:rPr>
          <w:rFonts w:cs="Arial"/>
          <w:b/>
          <w:bCs/>
        </w:rPr>
        <w:t>Table 6.4.1.4-1: Simulation results for Scenario 4 – 4GHz TN UL interfering ATG UL</w:t>
      </w:r>
    </w:p>
    <w:tbl>
      <w:tblPr>
        <w:tblStyle w:val="4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1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83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rPr>
            </w:pPr>
            <w:r>
              <w:rPr>
                <w:rFonts w:eastAsia="Yu Mincho" w:cs="Arial"/>
                <w:b/>
                <w:lang w:val="zh-CN" w:eastAsia="zh-CN" w:bidi="ar"/>
              </w:rPr>
              <w:t>Company</w:t>
            </w:r>
          </w:p>
        </w:tc>
        <w:tc>
          <w:tcPr>
            <w:tcW w:w="141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val="sv-SE" w:eastAsia="zh-CN" w:bidi="ar"/>
              </w:rPr>
            </w:pPr>
            <w:r>
              <w:rPr>
                <w:rFonts w:eastAsia="Yu Mincho" w:cs="Arial"/>
                <w:b/>
                <w:lang w:val="sv-SE" w:eastAsia="zh-CN" w:bidi="ar"/>
              </w:rPr>
              <w:t>ATG/ TN BS antenna model</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rPr>
            </w:pPr>
            <w:r>
              <w:rPr>
                <w:rFonts w:eastAsia="Yu Mincho" w:cs="Arial"/>
                <w:b/>
                <w:lang w:eastAsia="zh-CN"/>
              </w:rPr>
              <w:t>Performance Metric</w:t>
            </w:r>
          </w:p>
        </w:tc>
        <w:tc>
          <w:tcPr>
            <w:tcW w:w="136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ACS 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Ericsson</w:t>
            </w:r>
          </w:p>
          <w:p>
            <w:pPr>
              <w:overflowPunct w:val="0"/>
              <w:autoSpaceDE w:val="0"/>
              <w:autoSpaceDN w:val="0"/>
              <w:adjustRightInd w:val="0"/>
              <w:jc w:val="center"/>
              <w:rPr>
                <w:rFonts w:eastAsia="Yu Mincho" w:cs="Arial"/>
                <w:lang w:val="sv-SE" w:eastAsia="zh-CN"/>
              </w:rPr>
            </w:pPr>
          </w:p>
        </w:tc>
        <w:tc>
          <w:tcPr>
            <w:tcW w:w="1418"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IN" w:eastAsia="ko"/>
              </w:rPr>
            </w:pPr>
            <w:r>
              <w:rPr>
                <w:rFonts w:eastAsia="Yu Mincho" w:cs="Arial"/>
                <w:lang w:val="en-IN" w:eastAsia="ko"/>
              </w:rPr>
              <w:t>0.34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ZTE</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CMCC</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Qualcomm</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Huawei</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CATT</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bl>
    <w:p>
      <w:pPr>
        <w:rPr>
          <w:rFonts w:cs="Arial"/>
        </w:rPr>
      </w:pPr>
    </w:p>
    <w:p>
      <w:pPr>
        <w:rPr>
          <w:rFonts w:cs="Arial"/>
        </w:rPr>
      </w:pPr>
    </w:p>
    <w:p>
      <w:pPr>
        <w:pStyle w:val="6"/>
        <w:rPr>
          <w:rFonts w:ascii="Arial" w:hAnsi="Arial" w:cs="Arial"/>
          <w:b/>
          <w:bCs/>
          <w:color w:val="auto"/>
        </w:rPr>
      </w:pPr>
      <w:r>
        <w:rPr>
          <w:rFonts w:hint="eastAsia" w:ascii="Arial" w:hAnsi="Arial" w:eastAsia="宋体" w:cs="Arial"/>
          <w:b/>
          <w:bCs/>
          <w:color w:val="auto"/>
          <w:lang w:val="en-US" w:eastAsia="zh-CN"/>
        </w:rPr>
        <w:t xml:space="preserve">6.4.1.4.1 </w:t>
      </w:r>
      <w:r>
        <w:rPr>
          <w:rFonts w:ascii="Arial" w:hAnsi="Arial" w:cs="Arial"/>
          <w:b/>
          <w:bCs/>
          <w:color w:val="auto"/>
        </w:rPr>
        <w:t>Non-Subarray model</w:t>
      </w:r>
    </w:p>
    <w:p>
      <w:pPr>
        <w:rPr>
          <w:rFonts w:cs="Arial"/>
        </w:rPr>
      </w:pPr>
    </w:p>
    <w:p>
      <w:pPr>
        <w:rPr>
          <w:rFonts w:cs="Arial"/>
        </w:rPr>
      </w:pPr>
      <w:r>
        <w:rPr>
          <w:rFonts w:cs="Arial"/>
        </w:rPr>
        <w:drawing>
          <wp:inline distT="0" distB="0" distL="0" distR="0">
            <wp:extent cx="6120765" cy="2899410"/>
            <wp:effectExtent l="4445" t="4445" r="8890" b="171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pPr>
        <w:pStyle w:val="28"/>
        <w:jc w:val="center"/>
        <w:rPr>
          <w:rFonts w:cs="Arial"/>
          <w:color w:val="auto"/>
        </w:rPr>
      </w:pPr>
      <w:r>
        <w:rPr>
          <w:rFonts w:cs="Arial"/>
          <w:color w:val="auto"/>
        </w:rPr>
        <w:t>Figure 6.4.1.4-1: Simulation results for Throughput Loss - 5% of users in the whole network</w:t>
      </w:r>
    </w:p>
    <w:p>
      <w:pPr>
        <w:rPr>
          <w:rFonts w:cs="Arial"/>
        </w:rPr>
      </w:pPr>
    </w:p>
    <w:p>
      <w:pPr>
        <w:rPr>
          <w:rFonts w:cs="Arial"/>
        </w:rPr>
      </w:pPr>
    </w:p>
    <w:p>
      <w:pPr>
        <w:rPr>
          <w:rFonts w:cs="Arial"/>
        </w:rPr>
      </w:pPr>
      <w:r>
        <w:rPr>
          <w:rFonts w:cs="Arial"/>
        </w:rPr>
        <w:drawing>
          <wp:inline distT="0" distB="0" distL="0" distR="0">
            <wp:extent cx="6120765" cy="2884805"/>
            <wp:effectExtent l="4445" t="4445" r="8890" b="63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pPr>
        <w:pStyle w:val="28"/>
        <w:jc w:val="center"/>
        <w:rPr>
          <w:rFonts w:cs="Arial"/>
          <w:color w:val="auto"/>
        </w:rPr>
      </w:pPr>
      <w:r>
        <w:rPr>
          <w:rFonts w:cs="Arial"/>
          <w:color w:val="auto"/>
        </w:rPr>
        <w:t>Figure 6.4.1.4-2: Simulation results for Throughput Loss – Average of all users in the whole network</w:t>
      </w:r>
    </w:p>
    <w:p>
      <w:pPr>
        <w:rPr>
          <w:rFonts w:cs="Arial"/>
        </w:rPr>
      </w:pPr>
    </w:p>
    <w:p>
      <w:pPr>
        <w:rPr>
          <w:rFonts w:cs="Arial"/>
        </w:rPr>
      </w:pPr>
    </w:p>
    <w:p>
      <w:pPr>
        <w:pStyle w:val="6"/>
        <w:rPr>
          <w:rFonts w:cs="Arial"/>
          <w:b/>
          <w:bCs/>
        </w:rPr>
      </w:pPr>
      <w:r>
        <w:rPr>
          <w:rFonts w:hint="eastAsia" w:ascii="Arial" w:hAnsi="Arial" w:eastAsia="宋体" w:cs="Arial"/>
          <w:b/>
          <w:bCs/>
          <w:color w:val="auto"/>
          <w:lang w:val="en-US" w:eastAsia="zh-CN"/>
        </w:rPr>
        <w:t xml:space="preserve">6.4.1.4.2 </w:t>
      </w:r>
      <w:r>
        <w:rPr>
          <w:rFonts w:ascii="Arial" w:hAnsi="Arial" w:cs="Arial"/>
          <w:b/>
          <w:bCs/>
          <w:color w:val="auto"/>
        </w:rPr>
        <w:t>Subarray model</w:t>
      </w:r>
    </w:p>
    <w:p>
      <w:pPr>
        <w:rPr>
          <w:rFonts w:cs="Arial"/>
        </w:rPr>
      </w:pPr>
    </w:p>
    <w:p>
      <w:pPr>
        <w:rPr>
          <w:rFonts w:cs="Arial"/>
        </w:rPr>
      </w:pPr>
      <w:r>
        <w:rPr>
          <w:rFonts w:cs="Arial"/>
        </w:rPr>
        <w:drawing>
          <wp:inline distT="0" distB="0" distL="0" distR="0">
            <wp:extent cx="6120765" cy="2926080"/>
            <wp:effectExtent l="4445" t="4445" r="8890" b="158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pPr>
        <w:pStyle w:val="28"/>
        <w:jc w:val="center"/>
        <w:rPr>
          <w:rFonts w:cs="Arial"/>
          <w:color w:val="auto"/>
        </w:rPr>
      </w:pPr>
      <w:r>
        <w:rPr>
          <w:rFonts w:cs="Arial"/>
          <w:color w:val="auto"/>
        </w:rPr>
        <w:t>Figure 6.4.1.4-3: Simulation results for Throughput Loss - 5% of users in the whole network</w:t>
      </w:r>
    </w:p>
    <w:p>
      <w:pPr>
        <w:rPr>
          <w:rFonts w:cs="Arial"/>
        </w:rPr>
      </w:pPr>
    </w:p>
    <w:p>
      <w:pPr>
        <w:rPr>
          <w:rFonts w:cs="Arial"/>
        </w:rPr>
      </w:pPr>
      <w:r>
        <w:rPr>
          <w:rFonts w:cs="Arial"/>
        </w:rPr>
        <w:drawing>
          <wp:inline distT="0" distB="0" distL="0" distR="0">
            <wp:extent cx="6120765" cy="3030855"/>
            <wp:effectExtent l="4445" t="4445" r="8890"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pPr>
        <w:pStyle w:val="28"/>
        <w:jc w:val="center"/>
        <w:rPr>
          <w:rFonts w:cs="Arial"/>
          <w:color w:val="auto"/>
        </w:rPr>
      </w:pPr>
      <w:r>
        <w:rPr>
          <w:rFonts w:cs="Arial"/>
          <w:color w:val="auto"/>
        </w:rPr>
        <w:t>Figure 6.4.1.4-4: Simulation results for Throughput Loss – Average of all users in the whole network</w:t>
      </w:r>
    </w:p>
    <w:p>
      <w:pPr>
        <w:rPr>
          <w:rFonts w:cs="Arial"/>
        </w:rPr>
      </w:pPr>
    </w:p>
    <w:p>
      <w:pPr>
        <w:rPr>
          <w:rFonts w:cs="Arial"/>
        </w:rPr>
      </w:pPr>
    </w:p>
    <w:p>
      <w:pPr>
        <w:pStyle w:val="5"/>
        <w:rPr>
          <w:rFonts w:ascii="Arial" w:hAnsi="Arial" w:cs="Arial"/>
          <w:b/>
          <w:bCs/>
          <w:i w:val="0"/>
          <w:iCs w:val="0"/>
          <w:color w:val="auto"/>
          <w:sz w:val="24"/>
          <w:szCs w:val="24"/>
          <w:lang w:val="sv-SE"/>
        </w:rPr>
      </w:pPr>
      <w:r>
        <w:rPr>
          <w:rFonts w:ascii="Arial" w:hAnsi="Arial" w:cs="Arial"/>
          <w:b/>
          <w:bCs/>
          <w:i w:val="0"/>
          <w:iCs w:val="0"/>
          <w:color w:val="auto"/>
          <w:sz w:val="24"/>
          <w:szCs w:val="24"/>
          <w:lang w:val="sv-SE"/>
        </w:rPr>
        <w:t>6.4.1.5 Scenario 9: 2GHz ATG DL interfering TN DL</w:t>
      </w:r>
    </w:p>
    <w:p>
      <w:pPr>
        <w:rPr>
          <w:rFonts w:cs="Arial"/>
          <w:lang w:val="sv-SE"/>
        </w:rPr>
      </w:pPr>
    </w:p>
    <w:p>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pPr>
        <w:rPr>
          <w:rFonts w:cs="Arial"/>
        </w:rPr>
      </w:pPr>
    </w:p>
    <w:p>
      <w:pPr>
        <w:jc w:val="center"/>
        <w:rPr>
          <w:rFonts w:ascii="Arial" w:hAnsi="Arial" w:cs="Arial"/>
          <w:b/>
          <w:bCs/>
          <w:color w:val="auto"/>
        </w:rPr>
      </w:pPr>
      <w:r>
        <w:rPr>
          <w:rFonts w:cs="Arial"/>
          <w:b/>
          <w:bCs/>
        </w:rPr>
        <w:t>Table 6.4.1.5-1: Simulation results for Scenario 9 – 2GHz ATG DL interfering TN DL</w:t>
      </w:r>
    </w:p>
    <w:tbl>
      <w:tblPr>
        <w:tblStyle w:val="4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1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83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rPr>
            </w:pPr>
            <w:r>
              <w:rPr>
                <w:rFonts w:eastAsia="Yu Mincho" w:cs="Arial"/>
                <w:b/>
                <w:lang w:val="zh-CN" w:eastAsia="zh-CN" w:bidi="ar"/>
              </w:rPr>
              <w:t>Company</w:t>
            </w:r>
          </w:p>
        </w:tc>
        <w:tc>
          <w:tcPr>
            <w:tcW w:w="141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val="sv-SE" w:eastAsia="zh-CN" w:bidi="ar"/>
              </w:rPr>
            </w:pPr>
            <w:r>
              <w:rPr>
                <w:rFonts w:eastAsia="Yu Mincho" w:cs="Arial"/>
                <w:b/>
                <w:lang w:val="sv-SE" w:eastAsia="zh-CN" w:bidi="ar"/>
              </w:rPr>
              <w:t>ATG/ TN BS antenna model</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rPr>
            </w:pPr>
            <w:r>
              <w:rPr>
                <w:rFonts w:eastAsia="Yu Mincho" w:cs="Arial"/>
                <w:b/>
                <w:lang w:eastAsia="zh-CN"/>
              </w:rPr>
              <w:t>Performance Metric</w:t>
            </w:r>
          </w:p>
        </w:tc>
        <w:tc>
          <w:tcPr>
            <w:tcW w:w="136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ACLR 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Ericsson</w:t>
            </w:r>
          </w:p>
          <w:p>
            <w:pPr>
              <w:overflowPunct w:val="0"/>
              <w:autoSpaceDE w:val="0"/>
              <w:autoSpaceDN w:val="0"/>
              <w:adjustRightInd w:val="0"/>
              <w:jc w:val="center"/>
              <w:rPr>
                <w:rFonts w:eastAsia="Yu Mincho" w:cs="Arial"/>
                <w:lang w:val="sv-SE" w:eastAsia="zh-CN"/>
              </w:rPr>
            </w:pPr>
          </w:p>
        </w:tc>
        <w:tc>
          <w:tcPr>
            <w:tcW w:w="1418"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IN" w:eastAsia="ko"/>
              </w:rPr>
            </w:pPr>
            <w:r>
              <w:rPr>
                <w:rFonts w:eastAsia="Yu Mincho" w:cs="Arial"/>
                <w:lang w:val="en-IN" w:eastAsia="ko"/>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5.38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ZTE</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CMCC</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Qualcomm</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Huawei</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CATT</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bottom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bl>
    <w:p>
      <w:pPr>
        <w:rPr>
          <w:rFonts w:cs="Arial"/>
        </w:rPr>
      </w:pPr>
    </w:p>
    <w:p>
      <w:pPr>
        <w:pStyle w:val="6"/>
        <w:rPr>
          <w:rFonts w:ascii="Arial" w:hAnsi="Arial" w:cs="Arial"/>
          <w:b/>
          <w:bCs/>
          <w:color w:val="auto"/>
        </w:rPr>
      </w:pPr>
      <w:r>
        <w:rPr>
          <w:rFonts w:hint="eastAsia" w:ascii="Arial" w:hAnsi="Arial" w:eastAsia="宋体" w:cs="Arial"/>
          <w:b/>
          <w:bCs/>
          <w:color w:val="auto"/>
          <w:lang w:val="en-US" w:eastAsia="zh-CN"/>
        </w:rPr>
        <w:t xml:space="preserve">6.4.1.5.1 </w:t>
      </w:r>
      <w:r>
        <w:rPr>
          <w:rFonts w:ascii="Arial" w:hAnsi="Arial" w:cs="Arial"/>
          <w:b/>
          <w:bCs/>
          <w:color w:val="auto"/>
        </w:rPr>
        <w:t>Non-Subarray model</w:t>
      </w:r>
    </w:p>
    <w:p>
      <w:pPr>
        <w:rPr>
          <w:rFonts w:cs="Arial"/>
        </w:rPr>
      </w:pPr>
    </w:p>
    <w:p>
      <w:pPr>
        <w:rPr>
          <w:rFonts w:cs="Arial"/>
        </w:rPr>
      </w:pPr>
    </w:p>
    <w:p>
      <w:pPr>
        <w:rPr>
          <w:rFonts w:cs="Arial"/>
        </w:rPr>
      </w:pPr>
      <w:r>
        <w:rPr>
          <w:rFonts w:cs="Arial"/>
        </w:rPr>
        <w:drawing>
          <wp:inline distT="0" distB="0" distL="0" distR="0">
            <wp:extent cx="6120765" cy="2854960"/>
            <wp:effectExtent l="4445" t="4445" r="8890" b="1079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pPr>
        <w:pStyle w:val="28"/>
        <w:jc w:val="center"/>
        <w:rPr>
          <w:rFonts w:cs="Arial"/>
          <w:color w:val="auto"/>
        </w:rPr>
      </w:pPr>
      <w:r>
        <w:rPr>
          <w:rFonts w:cs="Arial"/>
          <w:color w:val="auto"/>
        </w:rPr>
        <w:t>Figure 6.4.1.5-1: Simulation results for Throughput Loss - 5% of users in the whole network</w:t>
      </w:r>
    </w:p>
    <w:p>
      <w:pPr>
        <w:rPr>
          <w:rFonts w:cs="Arial"/>
        </w:rPr>
      </w:pPr>
    </w:p>
    <w:p>
      <w:pPr>
        <w:rPr>
          <w:rFonts w:cs="Arial"/>
        </w:rPr>
      </w:pPr>
    </w:p>
    <w:p>
      <w:pPr>
        <w:rPr>
          <w:rFonts w:cs="Arial"/>
        </w:rPr>
      </w:pPr>
      <w:r>
        <w:rPr>
          <w:rFonts w:cs="Arial"/>
        </w:rPr>
        <w:drawing>
          <wp:inline distT="0" distB="0" distL="0" distR="0">
            <wp:extent cx="6120765" cy="2839720"/>
            <wp:effectExtent l="4445" t="4445" r="8890" b="1333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pPr>
        <w:pStyle w:val="28"/>
        <w:jc w:val="center"/>
        <w:rPr>
          <w:rFonts w:cs="Arial"/>
          <w:color w:val="auto"/>
        </w:rPr>
      </w:pPr>
      <w:r>
        <w:rPr>
          <w:rFonts w:cs="Arial"/>
          <w:color w:val="auto"/>
        </w:rPr>
        <w:t>Figure 6.4.1.5-2: Simulation results for Throughput Loss – Average of all users in the whole network</w:t>
      </w:r>
    </w:p>
    <w:p>
      <w:pPr>
        <w:rPr>
          <w:rFonts w:cs="Arial"/>
        </w:rPr>
      </w:pPr>
    </w:p>
    <w:p>
      <w:pPr>
        <w:rPr>
          <w:rFonts w:cs="Arial"/>
        </w:rPr>
      </w:pPr>
      <w:r>
        <w:rPr>
          <w:rFonts w:cs="Arial"/>
        </w:rPr>
        <w:drawing>
          <wp:inline distT="0" distB="0" distL="0" distR="0">
            <wp:extent cx="6120765" cy="2878455"/>
            <wp:effectExtent l="4445" t="4445" r="8890" b="1270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pPr>
        <w:pStyle w:val="28"/>
        <w:jc w:val="center"/>
        <w:rPr>
          <w:rFonts w:cs="Arial"/>
          <w:color w:val="auto"/>
        </w:rPr>
      </w:pPr>
      <w:r>
        <w:rPr>
          <w:rFonts w:cs="Arial"/>
          <w:color w:val="auto"/>
        </w:rPr>
        <w:t>Figure 6.4.1.5-3: Simulation results for Throughput Loss – 5% of users within cell of largest throughput loss of victim network</w:t>
      </w:r>
    </w:p>
    <w:p>
      <w:pPr>
        <w:rPr>
          <w:rFonts w:cs="Arial"/>
        </w:rPr>
      </w:pPr>
    </w:p>
    <w:p>
      <w:pPr>
        <w:rPr>
          <w:rFonts w:cs="Arial"/>
        </w:rPr>
      </w:pPr>
    </w:p>
    <w:p>
      <w:pPr>
        <w:rPr>
          <w:rFonts w:cs="Arial"/>
        </w:rPr>
      </w:pPr>
      <w:r>
        <w:rPr>
          <w:rFonts w:cs="Arial"/>
        </w:rPr>
        <w:drawing>
          <wp:inline distT="0" distB="0" distL="0" distR="0">
            <wp:extent cx="6120765" cy="2855595"/>
            <wp:effectExtent l="4445" t="4445" r="8890"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pPr>
        <w:pStyle w:val="28"/>
        <w:jc w:val="center"/>
        <w:rPr>
          <w:rFonts w:cs="Arial"/>
          <w:color w:val="auto"/>
        </w:rPr>
      </w:pPr>
      <w:r>
        <w:rPr>
          <w:rFonts w:cs="Arial"/>
          <w:color w:val="auto"/>
        </w:rPr>
        <w:t>Figure 6.4.1.5-4: Simulation results for Throughput Loss – Average of all users within cell of largest throughput loss of victim network</w:t>
      </w:r>
    </w:p>
    <w:p>
      <w:pPr>
        <w:rPr>
          <w:rFonts w:cs="Arial"/>
        </w:rPr>
      </w:pPr>
    </w:p>
    <w:p>
      <w:pPr>
        <w:rPr>
          <w:rFonts w:cs="Arial"/>
        </w:rPr>
      </w:pPr>
    </w:p>
    <w:p>
      <w:pPr>
        <w:pStyle w:val="6"/>
        <w:rPr>
          <w:rFonts w:cs="Arial"/>
          <w:b/>
          <w:bCs/>
        </w:rPr>
      </w:pPr>
      <w:r>
        <w:rPr>
          <w:rFonts w:hint="eastAsia" w:ascii="Arial" w:hAnsi="Arial" w:eastAsia="宋体" w:cs="Arial"/>
          <w:b/>
          <w:bCs/>
          <w:color w:val="auto"/>
          <w:lang w:val="en-US" w:eastAsia="zh-CN"/>
        </w:rPr>
        <w:t xml:space="preserve">6.4.1.5.2 </w:t>
      </w:r>
      <w:r>
        <w:rPr>
          <w:rFonts w:ascii="Arial" w:hAnsi="Arial" w:cs="Arial"/>
          <w:b/>
          <w:bCs/>
          <w:color w:val="auto"/>
        </w:rPr>
        <w:t>Subarray model</w:t>
      </w:r>
    </w:p>
    <w:p>
      <w:pPr>
        <w:rPr>
          <w:rFonts w:cs="Arial"/>
        </w:rPr>
      </w:pPr>
    </w:p>
    <w:p>
      <w:pPr>
        <w:rPr>
          <w:rFonts w:cs="Arial"/>
        </w:rPr>
      </w:pPr>
    </w:p>
    <w:p>
      <w:pPr>
        <w:rPr>
          <w:rFonts w:cs="Arial"/>
        </w:rPr>
      </w:pPr>
      <w:r>
        <w:rPr>
          <w:rFonts w:cs="Arial"/>
        </w:rPr>
        <w:drawing>
          <wp:inline distT="0" distB="0" distL="0" distR="0">
            <wp:extent cx="6120765" cy="2880360"/>
            <wp:effectExtent l="4445" t="4445" r="8890" b="1079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pPr>
        <w:pStyle w:val="28"/>
        <w:jc w:val="center"/>
        <w:rPr>
          <w:rFonts w:cs="Arial"/>
          <w:color w:val="auto"/>
        </w:rPr>
      </w:pPr>
      <w:r>
        <w:rPr>
          <w:rFonts w:cs="Arial"/>
          <w:color w:val="auto"/>
        </w:rPr>
        <w:t>Figure 6.4.1.5-5: Simulation results for Throughput Loss - 5% of users in the whole network</w:t>
      </w:r>
    </w:p>
    <w:p>
      <w:pPr>
        <w:rPr>
          <w:rFonts w:cs="Arial"/>
        </w:rPr>
      </w:pPr>
    </w:p>
    <w:p>
      <w:pPr>
        <w:rPr>
          <w:rFonts w:cs="Arial"/>
        </w:rPr>
      </w:pPr>
    </w:p>
    <w:p>
      <w:pPr>
        <w:rPr>
          <w:rFonts w:cs="Arial"/>
        </w:rPr>
      </w:pPr>
      <w:r>
        <w:rPr>
          <w:rFonts w:cs="Arial"/>
        </w:rPr>
        <w:drawing>
          <wp:inline distT="0" distB="0" distL="0" distR="0">
            <wp:extent cx="6120765" cy="2980690"/>
            <wp:effectExtent l="5080" t="4445" r="825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pPr>
        <w:pStyle w:val="28"/>
        <w:jc w:val="center"/>
        <w:rPr>
          <w:rFonts w:cs="Arial"/>
          <w:color w:val="auto"/>
        </w:rPr>
      </w:pPr>
      <w:r>
        <w:rPr>
          <w:rFonts w:cs="Arial"/>
          <w:color w:val="auto"/>
        </w:rPr>
        <w:t>Figure 6.4.1.5-6: Simulation results for Throughput Loss – Average of all users in the whole network</w:t>
      </w:r>
    </w:p>
    <w:p>
      <w:pPr>
        <w:rPr>
          <w:rFonts w:cs="Arial"/>
        </w:rPr>
      </w:pPr>
    </w:p>
    <w:p>
      <w:pPr>
        <w:rPr>
          <w:rFonts w:cs="Arial"/>
        </w:rPr>
      </w:pPr>
    </w:p>
    <w:p>
      <w:pPr>
        <w:rPr>
          <w:rFonts w:cs="Arial"/>
        </w:rPr>
      </w:pPr>
      <w:r>
        <w:rPr>
          <w:rFonts w:cs="Arial"/>
        </w:rPr>
        <w:drawing>
          <wp:inline distT="0" distB="0" distL="0" distR="0">
            <wp:extent cx="6120765" cy="2891790"/>
            <wp:effectExtent l="4445" t="4445" r="8890" b="120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pPr>
        <w:pStyle w:val="28"/>
        <w:jc w:val="center"/>
        <w:rPr>
          <w:rFonts w:cs="Arial"/>
          <w:color w:val="auto"/>
        </w:rPr>
      </w:pPr>
      <w:r>
        <w:rPr>
          <w:rFonts w:cs="Arial"/>
          <w:color w:val="auto"/>
        </w:rPr>
        <w:t>Figure 6.4.1.5-7: Simulation results for Throughput Loss – 5% of users within cell of largest throughput loss of victim network</w:t>
      </w:r>
    </w:p>
    <w:p>
      <w:pPr>
        <w:rPr>
          <w:rFonts w:cs="Arial"/>
        </w:rPr>
      </w:pPr>
    </w:p>
    <w:p>
      <w:pPr>
        <w:rPr>
          <w:rFonts w:cs="Arial"/>
        </w:rPr>
      </w:pPr>
    </w:p>
    <w:p>
      <w:pPr>
        <w:rPr>
          <w:rFonts w:cs="Arial"/>
        </w:rPr>
      </w:pPr>
      <w:r>
        <w:rPr>
          <w:rFonts w:cs="Arial"/>
        </w:rPr>
        <w:drawing>
          <wp:inline distT="0" distB="0" distL="0" distR="0">
            <wp:extent cx="6120765" cy="2850515"/>
            <wp:effectExtent l="4445" t="4445" r="8890" b="152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pPr>
        <w:pStyle w:val="28"/>
        <w:jc w:val="center"/>
        <w:rPr>
          <w:rFonts w:cs="Arial"/>
          <w:color w:val="auto"/>
        </w:rPr>
      </w:pPr>
      <w:r>
        <w:rPr>
          <w:rFonts w:cs="Arial"/>
          <w:color w:val="auto"/>
        </w:rPr>
        <w:t>Figure 6.4.1.5-8: Simulation results for Throughput Loss – Average of all users within cell of largest throughput loss of victim network</w:t>
      </w:r>
    </w:p>
    <w:p>
      <w:pPr>
        <w:rPr>
          <w:rFonts w:cs="Arial"/>
        </w:rPr>
      </w:pPr>
    </w:p>
    <w:p>
      <w:pPr>
        <w:rPr>
          <w:rFonts w:cs="Arial"/>
        </w:rPr>
      </w:pPr>
    </w:p>
    <w:p>
      <w:pPr>
        <w:pStyle w:val="5"/>
        <w:rPr>
          <w:rFonts w:ascii="Arial" w:hAnsi="Arial" w:cs="Arial"/>
          <w:b/>
          <w:bCs/>
          <w:i w:val="0"/>
          <w:iCs w:val="0"/>
          <w:color w:val="auto"/>
          <w:sz w:val="24"/>
          <w:szCs w:val="24"/>
          <w:lang w:val="sv-SE"/>
        </w:rPr>
      </w:pPr>
      <w:r>
        <w:rPr>
          <w:rFonts w:ascii="Arial" w:hAnsi="Arial" w:cs="Arial"/>
          <w:b/>
          <w:bCs/>
          <w:i w:val="0"/>
          <w:iCs w:val="0"/>
          <w:color w:val="auto"/>
          <w:sz w:val="24"/>
          <w:szCs w:val="24"/>
          <w:lang w:val="sv-SE"/>
        </w:rPr>
        <w:t>6.4.1.6 Scenario 10: 2GHz ATG UL interfering TN UL</w:t>
      </w:r>
    </w:p>
    <w:p>
      <w:pPr>
        <w:rPr>
          <w:rFonts w:cs="Arial"/>
          <w:lang w:val="sv-SE"/>
        </w:rPr>
      </w:pPr>
    </w:p>
    <w:p>
      <w:pPr>
        <w:rPr>
          <w:rFonts w:cs="Arial"/>
        </w:rPr>
      </w:pPr>
      <w:r>
        <w:rPr>
          <w:rFonts w:cs="Arial"/>
        </w:rPr>
        <w:t>This scenario captures the co-existence results after evaluation from all possible options. Here ATG UL with both AAS subarray and non-subarray model is interfering TN UL deployed in rural macro environment.</w:t>
      </w:r>
    </w:p>
    <w:p>
      <w:pPr>
        <w:rPr>
          <w:rFonts w:cs="Arial"/>
        </w:rPr>
      </w:pPr>
    </w:p>
    <w:p>
      <w:pPr>
        <w:jc w:val="center"/>
        <w:rPr>
          <w:rFonts w:ascii="Arial" w:hAnsi="Arial" w:cs="Arial"/>
          <w:b/>
          <w:bCs/>
          <w:color w:val="auto"/>
        </w:rPr>
      </w:pPr>
      <w:r>
        <w:rPr>
          <w:rFonts w:cs="Arial"/>
          <w:b/>
          <w:bCs/>
        </w:rPr>
        <w:t>Table 6.4.1.6-1: Simulation results for Scenario 10 – 2GHz ATG UL interfering TN UL</w:t>
      </w:r>
    </w:p>
    <w:tbl>
      <w:tblPr>
        <w:tblStyle w:val="49"/>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559"/>
        <w:gridCol w:w="3969"/>
        <w:gridCol w:w="1134"/>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13"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rPr>
            </w:pPr>
            <w:r>
              <w:rPr>
                <w:rFonts w:eastAsia="Yu Mincho" w:cs="Arial"/>
                <w:b/>
                <w:lang w:val="zh-CN" w:eastAsia="zh-CN" w:bidi="ar"/>
              </w:rPr>
              <w:t>Company</w:t>
            </w:r>
          </w:p>
        </w:tc>
        <w:tc>
          <w:tcPr>
            <w:tcW w:w="1559"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val="sv-SE" w:eastAsia="zh-CN" w:bidi="ar"/>
              </w:rPr>
            </w:pPr>
            <w:r>
              <w:rPr>
                <w:rFonts w:eastAsia="Yu Mincho" w:cs="Arial"/>
                <w:b/>
                <w:lang w:val="sv-SE" w:eastAsia="zh-CN" w:bidi="ar"/>
              </w:rPr>
              <w:t>ATG/ TN BS antenna model</w:t>
            </w:r>
          </w:p>
        </w:tc>
        <w:tc>
          <w:tcPr>
            <w:tcW w:w="3969"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rPr>
            </w:pPr>
            <w:r>
              <w:rPr>
                <w:rFonts w:eastAsia="Yu Mincho" w:cs="Arial"/>
                <w:b/>
                <w:lang w:eastAsia="zh-CN"/>
              </w:rPr>
              <w:t>Performance Metric</w:t>
            </w:r>
          </w:p>
        </w:tc>
        <w:tc>
          <w:tcPr>
            <w:tcW w:w="2552" w:type="dxa"/>
            <w:gridSpan w:val="2"/>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UE ACLR 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eastAsia="zh-CN" w:bidi="ar"/>
              </w:rPr>
            </w:pPr>
          </w:p>
        </w:tc>
        <w:tc>
          <w:tcPr>
            <w:tcW w:w="3969"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2552" w:type="dxa"/>
            <w:gridSpan w:val="2"/>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1413" w:type="dxa"/>
            <w:vMerge w:val="continue"/>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559" w:type="dxa"/>
            <w:vMerge w:val="continue"/>
            <w:tcBorders>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eastAsia="zh-CN" w:bidi="ar"/>
              </w:rPr>
            </w:pPr>
          </w:p>
        </w:tc>
        <w:tc>
          <w:tcPr>
            <w:tcW w:w="3969" w:type="dxa"/>
            <w:vMerge w:val="continue"/>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134"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100 km</w:t>
            </w:r>
          </w:p>
        </w:tc>
        <w:tc>
          <w:tcPr>
            <w:tcW w:w="1418"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Ericsson</w:t>
            </w:r>
          </w:p>
          <w:p>
            <w:pPr>
              <w:overflowPunct w:val="0"/>
              <w:autoSpaceDE w:val="0"/>
              <w:autoSpaceDN w:val="0"/>
              <w:adjustRightInd w:val="0"/>
              <w:jc w:val="center"/>
              <w:rPr>
                <w:rFonts w:eastAsia="Yu Mincho" w:cs="Arial"/>
                <w:lang w:val="sv-SE" w:eastAsia="zh-CN"/>
              </w:rPr>
            </w:pPr>
          </w:p>
        </w:tc>
        <w:tc>
          <w:tcPr>
            <w:tcW w:w="1559"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0.02</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IN" w:eastAsia="ko"/>
              </w:rPr>
            </w:pPr>
            <w:r>
              <w:rPr>
                <w:rFonts w:eastAsia="Yu Mincho" w:cs="Arial"/>
                <w:lang w:val="en-IN" w:eastAsia="ko"/>
              </w:rPr>
              <w:t>0.04</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IN" w:eastAsia="ko"/>
              </w:rPr>
            </w:pPr>
            <w:r>
              <w:rPr>
                <w:rFonts w:eastAsia="Yu Mincho" w:cs="Arial"/>
                <w:lang w:val="en-IN" w:eastAsia="ko"/>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1.00</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4.38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0.07</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559"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0.13</w:t>
            </w:r>
          </w:p>
        </w:tc>
        <w:tc>
          <w:tcPr>
            <w:tcW w:w="1418"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0.02</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0.79</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3.84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0.04</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ZTE</w:t>
            </w:r>
          </w:p>
          <w:p>
            <w:pPr>
              <w:overflowPunct w:val="0"/>
              <w:autoSpaceDE w:val="0"/>
              <w:autoSpaceDN w:val="0"/>
              <w:adjustRightInd w:val="0"/>
              <w:rPr>
                <w:rFonts w:eastAsia="Yu Mincho" w:cs="Arial"/>
              </w:rPr>
            </w:pPr>
          </w:p>
        </w:tc>
        <w:tc>
          <w:tcPr>
            <w:tcW w:w="1559"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0.01</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0.003</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CMCC</w:t>
            </w:r>
          </w:p>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0.07</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0.07</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10.95</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1.60</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Qualcomm</w:t>
            </w:r>
          </w:p>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0.004</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0.001</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0.005</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0.003</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Huawei</w:t>
            </w:r>
          </w:p>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0.02</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0.03</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0.003</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CATT</w:t>
            </w:r>
          </w:p>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eastAsia="zh-CN"/>
              </w:rPr>
            </w:pPr>
          </w:p>
        </w:tc>
        <w:tc>
          <w:tcPr>
            <w:tcW w:w="1559" w:type="dxa"/>
            <w:vMerge w:val="continue"/>
            <w:tcBorders>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969" w:type="dxa"/>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418" w:type="dxa"/>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bl>
    <w:p>
      <w:pPr>
        <w:rPr>
          <w:rFonts w:cs="Arial"/>
        </w:rPr>
      </w:pPr>
    </w:p>
    <w:p>
      <w:pPr>
        <w:pStyle w:val="6"/>
        <w:rPr>
          <w:rFonts w:ascii="Arial" w:hAnsi="Arial" w:cs="Arial"/>
          <w:b/>
          <w:bCs/>
          <w:color w:val="auto"/>
        </w:rPr>
      </w:pPr>
      <w:r>
        <w:rPr>
          <w:rFonts w:hint="eastAsia" w:ascii="Arial" w:hAnsi="Arial" w:eastAsia="宋体" w:cs="Arial"/>
          <w:b/>
          <w:bCs/>
          <w:color w:val="auto"/>
          <w:lang w:val="en-US" w:eastAsia="zh-CN"/>
        </w:rPr>
        <w:t xml:space="preserve">6.4.1.6.1 </w:t>
      </w:r>
      <w:r>
        <w:rPr>
          <w:rFonts w:ascii="Arial" w:hAnsi="Arial" w:cs="Arial"/>
          <w:b/>
          <w:bCs/>
          <w:color w:val="auto"/>
        </w:rPr>
        <w:t>Non-Subarray model</w:t>
      </w:r>
    </w:p>
    <w:p>
      <w:pPr>
        <w:rPr>
          <w:rFonts w:cs="Arial"/>
        </w:rPr>
      </w:pPr>
    </w:p>
    <w:p>
      <w:pPr>
        <w:pStyle w:val="7"/>
        <w:rPr>
          <w:rFonts w:ascii="Arial" w:hAnsi="Arial" w:cs="Arial"/>
          <w:b/>
          <w:bCs/>
          <w:color w:val="auto"/>
        </w:rPr>
      </w:pPr>
      <w:r>
        <w:rPr>
          <w:rFonts w:ascii="Arial" w:hAnsi="Arial" w:cs="Arial"/>
          <w:b/>
          <w:bCs/>
          <w:color w:val="auto"/>
        </w:rPr>
        <w:t>Maximum distance between ATG BS and ATG UE is 100 km</w:t>
      </w:r>
    </w:p>
    <w:p>
      <w:pPr>
        <w:rPr>
          <w:rFonts w:cs="Arial"/>
        </w:rPr>
      </w:pPr>
    </w:p>
    <w:p>
      <w:pPr>
        <w:keepNext/>
        <w:rPr>
          <w:rFonts w:cs="Arial"/>
        </w:rPr>
      </w:pPr>
      <w:r>
        <w:rPr>
          <w:rFonts w:cs="Arial"/>
        </w:rPr>
        <w:drawing>
          <wp:inline distT="0" distB="0" distL="0" distR="0">
            <wp:extent cx="6120765" cy="2899410"/>
            <wp:effectExtent l="4445" t="4445" r="8890" b="1714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pPr>
        <w:pStyle w:val="28"/>
        <w:jc w:val="center"/>
        <w:rPr>
          <w:rFonts w:cs="Arial"/>
        </w:rPr>
      </w:pPr>
      <w:r>
        <w:rPr>
          <w:rFonts w:cs="Arial"/>
          <w:color w:val="auto"/>
        </w:rPr>
        <w:t>Figure 6.4.1.6-1: Simulation results for Throughput Loss - 5% of users in the whole network</w:t>
      </w:r>
    </w:p>
    <w:p>
      <w:pPr>
        <w:rPr>
          <w:rFonts w:cs="Arial"/>
        </w:rPr>
      </w:pPr>
    </w:p>
    <w:p>
      <w:pPr>
        <w:rPr>
          <w:rFonts w:cs="Arial"/>
        </w:rPr>
      </w:pPr>
      <w:r>
        <w:rPr>
          <w:rFonts w:cs="Arial"/>
        </w:rPr>
        <w:drawing>
          <wp:inline distT="0" distB="0" distL="0" distR="0">
            <wp:extent cx="6120765" cy="2884805"/>
            <wp:effectExtent l="4445" t="4445" r="8890" b="63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pPr>
        <w:pStyle w:val="28"/>
        <w:jc w:val="center"/>
        <w:rPr>
          <w:rFonts w:cs="Arial"/>
          <w:color w:val="auto"/>
        </w:rPr>
      </w:pPr>
      <w:r>
        <w:rPr>
          <w:rFonts w:cs="Arial"/>
          <w:color w:val="auto"/>
        </w:rPr>
        <w:t>Figure 6.4.1.6-2: Simulation results for Throughput Loss – Average of all users in the whole network</w:t>
      </w:r>
    </w:p>
    <w:p>
      <w:pPr>
        <w:rPr>
          <w:rFonts w:cs="Arial"/>
        </w:rPr>
      </w:pPr>
    </w:p>
    <w:p>
      <w:pPr>
        <w:rPr>
          <w:rFonts w:cs="Arial"/>
        </w:rPr>
      </w:pPr>
    </w:p>
    <w:p>
      <w:pPr>
        <w:rPr>
          <w:rFonts w:cs="Arial"/>
        </w:rPr>
      </w:pPr>
    </w:p>
    <w:p>
      <w:pPr>
        <w:rPr>
          <w:rFonts w:cs="Arial"/>
        </w:rPr>
      </w:pPr>
      <w:r>
        <w:rPr>
          <w:rFonts w:cs="Arial"/>
        </w:rPr>
        <w:drawing>
          <wp:inline distT="0" distB="0" distL="0" distR="0">
            <wp:extent cx="6120765" cy="2924175"/>
            <wp:effectExtent l="4445" t="4445" r="8890" b="508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pPr>
        <w:pStyle w:val="28"/>
        <w:jc w:val="center"/>
        <w:rPr>
          <w:rFonts w:cs="Arial"/>
          <w:color w:val="auto"/>
        </w:rPr>
      </w:pPr>
      <w:r>
        <w:rPr>
          <w:rFonts w:cs="Arial"/>
          <w:color w:val="auto"/>
        </w:rPr>
        <w:t>Figure 6.4.1.6-3: Simulation results for Throughput Loss – 5% of users within cell of largest throughput loss of victim network</w:t>
      </w:r>
    </w:p>
    <w:p>
      <w:pPr>
        <w:rPr>
          <w:rFonts w:cs="Arial"/>
        </w:rPr>
      </w:pPr>
    </w:p>
    <w:p>
      <w:pPr>
        <w:rPr>
          <w:rFonts w:cs="Arial"/>
        </w:rPr>
      </w:pPr>
      <w:r>
        <w:rPr>
          <w:rFonts w:cs="Arial"/>
        </w:rPr>
        <w:drawing>
          <wp:inline distT="0" distB="0" distL="0" distR="0">
            <wp:extent cx="6120765" cy="2901950"/>
            <wp:effectExtent l="4445" t="4445" r="8890" b="1460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pPr>
        <w:pStyle w:val="28"/>
        <w:jc w:val="center"/>
        <w:rPr>
          <w:rFonts w:cs="Arial"/>
          <w:color w:val="auto"/>
        </w:rPr>
      </w:pPr>
      <w:r>
        <w:rPr>
          <w:rFonts w:cs="Arial"/>
          <w:color w:val="auto"/>
        </w:rPr>
        <w:t>Figure 6.4.1.6-4: Simulation results for Throughput Loss – Average of all users within cell of largest throughput loss of victim network</w:t>
      </w:r>
    </w:p>
    <w:p>
      <w:pPr>
        <w:rPr>
          <w:rFonts w:cs="Arial"/>
        </w:rPr>
      </w:pPr>
    </w:p>
    <w:p>
      <w:pPr>
        <w:rPr>
          <w:rFonts w:cs="Arial"/>
        </w:rPr>
      </w:pPr>
    </w:p>
    <w:p>
      <w:pPr>
        <w:rPr>
          <w:rFonts w:cs="Arial"/>
        </w:rPr>
      </w:pPr>
    </w:p>
    <w:p>
      <w:pPr>
        <w:pStyle w:val="7"/>
        <w:rPr>
          <w:rFonts w:ascii="Arial" w:hAnsi="Arial" w:cs="Arial"/>
          <w:b/>
          <w:bCs/>
          <w:color w:val="auto"/>
        </w:rPr>
      </w:pPr>
      <w:r>
        <w:rPr>
          <w:rFonts w:ascii="Arial" w:hAnsi="Arial" w:cs="Arial"/>
          <w:b/>
          <w:bCs/>
          <w:color w:val="auto"/>
        </w:rPr>
        <w:t>Maximum distance between ATG BS and ATG UE is 300 km</w:t>
      </w:r>
    </w:p>
    <w:p>
      <w:pPr>
        <w:rPr>
          <w:rFonts w:cs="Arial"/>
        </w:rPr>
      </w:pPr>
    </w:p>
    <w:p>
      <w:pPr>
        <w:rPr>
          <w:rFonts w:cs="Arial"/>
        </w:rPr>
      </w:pPr>
      <w:r>
        <w:rPr>
          <w:rFonts w:cs="Arial"/>
        </w:rPr>
        <w:drawing>
          <wp:inline distT="0" distB="0" distL="0" distR="0">
            <wp:extent cx="6120765" cy="3020695"/>
            <wp:effectExtent l="4445" t="4445" r="8890" b="101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pPr>
        <w:pStyle w:val="28"/>
        <w:jc w:val="center"/>
        <w:rPr>
          <w:rFonts w:cs="Arial"/>
          <w:color w:val="auto"/>
        </w:rPr>
      </w:pPr>
      <w:r>
        <w:rPr>
          <w:rFonts w:cs="Arial"/>
          <w:color w:val="auto"/>
        </w:rPr>
        <w:t>Figure 6.4.1.6-5: Simulation results for Throughput Loss - 5% of users in the whole network</w:t>
      </w:r>
    </w:p>
    <w:p>
      <w:pPr>
        <w:rPr>
          <w:rFonts w:cs="Arial"/>
        </w:rPr>
      </w:pPr>
    </w:p>
    <w:p>
      <w:pPr>
        <w:rPr>
          <w:rFonts w:cs="Arial"/>
        </w:rPr>
      </w:pPr>
      <w:r>
        <w:rPr>
          <w:rFonts w:cs="Arial"/>
        </w:rPr>
        <w:drawing>
          <wp:inline distT="0" distB="0" distL="0" distR="0">
            <wp:extent cx="6120765" cy="3022600"/>
            <wp:effectExtent l="4445" t="4445" r="8890" b="825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pPr>
        <w:pStyle w:val="28"/>
        <w:jc w:val="center"/>
        <w:rPr>
          <w:rFonts w:cs="Arial"/>
          <w:color w:val="auto"/>
        </w:rPr>
      </w:pPr>
      <w:r>
        <w:rPr>
          <w:rFonts w:cs="Arial"/>
          <w:color w:val="auto"/>
        </w:rPr>
        <w:t>Figure 6.4.1.6-6: Simulation results for Throughput Loss – Average of all users in the whole network</w:t>
      </w:r>
    </w:p>
    <w:p>
      <w:pPr>
        <w:rPr>
          <w:rFonts w:cs="Arial"/>
        </w:rPr>
      </w:pPr>
    </w:p>
    <w:p>
      <w:pPr>
        <w:rPr>
          <w:rFonts w:cs="Arial"/>
        </w:rPr>
      </w:pPr>
    </w:p>
    <w:p>
      <w:pPr>
        <w:rPr>
          <w:rFonts w:cs="Arial"/>
        </w:rPr>
      </w:pPr>
    </w:p>
    <w:p>
      <w:pPr>
        <w:rPr>
          <w:rFonts w:cs="Arial"/>
        </w:rPr>
      </w:pPr>
      <w:r>
        <w:rPr>
          <w:rFonts w:cs="Arial"/>
        </w:rPr>
        <w:drawing>
          <wp:inline distT="0" distB="0" distL="0" distR="0">
            <wp:extent cx="6120765" cy="3016250"/>
            <wp:effectExtent l="4445" t="4445" r="889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pPr>
        <w:pStyle w:val="28"/>
        <w:jc w:val="center"/>
        <w:rPr>
          <w:rFonts w:cs="Arial"/>
          <w:color w:val="auto"/>
        </w:rPr>
      </w:pPr>
      <w:r>
        <w:rPr>
          <w:rFonts w:cs="Arial"/>
          <w:color w:val="auto"/>
        </w:rPr>
        <w:t>Figure 6.4.1.6-7: Simulation results for Throughput Loss – 5% of users within cell of largest throughput loss of victim network</w:t>
      </w:r>
    </w:p>
    <w:p>
      <w:pPr>
        <w:rPr>
          <w:rFonts w:cs="Arial"/>
        </w:rPr>
      </w:pPr>
    </w:p>
    <w:p>
      <w:pPr>
        <w:rPr>
          <w:rFonts w:cs="Arial"/>
        </w:rPr>
      </w:pPr>
      <w:r>
        <w:rPr>
          <w:rFonts w:cs="Arial"/>
        </w:rPr>
        <w:drawing>
          <wp:inline distT="0" distB="0" distL="0" distR="0">
            <wp:extent cx="6120765" cy="3015615"/>
            <wp:effectExtent l="4445" t="4445" r="8890" b="1524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pPr>
        <w:pStyle w:val="28"/>
        <w:jc w:val="center"/>
        <w:rPr>
          <w:rFonts w:cs="Arial"/>
          <w:color w:val="auto"/>
        </w:rPr>
      </w:pPr>
      <w:r>
        <w:rPr>
          <w:rFonts w:cs="Arial"/>
          <w:color w:val="auto"/>
        </w:rPr>
        <w:t>Figure 6.4.1.6-8: Simulation results for Throughput Loss – Average of all users within cell of largest throughput loss of victim network</w:t>
      </w:r>
    </w:p>
    <w:p>
      <w:pPr>
        <w:rPr>
          <w:rFonts w:cs="Arial"/>
        </w:rPr>
      </w:pPr>
    </w:p>
    <w:p>
      <w:pPr>
        <w:rPr>
          <w:rFonts w:cs="Arial"/>
        </w:rPr>
      </w:pPr>
    </w:p>
    <w:p>
      <w:pPr>
        <w:pStyle w:val="6"/>
        <w:rPr>
          <w:rFonts w:cs="Arial"/>
          <w:b/>
          <w:bCs/>
        </w:rPr>
      </w:pPr>
      <w:r>
        <w:rPr>
          <w:rFonts w:hint="eastAsia" w:ascii="Arial" w:hAnsi="Arial" w:eastAsia="宋体" w:cs="Arial"/>
          <w:b/>
          <w:bCs/>
          <w:color w:val="auto"/>
          <w:lang w:val="en-US" w:eastAsia="zh-CN"/>
        </w:rPr>
        <w:t xml:space="preserve">6.4.1.6.2 </w:t>
      </w:r>
      <w:r>
        <w:rPr>
          <w:rFonts w:ascii="Arial" w:hAnsi="Arial" w:cs="Arial"/>
          <w:b/>
          <w:bCs/>
          <w:color w:val="auto"/>
        </w:rPr>
        <w:t>Subarray model</w:t>
      </w:r>
    </w:p>
    <w:p>
      <w:pPr>
        <w:rPr>
          <w:rFonts w:cs="Arial"/>
        </w:rPr>
      </w:pPr>
    </w:p>
    <w:p>
      <w:pPr>
        <w:pStyle w:val="7"/>
        <w:rPr>
          <w:rFonts w:ascii="Arial" w:hAnsi="Arial" w:cs="Arial"/>
          <w:b/>
          <w:bCs/>
          <w:color w:val="auto"/>
        </w:rPr>
      </w:pPr>
      <w:r>
        <w:rPr>
          <w:rFonts w:ascii="Arial" w:hAnsi="Arial" w:cs="Arial"/>
          <w:b/>
          <w:bCs/>
          <w:color w:val="auto"/>
        </w:rPr>
        <w:t>Maximum distance between ATG BS and ATG UE is 100 km</w:t>
      </w:r>
    </w:p>
    <w:p>
      <w:pPr>
        <w:rPr>
          <w:rFonts w:cs="Arial"/>
        </w:rPr>
      </w:pPr>
    </w:p>
    <w:p>
      <w:pPr>
        <w:rPr>
          <w:rFonts w:cs="Arial"/>
        </w:rPr>
      </w:pPr>
      <w:r>
        <w:rPr>
          <w:rFonts w:cs="Arial"/>
        </w:rPr>
        <w:drawing>
          <wp:inline distT="0" distB="0" distL="0" distR="0">
            <wp:extent cx="6120765" cy="2926080"/>
            <wp:effectExtent l="4445" t="4445" r="889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pPr>
        <w:pStyle w:val="28"/>
        <w:jc w:val="center"/>
        <w:rPr>
          <w:rFonts w:cs="Arial"/>
          <w:color w:val="auto"/>
        </w:rPr>
      </w:pPr>
      <w:r>
        <w:rPr>
          <w:rFonts w:cs="Arial"/>
          <w:color w:val="auto"/>
        </w:rPr>
        <w:t>Figure 6.4.1.6-9: Simulation results for Throughput Loss - 5% of users in the whole network</w:t>
      </w:r>
    </w:p>
    <w:p>
      <w:pPr>
        <w:rPr>
          <w:rFonts w:cs="Arial"/>
        </w:rPr>
      </w:pPr>
    </w:p>
    <w:p>
      <w:pPr>
        <w:rPr>
          <w:rFonts w:cs="Arial"/>
        </w:rPr>
      </w:pPr>
      <w:r>
        <w:rPr>
          <w:rFonts w:cs="Arial"/>
        </w:rPr>
        <w:drawing>
          <wp:inline distT="0" distB="0" distL="0" distR="0">
            <wp:extent cx="6120765" cy="3030855"/>
            <wp:effectExtent l="4445" t="4445" r="8890" b="1270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pPr>
        <w:pStyle w:val="28"/>
        <w:jc w:val="center"/>
        <w:rPr>
          <w:rFonts w:cs="Arial"/>
          <w:color w:val="auto"/>
        </w:rPr>
      </w:pPr>
      <w:r>
        <w:rPr>
          <w:rFonts w:cs="Arial"/>
          <w:color w:val="auto"/>
        </w:rPr>
        <w:t>Figure 6.4.1.6-10: Simulation results for Throughput Loss – Average of all users in the whole network</w:t>
      </w:r>
    </w:p>
    <w:p>
      <w:pPr>
        <w:rPr>
          <w:rFonts w:cs="Arial"/>
        </w:rPr>
      </w:pPr>
    </w:p>
    <w:p>
      <w:pPr>
        <w:rPr>
          <w:rFonts w:cs="Arial"/>
        </w:rPr>
      </w:pPr>
    </w:p>
    <w:p>
      <w:pPr>
        <w:rPr>
          <w:rFonts w:cs="Arial"/>
        </w:rPr>
      </w:pPr>
      <w:r>
        <w:rPr>
          <w:rFonts w:cs="Arial"/>
        </w:rPr>
        <w:drawing>
          <wp:inline distT="0" distB="0" distL="0" distR="0">
            <wp:extent cx="6120765" cy="2938780"/>
            <wp:effectExtent l="4445" t="4445" r="8890" b="1587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pPr>
        <w:pStyle w:val="28"/>
        <w:jc w:val="center"/>
        <w:rPr>
          <w:rFonts w:cs="Arial"/>
          <w:color w:val="auto"/>
        </w:rPr>
      </w:pPr>
      <w:r>
        <w:rPr>
          <w:rFonts w:cs="Arial"/>
          <w:color w:val="auto"/>
        </w:rPr>
        <w:t>Figure 6.4.1.6-11: Simulation results for Throughput Loss – 5% of users within cell of largest throughput loss of victim network</w:t>
      </w:r>
    </w:p>
    <w:p>
      <w:pPr>
        <w:rPr>
          <w:rFonts w:cs="Arial"/>
        </w:rPr>
      </w:pPr>
    </w:p>
    <w:p>
      <w:pPr>
        <w:rPr>
          <w:rFonts w:cs="Arial"/>
        </w:rPr>
      </w:pPr>
      <w:r>
        <w:rPr>
          <w:rFonts w:cs="Arial"/>
        </w:rPr>
        <w:drawing>
          <wp:inline distT="0" distB="0" distL="0" distR="0">
            <wp:extent cx="6120765" cy="2896870"/>
            <wp:effectExtent l="4445" t="4445" r="8890" b="698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pPr>
        <w:pStyle w:val="28"/>
        <w:jc w:val="center"/>
        <w:rPr>
          <w:rFonts w:cs="Arial"/>
          <w:color w:val="auto"/>
        </w:rPr>
      </w:pPr>
      <w:r>
        <w:rPr>
          <w:rFonts w:cs="Arial"/>
          <w:color w:val="auto"/>
        </w:rPr>
        <w:t>Figure 6.4.1.6-12: Simulation results for Throughput Loss – Average of all users within cell of largest throughput loss of victim network</w:t>
      </w:r>
    </w:p>
    <w:p>
      <w:pPr>
        <w:rPr>
          <w:rFonts w:cs="Arial"/>
        </w:rPr>
      </w:pPr>
    </w:p>
    <w:p>
      <w:pPr>
        <w:rPr>
          <w:rFonts w:cs="Arial"/>
        </w:rPr>
      </w:pPr>
    </w:p>
    <w:p>
      <w:pPr>
        <w:pStyle w:val="7"/>
        <w:rPr>
          <w:rFonts w:ascii="Arial" w:hAnsi="Arial" w:cs="Arial"/>
          <w:b/>
          <w:bCs/>
          <w:color w:val="auto"/>
        </w:rPr>
      </w:pPr>
      <w:r>
        <w:rPr>
          <w:rFonts w:ascii="Arial" w:hAnsi="Arial" w:cs="Arial"/>
          <w:b/>
          <w:bCs/>
          <w:color w:val="auto"/>
        </w:rPr>
        <w:t>Maximum distance between ATG BS and ATG UE is 300 km</w:t>
      </w:r>
    </w:p>
    <w:p>
      <w:pPr>
        <w:rPr>
          <w:rFonts w:cs="Arial"/>
        </w:rPr>
      </w:pPr>
    </w:p>
    <w:p>
      <w:pPr>
        <w:rPr>
          <w:rFonts w:cs="Arial"/>
        </w:rPr>
      </w:pPr>
      <w:r>
        <w:rPr>
          <w:rFonts w:cs="Arial"/>
        </w:rPr>
        <w:drawing>
          <wp:inline distT="0" distB="0" distL="0" distR="0">
            <wp:extent cx="6120765" cy="3016885"/>
            <wp:effectExtent l="4445" t="4445" r="8890" b="1397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pPr>
        <w:pStyle w:val="28"/>
        <w:jc w:val="center"/>
        <w:rPr>
          <w:rFonts w:cs="Arial"/>
          <w:color w:val="auto"/>
        </w:rPr>
      </w:pPr>
      <w:r>
        <w:rPr>
          <w:rFonts w:cs="Arial"/>
          <w:color w:val="auto"/>
        </w:rPr>
        <w:t>Figure 6.4.1.6-13: Simulation results for Throughput Loss - 5% of users in the whole network</w:t>
      </w:r>
    </w:p>
    <w:p>
      <w:pPr>
        <w:rPr>
          <w:rFonts w:cs="Arial"/>
        </w:rPr>
      </w:pPr>
    </w:p>
    <w:p>
      <w:pPr>
        <w:rPr>
          <w:rFonts w:cs="Arial"/>
        </w:rPr>
      </w:pPr>
      <w:r>
        <w:rPr>
          <w:rFonts w:cs="Arial"/>
        </w:rPr>
        <w:drawing>
          <wp:inline distT="0" distB="0" distL="0" distR="0">
            <wp:extent cx="6120765" cy="3018155"/>
            <wp:effectExtent l="4445" t="4445" r="8890" b="1270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pPr>
        <w:pStyle w:val="28"/>
        <w:jc w:val="center"/>
        <w:rPr>
          <w:rFonts w:cs="Arial"/>
          <w:color w:val="auto"/>
        </w:rPr>
      </w:pPr>
      <w:r>
        <w:rPr>
          <w:rFonts w:cs="Arial"/>
          <w:color w:val="auto"/>
        </w:rPr>
        <w:t>Figure 6.4.1.6-14: Simulation results for Throughput Loss – Average of all users in the whole network</w:t>
      </w:r>
    </w:p>
    <w:p>
      <w:pPr>
        <w:rPr>
          <w:rFonts w:cs="Arial"/>
        </w:rPr>
      </w:pPr>
    </w:p>
    <w:p>
      <w:pPr>
        <w:rPr>
          <w:rFonts w:cs="Arial"/>
        </w:rPr>
      </w:pPr>
    </w:p>
    <w:p>
      <w:pPr>
        <w:rPr>
          <w:rFonts w:cs="Arial"/>
        </w:rPr>
      </w:pPr>
      <w:r>
        <w:rPr>
          <w:rFonts w:cs="Arial"/>
        </w:rPr>
        <w:drawing>
          <wp:inline distT="0" distB="0" distL="0" distR="0">
            <wp:extent cx="6120765" cy="3016885"/>
            <wp:effectExtent l="4445" t="4445" r="8890" b="1397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pPr>
        <w:pStyle w:val="28"/>
        <w:jc w:val="center"/>
        <w:rPr>
          <w:rFonts w:cs="Arial"/>
          <w:color w:val="auto"/>
        </w:rPr>
      </w:pPr>
      <w:r>
        <w:rPr>
          <w:rFonts w:cs="Arial"/>
          <w:color w:val="auto"/>
        </w:rPr>
        <w:t>Figure 6.4.1.6-15: Simulation results for Throughput Loss – 5% of users within cell of largest throughput loss of victim network</w:t>
      </w:r>
    </w:p>
    <w:p>
      <w:pPr>
        <w:rPr>
          <w:rFonts w:cs="Arial"/>
        </w:rPr>
      </w:pPr>
    </w:p>
    <w:p>
      <w:pPr>
        <w:rPr>
          <w:rFonts w:cs="Arial"/>
        </w:rPr>
      </w:pPr>
      <w:r>
        <w:rPr>
          <w:rFonts w:cs="Arial"/>
        </w:rPr>
        <w:drawing>
          <wp:inline distT="0" distB="0" distL="0" distR="0">
            <wp:extent cx="6120765" cy="3016250"/>
            <wp:effectExtent l="4445" t="4445" r="889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pPr>
        <w:pStyle w:val="28"/>
        <w:jc w:val="center"/>
        <w:rPr>
          <w:rFonts w:cs="Arial"/>
          <w:color w:val="auto"/>
        </w:rPr>
      </w:pPr>
      <w:r>
        <w:rPr>
          <w:rFonts w:cs="Arial"/>
          <w:color w:val="auto"/>
        </w:rPr>
        <w:t>Figure 6.4.1.6-16: Simulation results for Throughput Loss – Average of all users within cell of largest throughput loss of victim network</w:t>
      </w:r>
    </w:p>
    <w:p>
      <w:pPr>
        <w:rPr>
          <w:rFonts w:cs="Arial"/>
        </w:rPr>
      </w:pPr>
    </w:p>
    <w:p>
      <w:pPr>
        <w:rPr>
          <w:rFonts w:cs="Arial"/>
        </w:rPr>
      </w:pPr>
    </w:p>
    <w:p>
      <w:pPr>
        <w:rPr>
          <w:rFonts w:cs="Arial"/>
        </w:rPr>
      </w:pPr>
    </w:p>
    <w:p>
      <w:pPr>
        <w:pStyle w:val="5"/>
        <w:rPr>
          <w:rFonts w:ascii="Arial" w:hAnsi="Arial" w:cs="Arial"/>
          <w:b/>
          <w:bCs/>
          <w:i w:val="0"/>
          <w:iCs w:val="0"/>
          <w:color w:val="auto"/>
          <w:sz w:val="24"/>
          <w:szCs w:val="24"/>
          <w:lang w:val="sv-SE"/>
        </w:rPr>
      </w:pPr>
      <w:r>
        <w:rPr>
          <w:rFonts w:ascii="Arial" w:hAnsi="Arial" w:cs="Arial"/>
          <w:b/>
          <w:bCs/>
          <w:i w:val="0"/>
          <w:iCs w:val="0"/>
          <w:color w:val="auto"/>
          <w:sz w:val="24"/>
          <w:szCs w:val="24"/>
          <w:lang w:val="sv-SE"/>
        </w:rPr>
        <w:t>6.4.1.7 Scenario 11: 2GHz TN DL interfering ATG DL</w:t>
      </w:r>
    </w:p>
    <w:p>
      <w:pPr>
        <w:rPr>
          <w:rFonts w:cs="Arial"/>
          <w:lang w:val="sv-SE"/>
        </w:rPr>
      </w:pPr>
    </w:p>
    <w:p>
      <w:pPr>
        <w:rPr>
          <w:rFonts w:cs="Arial"/>
        </w:rPr>
      </w:pPr>
      <w:r>
        <w:rPr>
          <w:rFonts w:cs="Arial"/>
        </w:rPr>
        <w:t xml:space="preserve">This scenario captures the co-existence results after evaluation from all possible options. Here TN DL with both AAS subarray and non-subarray model is interfering ATG DL deployed in rural macro environment. </w:t>
      </w:r>
    </w:p>
    <w:p>
      <w:pPr>
        <w:rPr>
          <w:rFonts w:cs="Arial"/>
        </w:rPr>
      </w:pPr>
    </w:p>
    <w:p>
      <w:pPr>
        <w:jc w:val="center"/>
        <w:rPr>
          <w:rFonts w:ascii="Arial" w:hAnsi="Arial" w:cs="Arial"/>
          <w:b/>
          <w:bCs/>
          <w:color w:val="auto"/>
        </w:rPr>
      </w:pPr>
      <w:r>
        <w:rPr>
          <w:rFonts w:cs="Arial"/>
          <w:b/>
          <w:bCs/>
        </w:rPr>
        <w:t>Table 6.4.1.7-1: Simulation results for Scenario 11 – 2GHz TN DL interfering ATG DL</w:t>
      </w:r>
    </w:p>
    <w:tbl>
      <w:tblPr>
        <w:tblStyle w:val="49"/>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9"/>
        <w:gridCol w:w="1127"/>
        <w:gridCol w:w="3152"/>
        <w:gridCol w:w="1719"/>
        <w:gridCol w:w="17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1349"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rPr>
            </w:pPr>
            <w:r>
              <w:rPr>
                <w:rFonts w:eastAsia="Yu Mincho" w:cs="Arial"/>
                <w:b/>
                <w:lang w:val="zh-CN" w:eastAsia="zh-CN" w:bidi="ar"/>
              </w:rPr>
              <w:t>Company</w:t>
            </w:r>
          </w:p>
        </w:tc>
        <w:tc>
          <w:tcPr>
            <w:tcW w:w="1127"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val="sv-SE" w:eastAsia="zh-CN" w:bidi="ar"/>
              </w:rPr>
            </w:pPr>
            <w:r>
              <w:rPr>
                <w:rFonts w:eastAsia="Yu Mincho" w:cs="Arial"/>
                <w:b/>
                <w:lang w:val="sv-SE" w:eastAsia="zh-CN" w:bidi="ar"/>
              </w:rPr>
              <w:t>ATG/ TN BS antenna model</w:t>
            </w:r>
          </w:p>
        </w:tc>
        <w:tc>
          <w:tcPr>
            <w:tcW w:w="3152"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en-IN" w:eastAsia="zh-CN"/>
              </w:rPr>
            </w:pPr>
            <w:r>
              <w:rPr>
                <w:rFonts w:eastAsia="Yu Mincho" w:cs="Arial"/>
                <w:b/>
                <w:lang w:val="en-IN" w:eastAsia="zh-CN" w:bidi="ar"/>
              </w:rPr>
              <w:t>Performance Metric</w:t>
            </w:r>
          </w:p>
        </w:tc>
        <w:tc>
          <w:tcPr>
            <w:tcW w:w="3439" w:type="dxa"/>
            <w:gridSpan w:val="2"/>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rPr>
            </w:pPr>
            <w:r>
              <w:rPr>
                <w:rFonts w:eastAsia="Yu Mincho" w:cs="Arial"/>
                <w:b/>
                <w:lang w:eastAsia="zh-CN" w:bidi="ar"/>
              </w:rPr>
              <w:t>Throughput Loss (%) at ATG UE ACS 33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1349"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eastAsia="zh-CN" w:bidi="ar"/>
              </w:rPr>
            </w:pPr>
          </w:p>
        </w:tc>
        <w:tc>
          <w:tcPr>
            <w:tcW w:w="315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3439" w:type="dxa"/>
            <w:gridSpan w:val="2"/>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rPr>
        <w:tc>
          <w:tcPr>
            <w:tcW w:w="1349"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eastAsia="zh-CN" w:bidi="ar"/>
              </w:rPr>
            </w:pPr>
          </w:p>
        </w:tc>
        <w:tc>
          <w:tcPr>
            <w:tcW w:w="315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bidi="ar"/>
              </w:rPr>
            </w:pPr>
          </w:p>
        </w:tc>
        <w:tc>
          <w:tcPr>
            <w:tcW w:w="1719"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100 km</w:t>
            </w:r>
          </w:p>
        </w:tc>
        <w:tc>
          <w:tcPr>
            <w:tcW w:w="1720"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49"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Ericsson</w:t>
            </w:r>
          </w:p>
          <w:p>
            <w:pPr>
              <w:overflowPunct w:val="0"/>
              <w:autoSpaceDE w:val="0"/>
              <w:autoSpaceDN w:val="0"/>
              <w:adjustRightInd w:val="0"/>
              <w:jc w:val="center"/>
              <w:rPr>
                <w:rFonts w:eastAsia="Yu Mincho" w:cs="Arial"/>
                <w:lang w:val="sv-SE" w:eastAsia="zh-CN"/>
              </w:rPr>
            </w:pPr>
          </w:p>
        </w:tc>
        <w:tc>
          <w:tcPr>
            <w:tcW w:w="1127"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71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3.62</w:t>
            </w:r>
          </w:p>
        </w:tc>
        <w:tc>
          <w:tcPr>
            <w:tcW w:w="172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7.85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IN" w:eastAsia="ko"/>
              </w:rPr>
            </w:pPr>
            <w:r>
              <w:rPr>
                <w:rFonts w:eastAsia="Yu Mincho" w:cs="Arial"/>
                <w:lang w:val="en-IN" w:eastAsia="ko"/>
              </w:rPr>
              <w:t>2.45</w:t>
            </w:r>
          </w:p>
        </w:tc>
        <w:tc>
          <w:tcPr>
            <w:tcW w:w="172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IN" w:eastAsia="ko"/>
              </w:rPr>
            </w:pPr>
            <w:r>
              <w:rPr>
                <w:rFonts w:eastAsia="Yu Mincho" w:cs="Arial"/>
                <w:lang w:val="en-IN" w:eastAsia="ko"/>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127"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3.45</w:t>
            </w:r>
          </w:p>
        </w:tc>
        <w:tc>
          <w:tcPr>
            <w:tcW w:w="1720"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8.21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2.59</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4.08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349"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ZTE</w:t>
            </w:r>
          </w:p>
          <w:p>
            <w:pPr>
              <w:overflowPunct w:val="0"/>
              <w:autoSpaceDE w:val="0"/>
              <w:autoSpaceDN w:val="0"/>
              <w:adjustRightInd w:val="0"/>
              <w:rPr>
                <w:rFonts w:eastAsia="Yu Mincho" w:cs="Arial"/>
              </w:rPr>
            </w:pPr>
          </w:p>
        </w:tc>
        <w:tc>
          <w:tcPr>
            <w:tcW w:w="1127"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152"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1.45</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0.75</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CMCC</w:t>
            </w:r>
          </w:p>
          <w:p>
            <w:pPr>
              <w:overflowPunct w:val="0"/>
              <w:autoSpaceDE w:val="0"/>
              <w:autoSpaceDN w:val="0"/>
              <w:adjustRightInd w:val="0"/>
              <w:rPr>
                <w:rFonts w:eastAsia="Yu Mincho" w:cs="Arial"/>
              </w:rPr>
            </w:pPr>
          </w:p>
        </w:tc>
        <w:tc>
          <w:tcPr>
            <w:tcW w:w="1127"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13.52</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3.23</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Qualcomm</w:t>
            </w:r>
          </w:p>
          <w:p>
            <w:pPr>
              <w:overflowPunct w:val="0"/>
              <w:autoSpaceDE w:val="0"/>
              <w:autoSpaceDN w:val="0"/>
              <w:adjustRightInd w:val="0"/>
              <w:rPr>
                <w:rFonts w:eastAsia="Yu Mincho" w:cs="Arial"/>
              </w:rPr>
            </w:pPr>
          </w:p>
        </w:tc>
        <w:tc>
          <w:tcPr>
            <w:tcW w:w="1127"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2.07</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0.90</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Huawei</w:t>
            </w:r>
          </w:p>
          <w:p>
            <w:pPr>
              <w:overflowPunct w:val="0"/>
              <w:autoSpaceDE w:val="0"/>
              <w:autoSpaceDN w:val="0"/>
              <w:adjustRightInd w:val="0"/>
              <w:rPr>
                <w:rFonts w:eastAsia="Yu Mincho" w:cs="Arial"/>
              </w:rPr>
            </w:pPr>
          </w:p>
        </w:tc>
        <w:tc>
          <w:tcPr>
            <w:tcW w:w="1127"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1.36</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1.03</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CATT</w:t>
            </w:r>
          </w:p>
          <w:p>
            <w:pPr>
              <w:overflowPunct w:val="0"/>
              <w:autoSpaceDE w:val="0"/>
              <w:autoSpaceDN w:val="0"/>
              <w:adjustRightInd w:val="0"/>
              <w:rPr>
                <w:rFonts w:eastAsia="Yu Mincho" w:cs="Arial"/>
              </w:rPr>
            </w:pPr>
          </w:p>
        </w:tc>
        <w:tc>
          <w:tcPr>
            <w:tcW w:w="1127"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5.32</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0.86</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127"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bl>
    <w:p>
      <w:pPr>
        <w:rPr>
          <w:rFonts w:cs="Arial"/>
        </w:rPr>
      </w:pPr>
    </w:p>
    <w:p>
      <w:pPr>
        <w:rPr>
          <w:rFonts w:cs="Arial"/>
        </w:rPr>
      </w:pPr>
    </w:p>
    <w:p>
      <w:pPr>
        <w:pStyle w:val="6"/>
        <w:rPr>
          <w:rFonts w:ascii="Arial" w:hAnsi="Arial" w:cs="Arial"/>
          <w:b/>
          <w:bCs/>
          <w:color w:val="auto"/>
        </w:rPr>
      </w:pPr>
      <w:r>
        <w:rPr>
          <w:rFonts w:hint="eastAsia" w:ascii="Arial" w:hAnsi="Arial" w:eastAsia="宋体" w:cs="Arial"/>
          <w:b/>
          <w:bCs/>
          <w:color w:val="auto"/>
          <w:lang w:val="en-US" w:eastAsia="zh-CN"/>
        </w:rPr>
        <w:t xml:space="preserve">6.4.1.7.1 </w:t>
      </w:r>
      <w:r>
        <w:rPr>
          <w:rFonts w:ascii="Arial" w:hAnsi="Arial" w:cs="Arial"/>
          <w:b/>
          <w:bCs/>
          <w:color w:val="auto"/>
        </w:rPr>
        <w:t>Non-Subarray model</w:t>
      </w:r>
    </w:p>
    <w:p>
      <w:pPr>
        <w:rPr>
          <w:rFonts w:cs="Arial"/>
        </w:rPr>
      </w:pPr>
    </w:p>
    <w:p>
      <w:pPr>
        <w:pStyle w:val="7"/>
        <w:rPr>
          <w:rFonts w:ascii="Arial" w:hAnsi="Arial" w:cs="Arial"/>
          <w:b/>
          <w:bCs/>
          <w:color w:val="auto"/>
        </w:rPr>
      </w:pPr>
      <w:r>
        <w:rPr>
          <w:rFonts w:ascii="Arial" w:hAnsi="Arial" w:cs="Arial"/>
          <w:b/>
          <w:bCs/>
          <w:color w:val="auto"/>
        </w:rPr>
        <w:t>Maximum distance between ATG BS and ATG UE is 100 km</w:t>
      </w:r>
    </w:p>
    <w:p>
      <w:pPr>
        <w:rPr>
          <w:rFonts w:cs="Arial"/>
        </w:rPr>
      </w:pPr>
    </w:p>
    <w:p>
      <w:pPr>
        <w:rPr>
          <w:rFonts w:cs="Arial"/>
        </w:rPr>
      </w:pPr>
      <w:r>
        <w:rPr>
          <w:rFonts w:cs="Arial"/>
        </w:rPr>
        <w:drawing>
          <wp:inline distT="0" distB="0" distL="0" distR="0">
            <wp:extent cx="6120765" cy="2850515"/>
            <wp:effectExtent l="4445" t="4445" r="8890" b="1524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pPr>
        <w:pStyle w:val="28"/>
        <w:jc w:val="center"/>
        <w:rPr>
          <w:rFonts w:cs="Arial"/>
          <w:color w:val="auto"/>
        </w:rPr>
      </w:pPr>
      <w:r>
        <w:rPr>
          <w:rFonts w:cs="Arial"/>
          <w:color w:val="auto"/>
        </w:rPr>
        <w:t>Figure 6.4.1.7-1: Simulation results for Throughput Loss - 5% of users in the whole network</w:t>
      </w:r>
    </w:p>
    <w:p>
      <w:pPr>
        <w:rPr>
          <w:rFonts w:cs="Arial"/>
        </w:rPr>
      </w:pPr>
    </w:p>
    <w:p>
      <w:pPr>
        <w:rPr>
          <w:rFonts w:cs="Arial"/>
        </w:rPr>
      </w:pPr>
      <w:r>
        <w:rPr>
          <w:rFonts w:cs="Arial"/>
        </w:rPr>
        <w:drawing>
          <wp:inline distT="0" distB="0" distL="0" distR="0">
            <wp:extent cx="6120765" cy="2832100"/>
            <wp:effectExtent l="4445" t="4445" r="8890" b="825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pPr>
        <w:pStyle w:val="28"/>
        <w:jc w:val="center"/>
        <w:rPr>
          <w:rFonts w:cs="Arial"/>
          <w:color w:val="auto"/>
        </w:rPr>
      </w:pPr>
      <w:r>
        <w:rPr>
          <w:rFonts w:cs="Arial"/>
          <w:color w:val="auto"/>
        </w:rPr>
        <w:t>Figure 6.4.1.7-2: Simulation results for Throughput Loss – Average of all users in the whole network</w:t>
      </w:r>
    </w:p>
    <w:p>
      <w:pPr>
        <w:rPr>
          <w:rFonts w:cs="Arial"/>
        </w:rPr>
      </w:pPr>
    </w:p>
    <w:p>
      <w:pPr>
        <w:rPr>
          <w:rFonts w:cs="Arial"/>
        </w:rPr>
      </w:pPr>
    </w:p>
    <w:p>
      <w:pPr>
        <w:pStyle w:val="7"/>
        <w:rPr>
          <w:rFonts w:ascii="Arial" w:hAnsi="Arial" w:cs="Arial"/>
          <w:b/>
          <w:bCs/>
          <w:color w:val="auto"/>
        </w:rPr>
      </w:pPr>
      <w:r>
        <w:rPr>
          <w:rFonts w:ascii="Arial" w:hAnsi="Arial" w:cs="Arial"/>
          <w:b/>
          <w:bCs/>
          <w:color w:val="auto"/>
        </w:rPr>
        <w:t>Maximum distance between ATG BS and ATG UE is 300 km</w:t>
      </w:r>
    </w:p>
    <w:p>
      <w:pPr>
        <w:rPr>
          <w:rFonts w:cs="Arial"/>
        </w:rPr>
      </w:pPr>
    </w:p>
    <w:p>
      <w:pPr>
        <w:rPr>
          <w:rFonts w:cs="Arial"/>
        </w:rPr>
      </w:pPr>
      <w:r>
        <w:rPr>
          <w:rFonts w:cs="Arial"/>
        </w:rPr>
        <w:drawing>
          <wp:inline distT="0" distB="0" distL="0" distR="0">
            <wp:extent cx="6120765" cy="2969260"/>
            <wp:effectExtent l="4445" t="4445" r="889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pPr>
        <w:pStyle w:val="28"/>
        <w:jc w:val="center"/>
        <w:rPr>
          <w:rFonts w:cs="Arial"/>
          <w:color w:val="auto"/>
        </w:rPr>
      </w:pPr>
      <w:r>
        <w:rPr>
          <w:rFonts w:cs="Arial"/>
          <w:color w:val="auto"/>
        </w:rPr>
        <w:t>Figure 6.4.1.7-3: Simulation results for Throughput Loss - 5% of users in the whole network</w:t>
      </w:r>
    </w:p>
    <w:p>
      <w:pPr>
        <w:rPr>
          <w:rFonts w:cs="Arial"/>
        </w:rPr>
      </w:pPr>
    </w:p>
    <w:p>
      <w:pPr>
        <w:rPr>
          <w:rFonts w:cs="Arial"/>
        </w:rPr>
      </w:pPr>
      <w:r>
        <w:rPr>
          <w:rFonts w:cs="Arial"/>
        </w:rPr>
        <w:drawing>
          <wp:inline distT="0" distB="0" distL="0" distR="0">
            <wp:extent cx="6120765" cy="2967355"/>
            <wp:effectExtent l="4445" t="4445" r="8890"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pPr>
        <w:pStyle w:val="28"/>
        <w:jc w:val="center"/>
        <w:rPr>
          <w:rFonts w:cs="Arial"/>
          <w:color w:val="auto"/>
        </w:rPr>
      </w:pPr>
      <w:r>
        <w:rPr>
          <w:rFonts w:cs="Arial"/>
          <w:color w:val="auto"/>
        </w:rPr>
        <w:t>Figure 6.4.1.7-4: Simulation results for Throughput Loss – Average of all users in the whole network</w:t>
      </w:r>
    </w:p>
    <w:p>
      <w:pPr>
        <w:rPr>
          <w:rFonts w:cs="Arial"/>
        </w:rPr>
      </w:pPr>
    </w:p>
    <w:p>
      <w:pPr>
        <w:pStyle w:val="6"/>
        <w:rPr>
          <w:rFonts w:ascii="Arial" w:hAnsi="Arial" w:cs="Arial"/>
          <w:b/>
          <w:bCs/>
          <w:color w:val="auto"/>
        </w:rPr>
      </w:pPr>
      <w:r>
        <w:rPr>
          <w:rFonts w:hint="eastAsia" w:ascii="Arial" w:hAnsi="Arial" w:eastAsia="宋体" w:cs="Arial"/>
          <w:b/>
          <w:bCs/>
          <w:color w:val="auto"/>
          <w:lang w:val="en-US" w:eastAsia="zh-CN"/>
        </w:rPr>
        <w:t xml:space="preserve">6.4.1.7.2 </w:t>
      </w:r>
      <w:r>
        <w:rPr>
          <w:rFonts w:ascii="Arial" w:hAnsi="Arial" w:cs="Arial"/>
          <w:b/>
          <w:bCs/>
          <w:color w:val="auto"/>
        </w:rPr>
        <w:t>Subarray model</w:t>
      </w:r>
    </w:p>
    <w:p>
      <w:pPr>
        <w:rPr>
          <w:rFonts w:cs="Arial"/>
        </w:rPr>
      </w:pPr>
    </w:p>
    <w:p>
      <w:pPr>
        <w:pStyle w:val="7"/>
        <w:rPr>
          <w:rFonts w:ascii="Arial" w:hAnsi="Arial" w:cs="Arial"/>
          <w:b/>
          <w:bCs/>
          <w:color w:val="auto"/>
        </w:rPr>
      </w:pPr>
      <w:r>
        <w:rPr>
          <w:rFonts w:ascii="Arial" w:hAnsi="Arial" w:cs="Arial"/>
          <w:b/>
          <w:bCs/>
          <w:color w:val="auto"/>
        </w:rPr>
        <w:t>Maximum distance between ATG BS and ATG UE is 100 km</w:t>
      </w:r>
    </w:p>
    <w:p>
      <w:pPr>
        <w:rPr>
          <w:rFonts w:cs="Arial"/>
        </w:rPr>
      </w:pPr>
    </w:p>
    <w:p>
      <w:pPr>
        <w:rPr>
          <w:rFonts w:cs="Arial"/>
        </w:rPr>
      </w:pPr>
      <w:r>
        <w:rPr>
          <w:rFonts w:cs="Arial"/>
        </w:rPr>
        <w:drawing>
          <wp:inline distT="0" distB="0" distL="0" distR="0">
            <wp:extent cx="6120765" cy="2875915"/>
            <wp:effectExtent l="4445" t="4445" r="8890" b="1524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pPr>
        <w:pStyle w:val="28"/>
        <w:jc w:val="center"/>
        <w:rPr>
          <w:rFonts w:cs="Arial"/>
          <w:color w:val="auto"/>
        </w:rPr>
      </w:pPr>
      <w:r>
        <w:rPr>
          <w:rFonts w:cs="Arial"/>
          <w:color w:val="auto"/>
        </w:rPr>
        <w:t>Figure 6.4.1.7-5: Simulation results for Throughput Loss - 5% of users in the whole network</w:t>
      </w:r>
    </w:p>
    <w:p>
      <w:pPr>
        <w:rPr>
          <w:rFonts w:cs="Arial"/>
        </w:rPr>
      </w:pPr>
    </w:p>
    <w:p>
      <w:pPr>
        <w:rPr>
          <w:rFonts w:cs="Arial"/>
        </w:rPr>
      </w:pPr>
    </w:p>
    <w:p>
      <w:pPr>
        <w:rPr>
          <w:rFonts w:cs="Arial"/>
        </w:rPr>
      </w:pPr>
      <w:r>
        <w:rPr>
          <w:rFonts w:cs="Arial"/>
        </w:rPr>
        <w:drawing>
          <wp:inline distT="0" distB="0" distL="0" distR="0">
            <wp:extent cx="6120765" cy="2969895"/>
            <wp:effectExtent l="4445" t="4445" r="8890" b="1016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pPr>
        <w:pStyle w:val="28"/>
        <w:jc w:val="center"/>
        <w:rPr>
          <w:rFonts w:cs="Arial"/>
          <w:color w:val="auto"/>
        </w:rPr>
      </w:pPr>
      <w:r>
        <w:rPr>
          <w:rFonts w:cs="Arial"/>
          <w:color w:val="auto"/>
        </w:rPr>
        <w:t>Figure 6.4.1.7-6: Simulation results for Throughput Loss – Average of all users in the whole network</w:t>
      </w:r>
    </w:p>
    <w:p>
      <w:pPr>
        <w:rPr>
          <w:rFonts w:cs="Arial"/>
        </w:rPr>
      </w:pPr>
    </w:p>
    <w:p>
      <w:pPr>
        <w:rPr>
          <w:rFonts w:cs="Arial"/>
        </w:rPr>
      </w:pPr>
    </w:p>
    <w:p>
      <w:pPr>
        <w:pStyle w:val="7"/>
        <w:rPr>
          <w:rFonts w:ascii="Arial" w:hAnsi="Arial" w:cs="Arial"/>
          <w:b/>
          <w:bCs/>
          <w:color w:val="auto"/>
        </w:rPr>
      </w:pPr>
      <w:r>
        <w:rPr>
          <w:rFonts w:ascii="Arial" w:hAnsi="Arial" w:cs="Arial"/>
          <w:b/>
          <w:bCs/>
          <w:color w:val="auto"/>
        </w:rPr>
        <w:t>Maximum distance between ATG BS and ATG UE is 300 km</w:t>
      </w:r>
    </w:p>
    <w:p>
      <w:pPr>
        <w:rPr>
          <w:rFonts w:cs="Arial"/>
        </w:rPr>
      </w:pPr>
    </w:p>
    <w:p>
      <w:pPr>
        <w:rPr>
          <w:rFonts w:cs="Arial"/>
        </w:rPr>
      </w:pPr>
    </w:p>
    <w:p>
      <w:pPr>
        <w:rPr>
          <w:rFonts w:cs="Arial"/>
        </w:rPr>
      </w:pPr>
      <w:r>
        <w:rPr>
          <w:rFonts w:cs="Arial"/>
        </w:rPr>
        <w:drawing>
          <wp:inline distT="0" distB="0" distL="0" distR="0">
            <wp:extent cx="6120765" cy="2975610"/>
            <wp:effectExtent l="4445" t="4445" r="8890" b="1714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pPr>
        <w:pStyle w:val="28"/>
        <w:jc w:val="center"/>
        <w:rPr>
          <w:rFonts w:cs="Arial"/>
          <w:color w:val="auto"/>
        </w:rPr>
      </w:pPr>
      <w:r>
        <w:rPr>
          <w:rFonts w:cs="Arial"/>
          <w:color w:val="auto"/>
        </w:rPr>
        <w:t>Figure 6.4.1.7-7: Simulation results for Throughput Loss - 5% of users in the whole network</w:t>
      </w:r>
    </w:p>
    <w:p>
      <w:pPr>
        <w:rPr>
          <w:rFonts w:cs="Arial"/>
        </w:rPr>
      </w:pPr>
    </w:p>
    <w:p>
      <w:pPr>
        <w:rPr>
          <w:rFonts w:cs="Arial"/>
        </w:rPr>
      </w:pPr>
      <w:r>
        <w:rPr>
          <w:rFonts w:cs="Arial"/>
        </w:rPr>
        <w:drawing>
          <wp:inline distT="0" distB="0" distL="0" distR="0">
            <wp:extent cx="6120765" cy="2960370"/>
            <wp:effectExtent l="4445" t="4445" r="8890" b="6985"/>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pPr>
        <w:pStyle w:val="28"/>
        <w:jc w:val="center"/>
        <w:rPr>
          <w:rFonts w:cs="Arial"/>
          <w:color w:val="auto"/>
        </w:rPr>
      </w:pPr>
      <w:r>
        <w:rPr>
          <w:rFonts w:cs="Arial"/>
          <w:color w:val="auto"/>
        </w:rPr>
        <w:t>Figure 6.4.1.7-8: Simulation results for Throughput Loss – Average of all users in the whole network</w:t>
      </w:r>
    </w:p>
    <w:p>
      <w:pPr>
        <w:rPr>
          <w:rFonts w:cs="Arial"/>
        </w:rPr>
      </w:pPr>
    </w:p>
    <w:p>
      <w:pPr>
        <w:rPr>
          <w:rFonts w:cs="Arial"/>
        </w:rPr>
      </w:pPr>
    </w:p>
    <w:p>
      <w:pPr>
        <w:pStyle w:val="5"/>
        <w:rPr>
          <w:rFonts w:ascii="Arial" w:hAnsi="Arial" w:cs="Arial"/>
          <w:b/>
          <w:bCs/>
          <w:i w:val="0"/>
          <w:iCs w:val="0"/>
          <w:color w:val="auto"/>
          <w:sz w:val="24"/>
          <w:szCs w:val="24"/>
          <w:lang w:val="sv-SE"/>
        </w:rPr>
      </w:pPr>
      <w:r>
        <w:rPr>
          <w:rFonts w:ascii="Arial" w:hAnsi="Arial" w:cs="Arial"/>
          <w:b/>
          <w:bCs/>
          <w:i w:val="0"/>
          <w:iCs w:val="0"/>
          <w:color w:val="auto"/>
          <w:sz w:val="24"/>
          <w:szCs w:val="24"/>
          <w:lang w:val="sv-SE"/>
        </w:rPr>
        <w:t>6.4.1.8 Scenario 12: 2GHz TN UL interfering ATG UL</w:t>
      </w:r>
    </w:p>
    <w:p>
      <w:pPr>
        <w:rPr>
          <w:rFonts w:cs="Arial"/>
          <w:lang w:val="sv-SE"/>
        </w:rPr>
      </w:pPr>
    </w:p>
    <w:p>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pPr>
        <w:rPr>
          <w:rFonts w:cs="Arial"/>
        </w:rPr>
      </w:pPr>
    </w:p>
    <w:p>
      <w:pPr>
        <w:jc w:val="center"/>
        <w:rPr>
          <w:rFonts w:ascii="Arial" w:hAnsi="Arial" w:cs="Arial"/>
          <w:b/>
          <w:bCs/>
          <w:color w:val="auto"/>
        </w:rPr>
      </w:pPr>
      <w:r>
        <w:rPr>
          <w:rFonts w:cs="Arial"/>
          <w:b/>
          <w:bCs/>
        </w:rPr>
        <w:t>Table 6.4.1.8-1: Simulation results for Scenario 12 – 2GHz TN UL interfering ATG UL</w:t>
      </w:r>
    </w:p>
    <w:tbl>
      <w:tblPr>
        <w:tblStyle w:val="4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1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83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zh-CN" w:eastAsia="zh-CN"/>
              </w:rPr>
            </w:pPr>
            <w:r>
              <w:rPr>
                <w:rFonts w:eastAsia="Yu Mincho" w:cs="Arial"/>
                <w:b/>
                <w:lang w:val="zh-CN" w:eastAsia="zh-CN" w:bidi="ar"/>
              </w:rPr>
              <w:t>Company</w:t>
            </w:r>
          </w:p>
        </w:tc>
        <w:tc>
          <w:tcPr>
            <w:tcW w:w="141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Yu Mincho" w:cs="Arial"/>
                <w:b/>
                <w:lang w:val="sv-SE" w:eastAsia="zh-CN" w:bidi="ar"/>
              </w:rPr>
            </w:pPr>
            <w:r>
              <w:rPr>
                <w:rFonts w:eastAsia="Yu Mincho" w:cs="Arial"/>
                <w:b/>
                <w:lang w:val="sv-SE" w:eastAsia="zh-CN" w:bidi="ar"/>
              </w:rPr>
              <w:t>ATG/ TN BS antenna model</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val="en-IN" w:eastAsia="zh-CN"/>
              </w:rPr>
            </w:pPr>
            <w:r>
              <w:rPr>
                <w:rFonts w:eastAsia="Yu Mincho" w:cs="Arial"/>
                <w:b/>
                <w:lang w:val="en-IN" w:eastAsia="zh-CN" w:bidi="ar"/>
              </w:rPr>
              <w:t>Performance Metric</w:t>
            </w:r>
          </w:p>
        </w:tc>
        <w:tc>
          <w:tcPr>
            <w:tcW w:w="136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b/>
                <w:lang w:eastAsia="zh-CN"/>
              </w:rPr>
            </w:pPr>
            <w:r>
              <w:rPr>
                <w:rFonts w:eastAsia="Yu Mincho" w:cs="Arial"/>
                <w:b/>
                <w:lang w:eastAsia="zh-CN" w:bidi="ar"/>
              </w:rPr>
              <w:t>Throughput Loss (%) at ATG BS ACS 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Ericsson</w:t>
            </w:r>
          </w:p>
          <w:p>
            <w:pPr>
              <w:overflowPunct w:val="0"/>
              <w:autoSpaceDE w:val="0"/>
              <w:autoSpaceDN w:val="0"/>
              <w:adjustRightInd w:val="0"/>
              <w:jc w:val="center"/>
              <w:rPr>
                <w:rFonts w:eastAsia="Yu Mincho" w:cs="Arial"/>
                <w:lang w:val="sv-SE" w:eastAsia="zh-CN"/>
              </w:rPr>
            </w:pPr>
          </w:p>
        </w:tc>
        <w:tc>
          <w:tcPr>
            <w:tcW w:w="1418"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ko"/>
              </w:rPr>
            </w:pPr>
            <w:r>
              <w:rPr>
                <w:rFonts w:eastAsia="Yu Mincho" w:cs="Arial"/>
                <w:lang w:val="sv-SE" w:eastAsia="ko"/>
              </w:rPr>
              <w:t>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en-IN" w:eastAsia="ko"/>
              </w:rPr>
            </w:pPr>
            <w:r>
              <w:rPr>
                <w:rFonts w:eastAsia="Yu Mincho" w:cs="Arial"/>
                <w:lang w:val="en-IN" w:eastAsia="ko"/>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jc w:val="center"/>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3.23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ZTE</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highlight w:val="yellow"/>
                <w:lang w:val="sv-SE" w:eastAsia="zh-CN"/>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CMCC</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Qualcomm</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Huawei</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val="sv-SE" w:eastAsia="zh-CN"/>
              </w:rPr>
            </w:pPr>
            <w:r>
              <w:rPr>
                <w:rFonts w:eastAsia="Yu Mincho" w:cs="Arial"/>
                <w:lang w:val="sv-SE" w:eastAsia="zh-CN"/>
              </w:rPr>
              <w:t>CATT</w:t>
            </w:r>
          </w:p>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restart"/>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overflowPunct w:val="0"/>
              <w:autoSpaceDE w:val="0"/>
              <w:autoSpaceDN w:val="0"/>
              <w:adjustRightInd w:val="0"/>
              <w:rPr>
                <w:rFonts w:eastAsia="Yu Mincho" w:cs="Arial"/>
              </w:rPr>
            </w:pPr>
          </w:p>
        </w:tc>
        <w:tc>
          <w:tcPr>
            <w:tcW w:w="1418" w:type="dxa"/>
            <w:vMerge w:val="continue"/>
            <w:tcBorders>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eastAsia="Yu Mincho" w:cs="Arial"/>
                <w:lang w:eastAsia="ko" w:bidi="ar"/>
              </w:rPr>
            </w:pPr>
            <w:r>
              <w:rPr>
                <w:rFonts w:eastAsia="Yu Mincho" w:cs="Arial"/>
                <w:lang w:eastAsia="ko" w:bidi="ar"/>
              </w:rPr>
              <w:t>-</w:t>
            </w:r>
          </w:p>
        </w:tc>
      </w:tr>
    </w:tbl>
    <w:p>
      <w:pPr>
        <w:rPr>
          <w:rFonts w:cs="Arial"/>
        </w:rPr>
      </w:pPr>
    </w:p>
    <w:p>
      <w:pPr>
        <w:rPr>
          <w:rFonts w:cs="Arial"/>
        </w:rPr>
      </w:pPr>
    </w:p>
    <w:p>
      <w:pPr>
        <w:pStyle w:val="6"/>
        <w:rPr>
          <w:rFonts w:ascii="Arial" w:hAnsi="Arial" w:cs="Arial"/>
          <w:b/>
          <w:bCs/>
          <w:color w:val="auto"/>
        </w:rPr>
      </w:pPr>
      <w:r>
        <w:rPr>
          <w:rFonts w:hint="eastAsia" w:ascii="Arial" w:hAnsi="Arial" w:eastAsia="宋体" w:cs="Arial"/>
          <w:b/>
          <w:bCs/>
          <w:color w:val="auto"/>
          <w:lang w:val="en-US" w:eastAsia="zh-CN"/>
        </w:rPr>
        <w:t xml:space="preserve">6.4.1.8.1 </w:t>
      </w:r>
      <w:r>
        <w:rPr>
          <w:rFonts w:ascii="Arial" w:hAnsi="Arial" w:cs="Arial"/>
          <w:b/>
          <w:bCs/>
          <w:color w:val="auto"/>
        </w:rPr>
        <w:t>Non-Subarray model</w:t>
      </w:r>
    </w:p>
    <w:p>
      <w:pPr>
        <w:rPr>
          <w:rFonts w:cs="Arial"/>
        </w:rPr>
      </w:pPr>
    </w:p>
    <w:p>
      <w:pPr>
        <w:rPr>
          <w:rFonts w:cs="Arial"/>
        </w:rPr>
      </w:pPr>
      <w:r>
        <w:rPr>
          <w:rFonts w:cs="Arial"/>
        </w:rPr>
        <w:drawing>
          <wp:inline distT="0" distB="0" distL="0" distR="0">
            <wp:extent cx="6120765" cy="2899410"/>
            <wp:effectExtent l="4445" t="4445" r="8890" b="1714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pPr>
        <w:pStyle w:val="28"/>
        <w:jc w:val="center"/>
        <w:rPr>
          <w:rFonts w:cs="Arial"/>
          <w:color w:val="auto"/>
        </w:rPr>
      </w:pPr>
      <w:r>
        <w:rPr>
          <w:rFonts w:cs="Arial"/>
          <w:color w:val="auto"/>
        </w:rPr>
        <w:t>Figure 6.4.1.8-1: Simulation results for Throughput Loss - 5% of users in the whole network</w:t>
      </w:r>
    </w:p>
    <w:p>
      <w:pPr>
        <w:rPr>
          <w:rFonts w:cs="Arial"/>
        </w:rPr>
      </w:pPr>
    </w:p>
    <w:p>
      <w:pPr>
        <w:rPr>
          <w:rFonts w:cs="Arial"/>
        </w:rPr>
      </w:pPr>
    </w:p>
    <w:p>
      <w:pPr>
        <w:rPr>
          <w:rFonts w:cs="Arial"/>
        </w:rPr>
      </w:pPr>
      <w:r>
        <w:rPr>
          <w:rFonts w:cs="Arial"/>
        </w:rPr>
        <w:drawing>
          <wp:inline distT="0" distB="0" distL="0" distR="0">
            <wp:extent cx="6120765" cy="2884805"/>
            <wp:effectExtent l="4445" t="4445" r="8890" b="635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p>
      <w:pPr>
        <w:pStyle w:val="28"/>
        <w:jc w:val="center"/>
        <w:rPr>
          <w:rFonts w:cs="Arial"/>
          <w:color w:val="auto"/>
        </w:rPr>
      </w:pPr>
      <w:r>
        <w:rPr>
          <w:rFonts w:cs="Arial"/>
          <w:color w:val="auto"/>
        </w:rPr>
        <w:t>Figure 6.4.1.8-2: Simulation results for Throughput Loss – Average of all users in the whole network</w:t>
      </w:r>
    </w:p>
    <w:p>
      <w:pPr>
        <w:rPr>
          <w:rFonts w:cs="Arial"/>
        </w:rPr>
      </w:pPr>
    </w:p>
    <w:p>
      <w:pPr>
        <w:pStyle w:val="6"/>
        <w:rPr>
          <w:rFonts w:ascii="Arial" w:hAnsi="Arial" w:cs="Arial"/>
          <w:b/>
          <w:bCs/>
          <w:color w:val="auto"/>
        </w:rPr>
      </w:pPr>
      <w:r>
        <w:rPr>
          <w:rFonts w:hint="eastAsia" w:ascii="Arial" w:hAnsi="Arial" w:eastAsia="宋体" w:cs="Arial"/>
          <w:b/>
          <w:bCs/>
          <w:color w:val="auto"/>
          <w:lang w:val="en-US" w:eastAsia="zh-CN"/>
        </w:rPr>
        <w:t xml:space="preserve">6.4.1.8.2 </w:t>
      </w:r>
      <w:r>
        <w:rPr>
          <w:rFonts w:ascii="Arial" w:hAnsi="Arial" w:cs="Arial"/>
          <w:b/>
          <w:bCs/>
          <w:color w:val="auto"/>
        </w:rPr>
        <w:t>Subarray model</w:t>
      </w:r>
    </w:p>
    <w:p>
      <w:pPr>
        <w:rPr>
          <w:rFonts w:cs="Arial"/>
        </w:rPr>
      </w:pPr>
    </w:p>
    <w:p>
      <w:pPr>
        <w:rPr>
          <w:rFonts w:cs="Arial"/>
        </w:rPr>
      </w:pPr>
      <w:r>
        <w:rPr>
          <w:rFonts w:cs="Arial"/>
        </w:rPr>
        <w:drawing>
          <wp:inline distT="0" distB="0" distL="0" distR="0">
            <wp:extent cx="6120765" cy="2926080"/>
            <wp:effectExtent l="4445" t="4445" r="8890" b="1587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p>
      <w:pPr>
        <w:pStyle w:val="28"/>
        <w:jc w:val="center"/>
        <w:rPr>
          <w:rFonts w:cs="Arial"/>
          <w:color w:val="auto"/>
        </w:rPr>
      </w:pPr>
      <w:r>
        <w:rPr>
          <w:rFonts w:cs="Arial"/>
          <w:color w:val="auto"/>
        </w:rPr>
        <w:t>Figure 6.4.1.8-3: Simulation results for Throughput Loss - 5% of users in the whole network</w:t>
      </w:r>
    </w:p>
    <w:p>
      <w:pPr>
        <w:rPr>
          <w:rFonts w:cs="Arial"/>
        </w:rPr>
      </w:pPr>
    </w:p>
    <w:p>
      <w:pPr>
        <w:rPr>
          <w:rFonts w:cs="Arial"/>
        </w:rPr>
      </w:pPr>
    </w:p>
    <w:p>
      <w:pPr>
        <w:rPr>
          <w:rFonts w:cs="Arial"/>
        </w:rPr>
      </w:pPr>
      <w:r>
        <w:rPr>
          <w:rFonts w:cs="Arial"/>
        </w:rPr>
        <w:drawing>
          <wp:inline distT="0" distB="0" distL="0" distR="0">
            <wp:extent cx="6120765" cy="3030855"/>
            <wp:effectExtent l="4445" t="4445" r="8890" b="1270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pPr>
        <w:pStyle w:val="28"/>
        <w:jc w:val="center"/>
        <w:rPr>
          <w:rFonts w:cs="Arial"/>
          <w:color w:val="auto"/>
        </w:rPr>
      </w:pPr>
      <w:r>
        <w:rPr>
          <w:rFonts w:cs="Arial"/>
          <w:color w:val="auto"/>
        </w:rPr>
        <w:t>Figure 6.4.1.8-4: Simulation results for Throughput Loss – Average of all users in the whole network</w:t>
      </w:r>
    </w:p>
    <w:p>
      <w:pPr>
        <w:overflowPunct/>
        <w:autoSpaceDE/>
        <w:autoSpaceDN/>
        <w:adjustRightInd/>
        <w:spacing w:after="160" w:line="259" w:lineRule="auto"/>
        <w:textAlignment w:val="auto"/>
        <w:rPr>
          <w:rFonts w:ascii="Arial" w:hAnsi="Arial" w:eastAsia="等线"/>
          <w:szCs w:val="22"/>
          <w:lang w:val="en-US" w:eastAsia="en-US"/>
        </w:rPr>
      </w:pPr>
    </w:p>
    <w:p>
      <w:pPr>
        <w:keepNext/>
        <w:keepLines/>
        <w:overflowPunct/>
        <w:autoSpaceDE/>
        <w:autoSpaceDN/>
        <w:adjustRightInd/>
        <w:spacing w:before="40" w:after="0" w:line="259" w:lineRule="auto"/>
        <w:textAlignment w:val="auto"/>
        <w:outlineLvl w:val="2"/>
        <w:rPr>
          <w:rFonts w:ascii="Arial" w:hAnsi="Arial" w:eastAsia="等线 Light" w:cs="Arial"/>
          <w:sz w:val="24"/>
          <w:szCs w:val="24"/>
          <w:lang w:val="en-US" w:eastAsia="en-US"/>
        </w:rPr>
      </w:pPr>
      <w:r>
        <w:rPr>
          <w:rFonts w:ascii="Arial" w:hAnsi="Arial" w:eastAsia="等线 Light" w:cs="Arial"/>
          <w:sz w:val="24"/>
          <w:szCs w:val="24"/>
          <w:lang w:val="en-US" w:eastAsia="en-US"/>
        </w:rPr>
        <w:t>6.4.2 Non-synchronized Scenarios</w:t>
      </w:r>
    </w:p>
    <w:p>
      <w:pPr>
        <w:overflowPunct/>
        <w:autoSpaceDE/>
        <w:autoSpaceDN/>
        <w:adjustRightInd/>
        <w:spacing w:after="160" w:line="259" w:lineRule="auto"/>
        <w:textAlignment w:val="auto"/>
        <w:rPr>
          <w:rFonts w:ascii="Arial" w:hAnsi="Arial" w:eastAsia="等线"/>
          <w:szCs w:val="22"/>
          <w:lang w:val="en-US" w:eastAsia="en-US"/>
        </w:rPr>
      </w:pPr>
    </w:p>
    <w:p>
      <w:pPr>
        <w:keepNext/>
        <w:keepLines/>
        <w:overflowPunct/>
        <w:autoSpaceDE/>
        <w:autoSpaceDN/>
        <w:adjustRightInd/>
        <w:spacing w:before="40" w:after="0" w:line="259" w:lineRule="auto"/>
        <w:textAlignment w:val="auto"/>
        <w:outlineLvl w:val="3"/>
        <w:rPr>
          <w:rFonts w:ascii="Arial" w:hAnsi="Arial" w:eastAsia="等线 Light" w:cs="Arial"/>
          <w:iCs/>
          <w:sz w:val="24"/>
          <w:szCs w:val="24"/>
          <w:lang w:val="en-US" w:eastAsia="en-US"/>
        </w:rPr>
      </w:pPr>
      <w:r>
        <w:rPr>
          <w:rFonts w:ascii="Arial" w:hAnsi="Arial" w:eastAsia="等线 Light" w:cs="Arial"/>
          <w:iCs/>
          <w:sz w:val="24"/>
          <w:szCs w:val="24"/>
          <w:lang w:val="en-US" w:eastAsia="en-US"/>
        </w:rPr>
        <w:t>6.4.2.1 Scenario 5: 4GHz ATG DL interfering TN UL</w:t>
      </w:r>
    </w:p>
    <w:p>
      <w:pPr>
        <w:overflowPunct/>
        <w:autoSpaceDE/>
        <w:autoSpaceDN/>
        <w:adjustRightInd/>
        <w:spacing w:after="160" w:line="259" w:lineRule="auto"/>
        <w:textAlignment w:val="auto"/>
        <w:rPr>
          <w:rFonts w:ascii="Arial" w:hAnsi="Arial" w:eastAsia="等线"/>
          <w:szCs w:val="22"/>
          <w:lang w:val="en-US" w:eastAsia="en-US"/>
        </w:rPr>
      </w:pPr>
    </w:p>
    <w:p>
      <w:pPr>
        <w:spacing w:after="120"/>
        <w:rPr>
          <w:rFonts w:eastAsia="宋体"/>
        </w:rPr>
      </w:pPr>
      <w:r>
        <w:rPr>
          <w:rFonts w:eastAsia="宋体"/>
        </w:rPr>
        <w:t>This scenario captures the co-existence results after evaluation from all possible options. Here ATG DL with both AAS subarray and non-subarray model is interfering TN UL deployed in rural macro environment. Plots will be included once the results are captured in the excel sheet from the interested companies.</w:t>
      </w:r>
    </w:p>
    <w:p>
      <w:pPr>
        <w:overflowPunct/>
        <w:autoSpaceDE/>
        <w:autoSpaceDN/>
        <w:adjustRightInd/>
        <w:spacing w:after="160" w:line="259" w:lineRule="auto"/>
        <w:textAlignment w:val="auto"/>
        <w:rPr>
          <w:rFonts w:ascii="Arial" w:hAnsi="Arial" w:eastAsia="等线"/>
          <w:szCs w:val="22"/>
          <w:lang w:val="en-US" w:eastAsia="en-US"/>
        </w:rPr>
      </w:pPr>
    </w:p>
    <w:p>
      <w:pPr>
        <w:keepNext/>
        <w:keepLines/>
        <w:spacing w:before="240"/>
        <w:jc w:val="center"/>
        <w:rPr>
          <w:rFonts w:ascii="Arial" w:hAnsi="Arial"/>
          <w:b/>
        </w:rPr>
      </w:pPr>
      <w:r>
        <w:rPr>
          <w:rFonts w:ascii="Arial" w:hAnsi="Arial"/>
          <w:b/>
        </w:rPr>
        <w:t>Table 6.4.2.1-1: Simulation results for Scenario 5 – 4GHz ATG DL interfering TN UL</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50"/>
        <w:gridCol w:w="850"/>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zh-CN" w:eastAsia="zh-CN"/>
              </w:rPr>
            </w:pPr>
            <w:r>
              <w:rPr>
                <w:rFonts w:ascii="Arial" w:hAnsi="Arial" w:eastAsia="Yu Mincho"/>
                <w:b/>
                <w:szCs w:val="22"/>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line="259" w:lineRule="auto"/>
              <w:jc w:val="center"/>
              <w:rPr>
                <w:rFonts w:ascii="Arial" w:hAnsi="Arial" w:eastAsia="Yu Mincho"/>
                <w:b/>
                <w:szCs w:val="22"/>
                <w:lang w:val="sv-SE" w:eastAsia="zh-CN" w:bidi="ar"/>
              </w:rPr>
            </w:pPr>
            <w:r>
              <w:rPr>
                <w:rFonts w:ascii="Arial" w:hAnsi="Arial" w:eastAsia="Yu Mincho"/>
                <w:b/>
                <w:szCs w:val="22"/>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IN" w:eastAsia="zh-CN"/>
              </w:rPr>
            </w:pPr>
            <w:r>
              <w:rPr>
                <w:rFonts w:ascii="Arial" w:hAnsi="Arial" w:eastAsia="Yu Mincho"/>
                <w:b/>
                <w:szCs w:val="22"/>
                <w:lang w:val="en-IN" w:eastAsia="zh-CN" w:bidi="ar"/>
              </w:rPr>
              <w:t>Performance Metric</w:t>
            </w:r>
          </w:p>
        </w:tc>
        <w:tc>
          <w:tcPr>
            <w:tcW w:w="2551" w:type="dxa"/>
            <w:gridSpan w:val="3"/>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rPr>
            </w:pPr>
            <w:r>
              <w:rPr>
                <w:rFonts w:ascii="Arial" w:hAnsi="Arial" w:eastAsia="Yu Mincho"/>
                <w:b/>
                <w:szCs w:val="22"/>
                <w:lang w:val="en-US"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Yu Mincho"/>
                <w:b/>
                <w:szCs w:val="22"/>
                <w:lang w:val="en-US" w:eastAsia="zh-CN" w:bidi="ar"/>
              </w:rPr>
            </w:pPr>
          </w:p>
        </w:tc>
        <w:tc>
          <w:tcPr>
            <w:tcW w:w="4394" w:type="dxa"/>
            <w:vMerge w:val="continue"/>
            <w:tcBorders>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IN" w:eastAsia="zh-CN" w:bidi="ar"/>
              </w:rPr>
            </w:pPr>
          </w:p>
        </w:tc>
        <w:tc>
          <w:tcPr>
            <w:tcW w:w="2551" w:type="dxa"/>
            <w:gridSpan w:val="3"/>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b/>
                <w:szCs w:val="22"/>
                <w:lang w:val="en-US"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line="259" w:lineRule="auto"/>
              <w:jc w:val="center"/>
              <w:rPr>
                <w:rFonts w:ascii="Arial" w:hAnsi="Arial" w:eastAsia="Yu Mincho"/>
                <w:b/>
                <w:szCs w:val="22"/>
                <w:lang w:val="en-US"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IN" w:eastAsia="zh-CN" w:bidi="ar"/>
              </w:rPr>
            </w:pPr>
          </w:p>
        </w:tc>
        <w:tc>
          <w:tcPr>
            <w:tcW w:w="850"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b/>
                <w:szCs w:val="22"/>
                <w:lang w:val="en-US" w:eastAsia="zh-CN" w:bidi="ar"/>
              </w:rPr>
              <w:t>0</w:t>
            </w:r>
            <w:r>
              <w:rPr>
                <w:rFonts w:ascii="Arial" w:hAnsi="Arial" w:eastAsia="Yu Mincho" w:cs="Arial"/>
                <w:b/>
                <w:szCs w:val="22"/>
                <w:lang w:val="en-US" w:eastAsia="zh-CN" w:bidi="ar"/>
              </w:rPr>
              <w:t>°</w:t>
            </w:r>
          </w:p>
        </w:tc>
        <w:tc>
          <w:tcPr>
            <w:tcW w:w="850"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cs="Arial"/>
                <w:b/>
                <w:szCs w:val="22"/>
                <w:lang w:val="en-US" w:eastAsia="zh-CN" w:bidi="ar"/>
              </w:rPr>
              <w:t>30°</w:t>
            </w:r>
          </w:p>
        </w:tc>
        <w:tc>
          <w:tcPr>
            <w:tcW w:w="851"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b/>
                <w:szCs w:val="22"/>
                <w:lang w:val="en-US" w:eastAsia="zh-CN" w:bidi="ar"/>
              </w:rPr>
              <w:t>60</w:t>
            </w:r>
            <w:r>
              <w:rPr>
                <w:rFonts w:ascii="Arial" w:hAnsi="Arial" w:eastAsia="Yu Mincho" w:cs="Arial"/>
                <w:b/>
                <w:szCs w:val="22"/>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zh-CN"/>
              </w:rPr>
            </w:pPr>
            <w:r>
              <w:rPr>
                <w:rFonts w:ascii="Arial" w:hAnsi="Arial" w:eastAsia="Yu Mincho"/>
                <w:szCs w:val="22"/>
                <w:lang w:val="sv-SE" w:eastAsia="zh-CN"/>
              </w:rPr>
              <w:t>[Company 1]</w:t>
            </w:r>
          </w:p>
          <w:p>
            <w:pPr>
              <w:spacing w:after="160" w:line="259" w:lineRule="auto"/>
              <w:jc w:val="center"/>
              <w:textAlignment w:val="auto"/>
              <w:rPr>
                <w:rFonts w:ascii="Arial" w:hAnsi="Arial" w:eastAsia="Yu Mincho"/>
                <w:szCs w:val="22"/>
                <w:lang w:val="en-US" w:eastAsia="en-US"/>
              </w:rPr>
            </w:pPr>
          </w:p>
        </w:tc>
        <w:tc>
          <w:tcPr>
            <w:tcW w:w="1418" w:type="dxa"/>
            <w:vMerge w:val="restart"/>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5% of users within the cell with largest throughput loss for the case of TN UL victim</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spacing w:after="160" w:line="259" w:lineRule="auto"/>
              <w:jc w:val="center"/>
              <w:textAlignment w:val="auto"/>
              <w:rPr>
                <w:rFonts w:ascii="Arial" w:hAnsi="Arial" w:eastAsia="Yu Mincho"/>
                <w:szCs w:val="22"/>
                <w:lang w:val="en-US" w:eastAsia="en-US"/>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Average of all users within the cell with largest throughput loss for the case of TN UL victim</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spacing w:after="160" w:line="259" w:lineRule="auto"/>
              <w:textAlignment w:val="auto"/>
              <w:rPr>
                <w:rFonts w:ascii="Arial" w:hAnsi="Arial" w:eastAsia="Yu Mincho"/>
                <w:szCs w:val="22"/>
                <w:lang w:val="en-US" w:eastAsia="en-US"/>
              </w:rPr>
            </w:pPr>
          </w:p>
        </w:tc>
        <w:tc>
          <w:tcPr>
            <w:tcW w:w="1418" w:type="dxa"/>
            <w:vMerge w:val="restart"/>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spacing w:after="160" w:line="259" w:lineRule="auto"/>
              <w:textAlignment w:val="auto"/>
              <w:rPr>
                <w:rFonts w:ascii="Arial" w:hAnsi="Arial" w:eastAsia="Yu Mincho"/>
                <w:szCs w:val="22"/>
                <w:lang w:val="en-US" w:eastAsia="en-US"/>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zh-CN"/>
              </w:rPr>
            </w:pPr>
            <w:r>
              <w:rPr>
                <w:rFonts w:ascii="Arial" w:hAnsi="Arial" w:eastAsia="Yu Mincho"/>
                <w:szCs w:val="22"/>
                <w:lang w:val="sv-SE" w:eastAsia="zh-CN"/>
              </w:rPr>
              <w:t>[Company 2]</w:t>
            </w:r>
          </w:p>
          <w:p>
            <w:pPr>
              <w:spacing w:after="160" w:line="259" w:lineRule="auto"/>
              <w:textAlignment w:val="auto"/>
              <w:rPr>
                <w:rFonts w:ascii="Arial" w:hAnsi="Arial" w:eastAsia="Yu Mincho"/>
                <w:szCs w:val="22"/>
                <w:lang w:val="en-US" w:eastAsia="en-US"/>
              </w:rPr>
            </w:pPr>
          </w:p>
        </w:tc>
        <w:tc>
          <w:tcPr>
            <w:tcW w:w="1418" w:type="dxa"/>
            <w:vMerge w:val="restart"/>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zh-CN"/>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spacing w:after="160" w:line="259" w:lineRule="auto"/>
              <w:textAlignment w:val="auto"/>
              <w:rPr>
                <w:rFonts w:ascii="Arial" w:hAnsi="Arial" w:eastAsia="Yu Mincho"/>
                <w:szCs w:val="22"/>
                <w:lang w:val="en-US" w:eastAsia="en-US"/>
              </w:rPr>
            </w:pPr>
          </w:p>
        </w:tc>
        <w:tc>
          <w:tcPr>
            <w:tcW w:w="1418" w:type="dxa"/>
            <w:vMerge w:val="restart"/>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Subarray</w:t>
            </w:r>
          </w:p>
        </w:tc>
        <w:tc>
          <w:tcPr>
            <w:tcW w:w="4394" w:type="dxa"/>
            <w:tcBorders>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spacing w:after="160" w:line="259" w:lineRule="auto"/>
              <w:textAlignment w:val="auto"/>
              <w:rPr>
                <w:rFonts w:ascii="Arial" w:hAnsi="Arial" w:eastAsia="Yu Mincho"/>
                <w:szCs w:val="22"/>
                <w:lang w:val="en-US" w:eastAsia="en-US"/>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bl>
    <w:p>
      <w:pPr>
        <w:tabs>
          <w:tab w:val="left" w:pos="1701"/>
        </w:tabs>
        <w:overflowPunct/>
        <w:autoSpaceDE/>
        <w:autoSpaceDN/>
        <w:adjustRightInd/>
        <w:spacing w:after="120" w:line="259" w:lineRule="auto"/>
        <w:jc w:val="both"/>
        <w:textAlignment w:val="auto"/>
        <w:rPr>
          <w:rFonts w:ascii="Arial" w:hAnsi="Arial" w:eastAsia="等线"/>
          <w:szCs w:val="22"/>
          <w:lang w:eastAsia="zh-CN"/>
        </w:rPr>
      </w:pPr>
    </w:p>
    <w:p>
      <w:pPr>
        <w:keepNext/>
        <w:keepLines/>
        <w:overflowPunct/>
        <w:autoSpaceDE/>
        <w:autoSpaceDN/>
        <w:adjustRightInd/>
        <w:spacing w:before="40" w:after="0" w:line="259" w:lineRule="auto"/>
        <w:textAlignment w:val="auto"/>
        <w:outlineLvl w:val="3"/>
        <w:rPr>
          <w:rFonts w:ascii="Arial" w:hAnsi="Arial" w:eastAsia="等线 Light" w:cs="Arial"/>
          <w:sz w:val="24"/>
          <w:szCs w:val="24"/>
          <w:lang w:val="sv-SE" w:eastAsia="en-US"/>
        </w:rPr>
      </w:pPr>
      <w:r>
        <w:rPr>
          <w:rFonts w:ascii="Arial" w:hAnsi="Arial" w:eastAsia="等线 Light" w:cs="Arial"/>
          <w:sz w:val="24"/>
          <w:szCs w:val="24"/>
          <w:lang w:val="sv-SE" w:eastAsia="en-US"/>
        </w:rPr>
        <w:t>6.4.2.2 Scenario 6: 4GHz ATG UL interfering TN DL</w:t>
      </w:r>
    </w:p>
    <w:p>
      <w:pPr>
        <w:overflowPunct/>
        <w:autoSpaceDE/>
        <w:autoSpaceDN/>
        <w:adjustRightInd/>
        <w:spacing w:after="160" w:line="259" w:lineRule="auto"/>
        <w:textAlignment w:val="auto"/>
        <w:rPr>
          <w:rFonts w:ascii="Arial" w:hAnsi="Arial" w:eastAsia="等线"/>
          <w:szCs w:val="22"/>
          <w:lang w:val="sv-SE" w:eastAsia="en-US"/>
        </w:rPr>
      </w:pPr>
    </w:p>
    <w:p>
      <w:pPr>
        <w:overflowPunct/>
        <w:autoSpaceDE/>
        <w:autoSpaceDN/>
        <w:adjustRightInd/>
        <w:spacing w:after="160" w:line="259" w:lineRule="auto"/>
        <w:textAlignment w:val="auto"/>
        <w:rPr>
          <w:rFonts w:ascii="Arial" w:hAnsi="Arial" w:eastAsia="等线"/>
          <w:szCs w:val="22"/>
          <w:lang w:val="sv-SE" w:eastAsia="en-US"/>
        </w:rPr>
      </w:pPr>
    </w:p>
    <w:p>
      <w:pPr>
        <w:keepNext/>
        <w:keepLines/>
        <w:overflowPunct/>
        <w:autoSpaceDE/>
        <w:autoSpaceDN/>
        <w:adjustRightInd/>
        <w:spacing w:before="40" w:after="0" w:line="259" w:lineRule="auto"/>
        <w:textAlignment w:val="auto"/>
        <w:outlineLvl w:val="3"/>
        <w:rPr>
          <w:rFonts w:ascii="Arial" w:hAnsi="Arial" w:eastAsia="等线 Light" w:cs="Arial"/>
          <w:sz w:val="24"/>
          <w:szCs w:val="24"/>
          <w:lang w:val="sv-SE" w:eastAsia="en-US"/>
        </w:rPr>
      </w:pPr>
      <w:r>
        <w:rPr>
          <w:rFonts w:ascii="Arial" w:hAnsi="Arial" w:eastAsia="等线 Light" w:cs="Arial"/>
          <w:sz w:val="24"/>
          <w:szCs w:val="24"/>
          <w:lang w:val="sv-SE" w:eastAsia="en-US"/>
        </w:rPr>
        <w:t>6.4.2.3 Scenario 7: 4GHz TN DL interfering ATG UL</w:t>
      </w:r>
    </w:p>
    <w:p>
      <w:pPr>
        <w:overflowPunct/>
        <w:autoSpaceDE/>
        <w:autoSpaceDN/>
        <w:adjustRightInd/>
        <w:spacing w:after="160" w:line="259" w:lineRule="auto"/>
        <w:textAlignment w:val="auto"/>
        <w:rPr>
          <w:rFonts w:ascii="Arial" w:hAnsi="Arial" w:eastAsia="等线"/>
          <w:szCs w:val="22"/>
          <w:lang w:val="sv-SE" w:eastAsia="en-US"/>
        </w:rPr>
      </w:pPr>
    </w:p>
    <w:p>
      <w:pPr>
        <w:spacing w:after="120"/>
        <w:rPr>
          <w:rFonts w:eastAsia="宋体"/>
        </w:rPr>
      </w:pPr>
      <w:r>
        <w:rPr>
          <w:rFonts w:eastAsia="宋体"/>
        </w:rPr>
        <w:t>This scenario captures the co-existence results after evaluation from all possible options. Here TN DL with both AAS subarray and non-subarray model is interfering ATG UL deployed in rural macro environment. Plots will be included once the results are captured in the excel sheet from the interested companies.</w:t>
      </w:r>
    </w:p>
    <w:p>
      <w:pPr>
        <w:overflowPunct/>
        <w:autoSpaceDE/>
        <w:autoSpaceDN/>
        <w:adjustRightInd/>
        <w:spacing w:after="160" w:line="259" w:lineRule="auto"/>
        <w:textAlignment w:val="auto"/>
        <w:rPr>
          <w:rFonts w:ascii="Arial" w:hAnsi="Arial" w:eastAsia="等线"/>
          <w:szCs w:val="22"/>
          <w:lang w:val="en-US" w:eastAsia="en-US"/>
        </w:rPr>
      </w:pPr>
    </w:p>
    <w:p>
      <w:pPr>
        <w:keepNext/>
        <w:keepLines/>
        <w:spacing w:before="240"/>
        <w:jc w:val="center"/>
        <w:rPr>
          <w:rFonts w:ascii="Arial" w:hAnsi="Arial"/>
          <w:b/>
        </w:rPr>
      </w:pPr>
      <w:r>
        <w:rPr>
          <w:rFonts w:ascii="Arial" w:hAnsi="Arial"/>
          <w:b/>
        </w:rPr>
        <w:t>Table 6.4.2.3-1: Simulation results for Scenario 7 – 4GHz TN DL interfering ATG UL</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50"/>
        <w:gridCol w:w="850"/>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zh-CN" w:eastAsia="zh-CN"/>
              </w:rPr>
            </w:pPr>
            <w:r>
              <w:rPr>
                <w:rFonts w:ascii="Arial" w:hAnsi="Arial" w:eastAsia="Yu Mincho"/>
                <w:b/>
                <w:szCs w:val="22"/>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line="259" w:lineRule="auto"/>
              <w:jc w:val="center"/>
              <w:rPr>
                <w:rFonts w:ascii="Arial" w:hAnsi="Arial" w:eastAsia="Yu Mincho"/>
                <w:b/>
                <w:szCs w:val="22"/>
                <w:lang w:val="sv-SE" w:eastAsia="zh-CN" w:bidi="ar"/>
              </w:rPr>
            </w:pPr>
            <w:r>
              <w:rPr>
                <w:rFonts w:ascii="Arial" w:hAnsi="Arial" w:eastAsia="Yu Mincho"/>
                <w:b/>
                <w:szCs w:val="22"/>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rPr>
            </w:pPr>
            <w:r>
              <w:rPr>
                <w:rFonts w:ascii="Arial" w:hAnsi="Arial" w:eastAsia="Yu Mincho"/>
                <w:b/>
                <w:szCs w:val="22"/>
                <w:lang w:val="en-IN" w:eastAsia="zh-CN" w:bidi="ar"/>
              </w:rPr>
              <w:t>Performance Metric</w:t>
            </w:r>
          </w:p>
        </w:tc>
        <w:tc>
          <w:tcPr>
            <w:tcW w:w="2551" w:type="dxa"/>
            <w:gridSpan w:val="3"/>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rPr>
            </w:pPr>
            <w:r>
              <w:rPr>
                <w:rFonts w:ascii="Arial" w:hAnsi="Arial" w:eastAsia="Yu Mincho"/>
                <w:b/>
                <w:szCs w:val="22"/>
                <w:lang w:val="en-US"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vMerge w:val="continue"/>
            <w:tcBorders>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Yu Mincho"/>
                <w:b/>
                <w:szCs w:val="22"/>
                <w:lang w:val="en-US" w:eastAsia="zh-CN" w:bidi="ar"/>
              </w:rPr>
            </w:pPr>
          </w:p>
        </w:tc>
        <w:tc>
          <w:tcPr>
            <w:tcW w:w="4394" w:type="dxa"/>
            <w:vMerge w:val="continue"/>
            <w:tcBorders>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IN" w:eastAsia="zh-CN" w:bidi="ar"/>
              </w:rPr>
            </w:pPr>
          </w:p>
        </w:tc>
        <w:tc>
          <w:tcPr>
            <w:tcW w:w="2551" w:type="dxa"/>
            <w:gridSpan w:val="3"/>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b/>
                <w:szCs w:val="22"/>
                <w:lang w:val="en-US"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line="259" w:lineRule="auto"/>
              <w:jc w:val="center"/>
              <w:rPr>
                <w:rFonts w:ascii="Arial" w:hAnsi="Arial" w:eastAsia="Yu Mincho"/>
                <w:b/>
                <w:szCs w:val="22"/>
                <w:lang w:val="en-US"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IN" w:eastAsia="zh-CN" w:bidi="ar"/>
              </w:rPr>
            </w:pPr>
          </w:p>
        </w:tc>
        <w:tc>
          <w:tcPr>
            <w:tcW w:w="850"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b/>
                <w:szCs w:val="22"/>
                <w:lang w:val="en-US" w:eastAsia="zh-CN" w:bidi="ar"/>
              </w:rPr>
              <w:t>0</w:t>
            </w:r>
            <w:r>
              <w:rPr>
                <w:rFonts w:ascii="Arial" w:hAnsi="Arial" w:eastAsia="Yu Mincho" w:cs="Arial"/>
                <w:b/>
                <w:szCs w:val="22"/>
                <w:lang w:val="en-US" w:eastAsia="zh-CN" w:bidi="ar"/>
              </w:rPr>
              <w:t>°</w:t>
            </w:r>
          </w:p>
        </w:tc>
        <w:tc>
          <w:tcPr>
            <w:tcW w:w="850"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cs="Arial"/>
                <w:b/>
                <w:szCs w:val="22"/>
                <w:lang w:val="en-US" w:eastAsia="zh-CN" w:bidi="ar"/>
              </w:rPr>
              <w:t>30°</w:t>
            </w:r>
          </w:p>
        </w:tc>
        <w:tc>
          <w:tcPr>
            <w:tcW w:w="851"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b/>
                <w:szCs w:val="22"/>
                <w:lang w:val="en-US" w:eastAsia="zh-CN" w:bidi="ar"/>
              </w:rPr>
              <w:t>60</w:t>
            </w:r>
            <w:r>
              <w:rPr>
                <w:rFonts w:ascii="Arial" w:hAnsi="Arial" w:eastAsia="Yu Mincho" w:cs="Arial"/>
                <w:b/>
                <w:szCs w:val="22"/>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zh-CN"/>
              </w:rPr>
            </w:pPr>
            <w:r>
              <w:rPr>
                <w:rFonts w:ascii="Arial" w:hAnsi="Arial" w:eastAsia="Yu Mincho"/>
                <w:szCs w:val="22"/>
                <w:lang w:val="sv-SE" w:eastAsia="zh-CN"/>
              </w:rPr>
              <w:t>[Company 1]</w:t>
            </w:r>
          </w:p>
          <w:p>
            <w:pPr>
              <w:spacing w:after="160" w:line="259" w:lineRule="auto"/>
              <w:jc w:val="center"/>
              <w:textAlignment w:val="auto"/>
              <w:rPr>
                <w:rFonts w:ascii="Arial" w:hAnsi="Arial" w:eastAsia="Yu Mincho"/>
                <w:szCs w:val="22"/>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宋体"/>
                <w:szCs w:val="22"/>
                <w:lang w:val="en-US" w:eastAsia="zh-CN"/>
              </w:rPr>
            </w:pPr>
            <w:r>
              <w:rPr>
                <w:rFonts w:ascii="Arial" w:hAnsi="Arial" w:eastAsia="Malgun Gothic"/>
                <w:szCs w:val="22"/>
                <w:lang w:val="en-US" w:eastAsia="ko" w:bidi="ar"/>
              </w:rPr>
              <w:t>5%</w:t>
            </w:r>
            <w:r>
              <w:rPr>
                <w:rFonts w:hint="eastAsia" w:ascii="Arial" w:hAnsi="Arial" w:eastAsia="宋体"/>
                <w:szCs w:val="22"/>
                <w:lang w:val="en-US" w:eastAsia="zh-CN" w:bidi="ar"/>
              </w:rPr>
              <w:t xml:space="preserve"> in the whole network</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ko"/>
              </w:rPr>
            </w:pP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ko"/>
              </w:rPr>
            </w:pP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k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spacing w:after="160" w:line="259" w:lineRule="auto"/>
              <w:jc w:val="center"/>
              <w:textAlignment w:val="auto"/>
              <w:rPr>
                <w:rFonts w:ascii="Arial" w:hAnsi="Arial" w:eastAsia="Yu Mincho"/>
                <w:szCs w:val="22"/>
                <w:lang w:val="en-US" w:eastAsia="en-US"/>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宋体"/>
                <w:szCs w:val="22"/>
                <w:lang w:val="en-US" w:eastAsia="zh-CN"/>
              </w:rPr>
            </w:pPr>
            <w:r>
              <w:rPr>
                <w:rFonts w:ascii="Arial" w:hAnsi="Arial" w:eastAsia="Malgun Gothic"/>
                <w:szCs w:val="22"/>
                <w:lang w:val="en-US" w:eastAsia="ko" w:bidi="ar"/>
              </w:rPr>
              <w:t>Average of all users</w:t>
            </w:r>
            <w:r>
              <w:rPr>
                <w:rFonts w:hint="eastAsia" w:ascii="Arial" w:hAnsi="Arial" w:eastAsia="宋体"/>
                <w:szCs w:val="22"/>
                <w:lang w:val="en-US" w:eastAsia="zh-CN" w:bidi="ar"/>
              </w:rPr>
              <w:t xml:space="preserve"> in the whole network</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en-IN" w:eastAsia="ko"/>
              </w:rPr>
            </w:pP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en-IN" w:eastAsia="ko"/>
              </w:rPr>
            </w:pP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en-IN" w:eastAsia="k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spacing w:after="160" w:line="259" w:lineRule="auto"/>
              <w:jc w:val="center"/>
              <w:textAlignment w:val="auto"/>
              <w:rPr>
                <w:rFonts w:ascii="Arial" w:hAnsi="Arial" w:eastAsia="Yu Mincho"/>
                <w:szCs w:val="22"/>
                <w:lang w:val="en-US" w:eastAsia="en-US"/>
              </w:rPr>
            </w:pPr>
          </w:p>
        </w:tc>
        <w:tc>
          <w:tcPr>
            <w:tcW w:w="1418" w:type="dxa"/>
            <w:vMerge w:val="restart"/>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5%</w:t>
            </w:r>
            <w:r>
              <w:rPr>
                <w:rFonts w:hint="eastAsia" w:ascii="Arial" w:hAnsi="Arial" w:eastAsia="宋体"/>
                <w:szCs w:val="22"/>
                <w:lang w:val="en-US" w:eastAsia="zh-CN" w:bidi="ar"/>
              </w:rPr>
              <w:t xml:space="preserve"> in the whole network</w:t>
            </w:r>
          </w:p>
        </w:tc>
        <w:tc>
          <w:tcPr>
            <w:tcW w:w="850"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spacing w:after="160" w:line="259" w:lineRule="auto"/>
              <w:textAlignment w:val="auto"/>
              <w:rPr>
                <w:rFonts w:ascii="Arial" w:hAnsi="Arial" w:eastAsia="Yu Mincho"/>
                <w:szCs w:val="22"/>
                <w:lang w:val="en-US" w:eastAsia="en-US"/>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Average of all users</w:t>
            </w:r>
            <w:r>
              <w:rPr>
                <w:rFonts w:hint="eastAsia" w:ascii="Arial" w:hAnsi="Arial" w:eastAsia="宋体"/>
                <w:szCs w:val="22"/>
                <w:lang w:val="en-US"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zh-CN"/>
              </w:rPr>
            </w:pPr>
            <w:r>
              <w:rPr>
                <w:rFonts w:ascii="Arial" w:hAnsi="Arial" w:eastAsia="Yu Mincho"/>
                <w:szCs w:val="22"/>
                <w:lang w:val="sv-SE" w:eastAsia="zh-CN"/>
              </w:rPr>
              <w:t>[Company 2]</w:t>
            </w:r>
          </w:p>
          <w:p>
            <w:pPr>
              <w:spacing w:after="160" w:line="259" w:lineRule="auto"/>
              <w:textAlignment w:val="auto"/>
              <w:rPr>
                <w:rFonts w:ascii="Arial" w:hAnsi="Arial" w:eastAsia="Yu Mincho"/>
                <w:szCs w:val="22"/>
                <w:lang w:val="en-US" w:eastAsia="en-US"/>
              </w:rPr>
            </w:pPr>
          </w:p>
        </w:tc>
        <w:tc>
          <w:tcPr>
            <w:tcW w:w="1418" w:type="dxa"/>
            <w:vMerge w:val="restart"/>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5%</w:t>
            </w:r>
            <w:r>
              <w:rPr>
                <w:rFonts w:hint="eastAsia" w:ascii="Arial" w:hAnsi="Arial" w:eastAsia="宋体"/>
                <w:szCs w:val="22"/>
                <w:lang w:val="en-US"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zh-CN"/>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Average of all users</w:t>
            </w:r>
            <w:r>
              <w:rPr>
                <w:rFonts w:hint="eastAsia" w:ascii="Arial" w:hAnsi="Arial" w:eastAsia="宋体"/>
                <w:szCs w:val="22"/>
                <w:lang w:val="en-US"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spacing w:after="160" w:line="259" w:lineRule="auto"/>
              <w:textAlignment w:val="auto"/>
              <w:rPr>
                <w:rFonts w:ascii="Arial" w:hAnsi="Arial" w:eastAsia="Yu Mincho"/>
                <w:szCs w:val="22"/>
                <w:lang w:val="en-US" w:eastAsia="en-US"/>
              </w:rPr>
            </w:pPr>
          </w:p>
        </w:tc>
        <w:tc>
          <w:tcPr>
            <w:tcW w:w="1418" w:type="dxa"/>
            <w:vMerge w:val="restart"/>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Subarray</w:t>
            </w:r>
          </w:p>
        </w:tc>
        <w:tc>
          <w:tcPr>
            <w:tcW w:w="4394" w:type="dxa"/>
            <w:tcBorders>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5%</w:t>
            </w:r>
            <w:r>
              <w:rPr>
                <w:rFonts w:hint="eastAsia" w:ascii="Arial" w:hAnsi="Arial" w:eastAsia="宋体"/>
                <w:szCs w:val="22"/>
                <w:lang w:val="en-US"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spacing w:after="160" w:line="259" w:lineRule="auto"/>
              <w:textAlignment w:val="auto"/>
              <w:rPr>
                <w:rFonts w:ascii="Arial" w:hAnsi="Arial" w:eastAsia="Yu Mincho"/>
                <w:szCs w:val="22"/>
                <w:lang w:val="en-US" w:eastAsia="en-US"/>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Average of all users</w:t>
            </w:r>
            <w:r>
              <w:rPr>
                <w:rFonts w:hint="eastAsia" w:ascii="Arial" w:hAnsi="Arial" w:eastAsia="宋体"/>
                <w:szCs w:val="22"/>
                <w:lang w:val="en-US"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0"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51"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bl>
    <w:p>
      <w:pPr>
        <w:overflowPunct/>
        <w:autoSpaceDE/>
        <w:autoSpaceDN/>
        <w:adjustRightInd/>
        <w:spacing w:after="160" w:line="259" w:lineRule="auto"/>
        <w:textAlignment w:val="auto"/>
        <w:rPr>
          <w:rFonts w:ascii="Arial" w:hAnsi="Arial" w:eastAsia="等线"/>
          <w:szCs w:val="22"/>
          <w:lang w:val="en-US" w:eastAsia="en-US"/>
        </w:rPr>
      </w:pPr>
    </w:p>
    <w:p>
      <w:pPr>
        <w:overflowPunct/>
        <w:autoSpaceDE/>
        <w:autoSpaceDN/>
        <w:adjustRightInd/>
        <w:spacing w:after="160" w:line="259" w:lineRule="auto"/>
        <w:textAlignment w:val="auto"/>
        <w:rPr>
          <w:rFonts w:ascii="Arial" w:hAnsi="Arial" w:eastAsia="等线"/>
          <w:szCs w:val="22"/>
          <w:lang w:val="en-US" w:eastAsia="en-US"/>
        </w:rPr>
      </w:pPr>
    </w:p>
    <w:p>
      <w:pPr>
        <w:keepNext/>
        <w:keepLines/>
        <w:overflowPunct/>
        <w:autoSpaceDE/>
        <w:autoSpaceDN/>
        <w:adjustRightInd/>
        <w:spacing w:before="40" w:after="0" w:line="259" w:lineRule="auto"/>
        <w:textAlignment w:val="auto"/>
        <w:outlineLvl w:val="3"/>
        <w:rPr>
          <w:rFonts w:ascii="Arial" w:hAnsi="Arial" w:eastAsia="等线 Light" w:cs="Arial"/>
          <w:sz w:val="24"/>
          <w:szCs w:val="24"/>
          <w:lang w:val="sv-SE" w:eastAsia="en-US"/>
        </w:rPr>
      </w:pPr>
      <w:r>
        <w:rPr>
          <w:rFonts w:ascii="Arial" w:hAnsi="Arial" w:eastAsia="等线 Light" w:cs="Arial"/>
          <w:sz w:val="24"/>
          <w:szCs w:val="24"/>
          <w:lang w:val="sv-SE" w:eastAsia="en-US"/>
        </w:rPr>
        <w:t>6.4.2.4 Scenario 8: 4GHz TN UL interfering ATG DL</w:t>
      </w:r>
    </w:p>
    <w:p>
      <w:pPr>
        <w:overflowPunct/>
        <w:autoSpaceDE/>
        <w:autoSpaceDN/>
        <w:adjustRightInd/>
        <w:spacing w:after="160" w:line="259" w:lineRule="auto"/>
        <w:textAlignment w:val="auto"/>
        <w:rPr>
          <w:rFonts w:ascii="Arial" w:hAnsi="Arial" w:eastAsia="等线"/>
          <w:szCs w:val="22"/>
          <w:lang w:val="sv-SE" w:eastAsia="en-US"/>
        </w:rPr>
      </w:pPr>
    </w:p>
    <w:p>
      <w:pPr>
        <w:overflowPunct/>
        <w:autoSpaceDE/>
        <w:autoSpaceDN/>
        <w:adjustRightInd/>
        <w:spacing w:after="160" w:line="259" w:lineRule="auto"/>
        <w:textAlignment w:val="auto"/>
        <w:rPr>
          <w:rFonts w:ascii="Arial" w:hAnsi="Arial" w:eastAsia="等线"/>
          <w:szCs w:val="22"/>
          <w:lang w:val="sv-SE" w:eastAsia="en-US"/>
        </w:rPr>
      </w:pPr>
    </w:p>
    <w:p>
      <w:pPr>
        <w:keepNext/>
        <w:keepLines/>
        <w:overflowPunct/>
        <w:autoSpaceDE/>
        <w:autoSpaceDN/>
        <w:adjustRightInd/>
        <w:spacing w:before="40" w:after="0" w:line="259" w:lineRule="auto"/>
        <w:textAlignment w:val="auto"/>
        <w:outlineLvl w:val="3"/>
        <w:rPr>
          <w:rFonts w:ascii="Arial" w:hAnsi="Arial" w:eastAsia="等线 Light" w:cs="Arial"/>
          <w:sz w:val="24"/>
          <w:szCs w:val="24"/>
          <w:lang w:val="sv-SE" w:eastAsia="en-US"/>
        </w:rPr>
      </w:pPr>
      <w:r>
        <w:rPr>
          <w:rFonts w:ascii="Arial" w:hAnsi="Arial" w:eastAsia="等线 Light" w:cs="Arial"/>
          <w:sz w:val="24"/>
          <w:szCs w:val="24"/>
          <w:lang w:val="sv-SE" w:eastAsia="en-US"/>
        </w:rPr>
        <w:t>6.4.2.5 Scenario 13: 2GHz ATG UL interfering TN DL</w:t>
      </w:r>
    </w:p>
    <w:p>
      <w:pPr>
        <w:overflowPunct/>
        <w:autoSpaceDE/>
        <w:autoSpaceDN/>
        <w:adjustRightInd/>
        <w:spacing w:after="160" w:line="259" w:lineRule="auto"/>
        <w:textAlignment w:val="auto"/>
        <w:rPr>
          <w:rFonts w:ascii="Arial" w:hAnsi="Arial" w:eastAsia="等线"/>
          <w:szCs w:val="22"/>
          <w:lang w:val="sv-SE" w:eastAsia="en-US"/>
        </w:rPr>
      </w:pPr>
    </w:p>
    <w:p>
      <w:pPr>
        <w:overflowPunct/>
        <w:autoSpaceDE/>
        <w:autoSpaceDN/>
        <w:adjustRightInd/>
        <w:spacing w:after="160" w:line="259" w:lineRule="auto"/>
        <w:textAlignment w:val="auto"/>
        <w:rPr>
          <w:rFonts w:ascii="Arial" w:hAnsi="Arial" w:eastAsia="等线"/>
          <w:szCs w:val="22"/>
          <w:lang w:val="sv-SE" w:eastAsia="en-US"/>
        </w:rPr>
      </w:pPr>
    </w:p>
    <w:p>
      <w:pPr>
        <w:keepNext/>
        <w:keepLines/>
        <w:overflowPunct/>
        <w:autoSpaceDE/>
        <w:autoSpaceDN/>
        <w:adjustRightInd/>
        <w:spacing w:before="40" w:after="0" w:line="259" w:lineRule="auto"/>
        <w:textAlignment w:val="auto"/>
        <w:outlineLvl w:val="3"/>
        <w:rPr>
          <w:rFonts w:ascii="Arial" w:hAnsi="Arial" w:eastAsia="等线 Light" w:cs="Arial"/>
          <w:sz w:val="24"/>
          <w:szCs w:val="24"/>
          <w:lang w:val="sv-SE" w:eastAsia="en-US"/>
        </w:rPr>
      </w:pPr>
      <w:r>
        <w:rPr>
          <w:rFonts w:ascii="Arial" w:hAnsi="Arial" w:eastAsia="等线 Light" w:cs="Arial"/>
          <w:sz w:val="24"/>
          <w:szCs w:val="24"/>
          <w:lang w:val="sv-SE" w:eastAsia="en-US"/>
        </w:rPr>
        <w:t>6.4.2.6 Scenario 14: 2GHz TN DL interfering ATG UL</w:t>
      </w:r>
    </w:p>
    <w:p>
      <w:pPr>
        <w:overflowPunct/>
        <w:autoSpaceDE/>
        <w:autoSpaceDN/>
        <w:adjustRightInd/>
        <w:spacing w:after="160" w:line="259" w:lineRule="auto"/>
        <w:textAlignment w:val="auto"/>
        <w:rPr>
          <w:rFonts w:ascii="Arial" w:hAnsi="Arial" w:eastAsia="等线"/>
          <w:szCs w:val="22"/>
          <w:lang w:val="sv-SE" w:eastAsia="en-US"/>
        </w:rPr>
      </w:pPr>
    </w:p>
    <w:p>
      <w:pPr>
        <w:spacing w:after="120"/>
        <w:rPr>
          <w:rFonts w:eastAsia="宋体"/>
        </w:rPr>
      </w:pPr>
      <w:r>
        <w:rPr>
          <w:rFonts w:eastAsia="宋体"/>
        </w:rPr>
        <w:t>This scenario captures the co-existence results after evaluation from all possible options. Here TN DL with both AAS subarray and non-subarray model is interfering ATG UL deployed in rural macro environment. Plots will be included once the results are captured in the excel sheet from the interested companies.</w:t>
      </w:r>
    </w:p>
    <w:p>
      <w:pPr>
        <w:overflowPunct/>
        <w:autoSpaceDE/>
        <w:autoSpaceDN/>
        <w:adjustRightInd/>
        <w:spacing w:after="160" w:line="259" w:lineRule="auto"/>
        <w:textAlignment w:val="auto"/>
        <w:rPr>
          <w:rFonts w:ascii="Arial" w:hAnsi="Arial" w:eastAsia="等线"/>
          <w:szCs w:val="22"/>
          <w:lang w:val="en-US" w:eastAsia="en-US"/>
        </w:rPr>
      </w:pPr>
    </w:p>
    <w:p>
      <w:pPr>
        <w:keepNext/>
        <w:keepLines/>
        <w:spacing w:before="240"/>
        <w:jc w:val="center"/>
        <w:rPr>
          <w:rFonts w:ascii="Arial" w:hAnsi="Arial"/>
          <w:b/>
        </w:rPr>
      </w:pPr>
      <w:r>
        <w:rPr>
          <w:rFonts w:ascii="Arial" w:hAnsi="Arial"/>
          <w:b/>
        </w:rPr>
        <w:t>Table 6.4.2.6-1: Simulation results for Scenario 13 – 2GHz TN DL interfering ATG UL</w:t>
      </w:r>
    </w:p>
    <w:tbl>
      <w:tblPr>
        <w:tblStyle w:val="49"/>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03"/>
        <w:gridCol w:w="803"/>
        <w:gridCol w:w="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zh-CN" w:eastAsia="zh-CN"/>
              </w:rPr>
            </w:pPr>
            <w:r>
              <w:rPr>
                <w:rFonts w:ascii="Arial" w:hAnsi="Arial" w:eastAsia="Yu Mincho"/>
                <w:b/>
                <w:szCs w:val="22"/>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line="259" w:lineRule="auto"/>
              <w:jc w:val="center"/>
              <w:rPr>
                <w:rFonts w:ascii="Arial" w:hAnsi="Arial" w:eastAsia="Yu Mincho"/>
                <w:b/>
                <w:szCs w:val="22"/>
                <w:lang w:val="sv-SE" w:eastAsia="zh-CN" w:bidi="ar"/>
              </w:rPr>
            </w:pPr>
            <w:r>
              <w:rPr>
                <w:rFonts w:ascii="Arial" w:hAnsi="Arial" w:eastAsia="Yu Mincho"/>
                <w:b/>
                <w:szCs w:val="22"/>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rPr>
            </w:pPr>
            <w:r>
              <w:rPr>
                <w:rFonts w:ascii="Arial" w:hAnsi="Arial" w:eastAsia="Yu Mincho"/>
                <w:b/>
                <w:szCs w:val="22"/>
                <w:lang w:val="en-IN" w:eastAsia="zh-CN" w:bidi="ar"/>
              </w:rPr>
              <w:t>Performance Metric</w:t>
            </w:r>
          </w:p>
        </w:tc>
        <w:tc>
          <w:tcPr>
            <w:tcW w:w="2410" w:type="dxa"/>
            <w:gridSpan w:val="3"/>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rPr>
            </w:pPr>
            <w:r>
              <w:rPr>
                <w:rFonts w:ascii="Arial" w:hAnsi="Arial" w:eastAsia="Yu Mincho"/>
                <w:b/>
                <w:szCs w:val="22"/>
                <w:lang w:val="en-US"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Yu Mincho"/>
                <w:b/>
                <w:szCs w:val="22"/>
                <w:lang w:val="en-US" w:eastAsia="zh-CN" w:bidi="ar"/>
              </w:rPr>
            </w:pPr>
          </w:p>
        </w:tc>
        <w:tc>
          <w:tcPr>
            <w:tcW w:w="4394" w:type="dxa"/>
            <w:vMerge w:val="continue"/>
            <w:tcBorders>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IN" w:eastAsia="zh-CN" w:bidi="ar"/>
              </w:rPr>
            </w:pPr>
          </w:p>
        </w:tc>
        <w:tc>
          <w:tcPr>
            <w:tcW w:w="2410" w:type="dxa"/>
            <w:gridSpan w:val="3"/>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b/>
                <w:szCs w:val="22"/>
                <w:lang w:val="en-US"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line="259" w:lineRule="auto"/>
              <w:jc w:val="center"/>
              <w:rPr>
                <w:rFonts w:ascii="Arial" w:hAnsi="Arial" w:eastAsia="Yu Mincho"/>
                <w:b/>
                <w:szCs w:val="22"/>
                <w:lang w:val="en-US"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IN" w:eastAsia="zh-CN" w:bidi="ar"/>
              </w:rPr>
            </w:pPr>
          </w:p>
        </w:tc>
        <w:tc>
          <w:tcPr>
            <w:tcW w:w="803"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b/>
                <w:szCs w:val="22"/>
                <w:lang w:val="en-US" w:eastAsia="zh-CN" w:bidi="ar"/>
              </w:rPr>
              <w:t>0</w:t>
            </w:r>
            <w:r>
              <w:rPr>
                <w:rFonts w:ascii="Arial" w:hAnsi="Arial" w:eastAsia="Yu Mincho" w:cs="Arial"/>
                <w:b/>
                <w:szCs w:val="22"/>
                <w:lang w:val="en-US" w:eastAsia="zh-CN" w:bidi="ar"/>
              </w:rPr>
              <w:t>°</w:t>
            </w:r>
          </w:p>
        </w:tc>
        <w:tc>
          <w:tcPr>
            <w:tcW w:w="803"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cs="Arial"/>
                <w:b/>
                <w:szCs w:val="22"/>
                <w:lang w:val="en-US" w:eastAsia="zh-CN" w:bidi="ar"/>
              </w:rPr>
              <w:t>30°</w:t>
            </w:r>
          </w:p>
        </w:tc>
        <w:tc>
          <w:tcPr>
            <w:tcW w:w="804"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b/>
                <w:szCs w:val="22"/>
                <w:lang w:val="en-US" w:eastAsia="zh-CN" w:bidi="ar"/>
              </w:rPr>
            </w:pPr>
            <w:r>
              <w:rPr>
                <w:rFonts w:ascii="Arial" w:hAnsi="Arial" w:eastAsia="Yu Mincho"/>
                <w:b/>
                <w:szCs w:val="22"/>
                <w:lang w:val="en-US" w:eastAsia="zh-CN" w:bidi="ar"/>
              </w:rPr>
              <w:t>60</w:t>
            </w:r>
            <w:r>
              <w:rPr>
                <w:rFonts w:ascii="Arial" w:hAnsi="Arial" w:eastAsia="Yu Mincho" w:cs="Arial"/>
                <w:b/>
                <w:szCs w:val="22"/>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zh-CN"/>
              </w:rPr>
            </w:pPr>
            <w:r>
              <w:rPr>
                <w:rFonts w:ascii="Arial" w:hAnsi="Arial" w:eastAsia="Yu Mincho"/>
                <w:szCs w:val="22"/>
                <w:lang w:val="sv-SE" w:eastAsia="zh-CN"/>
              </w:rPr>
              <w:t>[Company 1]</w:t>
            </w:r>
          </w:p>
          <w:p>
            <w:pPr>
              <w:spacing w:after="160" w:line="259" w:lineRule="auto"/>
              <w:jc w:val="center"/>
              <w:textAlignment w:val="auto"/>
              <w:rPr>
                <w:rFonts w:ascii="Arial" w:hAnsi="Arial" w:eastAsia="Yu Mincho"/>
                <w:szCs w:val="22"/>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宋体"/>
                <w:szCs w:val="22"/>
                <w:lang w:val="en-US" w:eastAsia="zh-CN"/>
              </w:rPr>
            </w:pPr>
            <w:r>
              <w:rPr>
                <w:rFonts w:ascii="Arial" w:hAnsi="Arial" w:eastAsia="Malgun Gothic"/>
                <w:szCs w:val="22"/>
                <w:lang w:val="en-US" w:eastAsia="ko" w:bidi="ar"/>
              </w:rPr>
              <w:t>5%</w:t>
            </w:r>
            <w:r>
              <w:rPr>
                <w:rFonts w:hint="eastAsia" w:ascii="Arial" w:hAnsi="Arial" w:eastAsia="宋体"/>
                <w:szCs w:val="22"/>
                <w:lang w:val="en-US" w:eastAsia="zh-CN" w:bidi="ar"/>
              </w:rPr>
              <w:t xml:space="preserve"> in the whole network</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ko"/>
              </w:rPr>
            </w:pP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ko"/>
              </w:rPr>
            </w:pPr>
          </w:p>
        </w:tc>
        <w:tc>
          <w:tcPr>
            <w:tcW w:w="80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k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spacing w:after="160" w:line="259" w:lineRule="auto"/>
              <w:jc w:val="center"/>
              <w:textAlignment w:val="auto"/>
              <w:rPr>
                <w:rFonts w:ascii="Arial" w:hAnsi="Arial" w:eastAsia="Yu Mincho"/>
                <w:szCs w:val="22"/>
                <w:lang w:val="en-US" w:eastAsia="en-US"/>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宋体"/>
                <w:szCs w:val="22"/>
                <w:lang w:val="en-US" w:eastAsia="zh-CN"/>
              </w:rPr>
            </w:pPr>
            <w:r>
              <w:rPr>
                <w:rFonts w:ascii="Arial" w:hAnsi="Arial" w:eastAsia="Malgun Gothic"/>
                <w:szCs w:val="22"/>
                <w:lang w:val="en-US" w:eastAsia="ko" w:bidi="ar"/>
              </w:rPr>
              <w:t>Average of all users</w:t>
            </w:r>
            <w:r>
              <w:rPr>
                <w:rFonts w:hint="eastAsia" w:ascii="Arial" w:hAnsi="Arial" w:eastAsia="宋体"/>
                <w:szCs w:val="22"/>
                <w:lang w:val="en-US" w:eastAsia="zh-CN" w:bidi="ar"/>
              </w:rPr>
              <w:t xml:space="preserve"> in the whole network</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rPr>
                <w:rFonts w:ascii="Arial" w:hAnsi="Arial" w:eastAsia="Yu Mincho"/>
                <w:szCs w:val="22"/>
                <w:lang w:val="en-IN" w:eastAsia="ko"/>
              </w:rPr>
            </w:pP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en-IN" w:eastAsia="ko"/>
              </w:rPr>
            </w:pPr>
          </w:p>
        </w:tc>
        <w:tc>
          <w:tcPr>
            <w:tcW w:w="80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Yu Mincho"/>
                <w:szCs w:val="22"/>
                <w:lang w:val="en-IN" w:eastAsia="k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spacing w:after="160" w:line="259" w:lineRule="auto"/>
              <w:jc w:val="center"/>
              <w:textAlignment w:val="auto"/>
              <w:rPr>
                <w:rFonts w:ascii="Arial" w:hAnsi="Arial" w:eastAsia="Yu Mincho"/>
                <w:szCs w:val="22"/>
                <w:lang w:val="en-US" w:eastAsia="en-US"/>
              </w:rPr>
            </w:pPr>
          </w:p>
        </w:tc>
        <w:tc>
          <w:tcPr>
            <w:tcW w:w="1418" w:type="dxa"/>
            <w:vMerge w:val="restart"/>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5%</w:t>
            </w:r>
            <w:r>
              <w:rPr>
                <w:rFonts w:hint="eastAsia" w:ascii="Arial" w:hAnsi="Arial" w:eastAsia="宋体"/>
                <w:szCs w:val="22"/>
                <w:lang w:val="en-US" w:eastAsia="zh-CN" w:bidi="ar"/>
              </w:rPr>
              <w:t xml:space="preserve"> in the whole network</w:t>
            </w:r>
          </w:p>
        </w:tc>
        <w:tc>
          <w:tcPr>
            <w:tcW w:w="803"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3"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4"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spacing w:after="160" w:line="259" w:lineRule="auto"/>
              <w:textAlignment w:val="auto"/>
              <w:rPr>
                <w:rFonts w:ascii="Arial" w:hAnsi="Arial" w:eastAsia="Yu Mincho"/>
                <w:szCs w:val="22"/>
                <w:lang w:val="en-US" w:eastAsia="en-US"/>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Average of all users</w:t>
            </w:r>
            <w:r>
              <w:rPr>
                <w:rFonts w:hint="eastAsia" w:ascii="Arial" w:hAnsi="Arial" w:eastAsia="宋体"/>
                <w:szCs w:val="22"/>
                <w:lang w:val="en-US"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3"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4"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zh-CN"/>
              </w:rPr>
            </w:pPr>
            <w:r>
              <w:rPr>
                <w:rFonts w:ascii="Arial" w:hAnsi="Arial" w:eastAsia="Yu Mincho"/>
                <w:szCs w:val="22"/>
                <w:lang w:val="sv-SE" w:eastAsia="zh-CN"/>
              </w:rPr>
              <w:t>[Company 2]</w:t>
            </w:r>
          </w:p>
          <w:p>
            <w:pPr>
              <w:spacing w:after="160" w:line="259" w:lineRule="auto"/>
              <w:textAlignment w:val="auto"/>
              <w:rPr>
                <w:rFonts w:ascii="Arial" w:hAnsi="Arial" w:eastAsia="Yu Mincho"/>
                <w:szCs w:val="22"/>
                <w:lang w:val="en-US" w:eastAsia="en-US"/>
              </w:rPr>
            </w:pPr>
          </w:p>
        </w:tc>
        <w:tc>
          <w:tcPr>
            <w:tcW w:w="1418" w:type="dxa"/>
            <w:vMerge w:val="restart"/>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5%</w:t>
            </w:r>
            <w:r>
              <w:rPr>
                <w:rFonts w:hint="eastAsia" w:ascii="Arial" w:hAnsi="Arial" w:eastAsia="宋体"/>
                <w:szCs w:val="22"/>
                <w:lang w:val="en-US"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3"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4"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sv-SE" w:eastAsia="zh-CN"/>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Average of all users</w:t>
            </w:r>
            <w:r>
              <w:rPr>
                <w:rFonts w:hint="eastAsia" w:ascii="Arial" w:hAnsi="Arial" w:eastAsia="宋体"/>
                <w:szCs w:val="22"/>
                <w:lang w:val="en-US"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3"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4"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spacing w:after="160" w:line="259" w:lineRule="auto"/>
              <w:textAlignment w:val="auto"/>
              <w:rPr>
                <w:rFonts w:ascii="Arial" w:hAnsi="Arial" w:eastAsia="Yu Mincho"/>
                <w:szCs w:val="22"/>
                <w:lang w:val="en-US" w:eastAsia="en-US"/>
              </w:rPr>
            </w:pPr>
          </w:p>
        </w:tc>
        <w:tc>
          <w:tcPr>
            <w:tcW w:w="1418" w:type="dxa"/>
            <w:vMerge w:val="restart"/>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Subarray</w:t>
            </w:r>
          </w:p>
        </w:tc>
        <w:tc>
          <w:tcPr>
            <w:tcW w:w="4394" w:type="dxa"/>
            <w:tcBorders>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5%</w:t>
            </w:r>
            <w:r>
              <w:rPr>
                <w:rFonts w:hint="eastAsia" w:ascii="Arial" w:hAnsi="Arial" w:eastAsia="宋体"/>
                <w:szCs w:val="22"/>
                <w:lang w:val="en-US"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3"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4"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spacing w:after="160" w:line="259" w:lineRule="auto"/>
              <w:textAlignment w:val="auto"/>
              <w:rPr>
                <w:rFonts w:ascii="Arial" w:hAnsi="Arial" w:eastAsia="Yu Mincho"/>
                <w:szCs w:val="22"/>
                <w:lang w:val="en-US" w:eastAsia="en-US"/>
              </w:rPr>
            </w:pPr>
          </w:p>
        </w:tc>
        <w:tc>
          <w:tcPr>
            <w:tcW w:w="1418" w:type="dxa"/>
            <w:vMerge w:val="continue"/>
            <w:tcBorders>
              <w:left w:val="single" w:color="auto" w:sz="4" w:space="0"/>
              <w:right w:val="single" w:color="auto" w:sz="4" w:space="0"/>
            </w:tcBorders>
          </w:tcPr>
          <w:p>
            <w:pPr>
              <w:keepNext/>
              <w:keepLines/>
              <w:spacing w:after="0" w:line="259" w:lineRule="auto"/>
              <w:jc w:val="center"/>
              <w:rPr>
                <w:rFonts w:ascii="Arial" w:hAnsi="Arial" w:eastAsia="Malgun Gothic"/>
                <w:szCs w:val="22"/>
                <w:lang w:val="en-US" w:eastAsia="ko" w:bidi="ar"/>
              </w:rPr>
            </w:pPr>
          </w:p>
        </w:tc>
        <w:tc>
          <w:tcPr>
            <w:tcW w:w="4394" w:type="dxa"/>
            <w:tcBorders>
              <w:left w:val="single" w:color="auto" w:sz="4" w:space="0"/>
              <w:right w:val="single" w:color="auto" w:sz="4" w:space="0"/>
            </w:tcBorders>
            <w:vAlign w:val="center"/>
          </w:tcPr>
          <w:p>
            <w:pPr>
              <w:keepNext/>
              <w:keepLines/>
              <w:spacing w:after="0" w:line="259" w:lineRule="auto"/>
              <w:jc w:val="center"/>
              <w:rPr>
                <w:rFonts w:ascii="Arial" w:hAnsi="Arial" w:eastAsia="Malgun Gothic"/>
                <w:szCs w:val="22"/>
                <w:lang w:val="en-US" w:eastAsia="ko" w:bidi="ar"/>
              </w:rPr>
            </w:pPr>
            <w:r>
              <w:rPr>
                <w:rFonts w:ascii="Arial" w:hAnsi="Arial" w:eastAsia="Malgun Gothic"/>
                <w:szCs w:val="22"/>
                <w:lang w:val="en-US" w:eastAsia="ko" w:bidi="ar"/>
              </w:rPr>
              <w:t>Average of all users</w:t>
            </w:r>
            <w:r>
              <w:rPr>
                <w:rFonts w:hint="eastAsia" w:ascii="Arial" w:hAnsi="Arial" w:eastAsia="宋体"/>
                <w:szCs w:val="22"/>
                <w:lang w:val="en-US"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3"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c>
          <w:tcPr>
            <w:tcW w:w="804" w:type="dxa"/>
            <w:tcBorders>
              <w:left w:val="single" w:color="auto" w:sz="4" w:space="0"/>
              <w:right w:val="single" w:color="auto" w:sz="4" w:space="0"/>
            </w:tcBorders>
            <w:vAlign w:val="center"/>
          </w:tcPr>
          <w:p>
            <w:pPr>
              <w:keepNext/>
              <w:keepLines/>
              <w:spacing w:after="0" w:line="259" w:lineRule="auto"/>
              <w:jc w:val="center"/>
              <w:rPr>
                <w:rFonts w:ascii="Arial" w:hAnsi="Arial" w:eastAsia="Yu Mincho"/>
                <w:szCs w:val="22"/>
                <w:lang w:val="en-US" w:eastAsia="ko" w:bidi="ar"/>
              </w:rPr>
            </w:pPr>
          </w:p>
        </w:tc>
      </w:tr>
    </w:tbl>
    <w:p>
      <w:pPr>
        <w:overflowPunct/>
        <w:autoSpaceDE/>
        <w:autoSpaceDN/>
        <w:adjustRightInd/>
        <w:spacing w:after="160" w:line="259" w:lineRule="auto"/>
        <w:textAlignment w:val="auto"/>
        <w:rPr>
          <w:rFonts w:ascii="Arial" w:hAnsi="Arial" w:eastAsia="等线"/>
          <w:szCs w:val="22"/>
          <w:lang w:val="en-US" w:eastAsia="en-US"/>
        </w:rPr>
      </w:pPr>
    </w:p>
    <w:p>
      <w:pPr>
        <w:keepNext/>
        <w:keepLines/>
        <w:spacing w:before="180"/>
        <w:ind w:left="1134" w:hanging="1134"/>
        <w:outlineLvl w:val="1"/>
        <w:rPr>
          <w:rFonts w:ascii="Arial" w:hAnsi="Arial" w:cs="Arial"/>
          <w:sz w:val="32"/>
          <w:lang w:eastAsia="ja-JP"/>
        </w:rPr>
      </w:pPr>
      <w:r>
        <w:rPr>
          <w:rFonts w:ascii="Arial" w:hAnsi="Arial" w:cs="Arial"/>
          <w:sz w:val="32"/>
          <w:lang w:eastAsia="ja-JP"/>
        </w:rPr>
        <w:t>6.5 Summary of co-existence study</w:t>
      </w:r>
    </w:p>
    <w:p>
      <w:pPr>
        <w:overflowPunct/>
        <w:autoSpaceDE/>
        <w:autoSpaceDN/>
        <w:adjustRightInd/>
        <w:spacing w:after="160" w:line="259" w:lineRule="auto"/>
        <w:textAlignment w:val="auto"/>
        <w:rPr>
          <w:rFonts w:ascii="Arial" w:hAnsi="Arial" w:eastAsia="等线"/>
          <w:szCs w:val="22"/>
          <w:lang w:val="en-US" w:eastAsia="en-US"/>
        </w:rPr>
      </w:pPr>
    </w:p>
    <w:p>
      <w:pPr>
        <w:spacing w:after="120"/>
        <w:rPr>
          <w:rFonts w:eastAsia="宋体"/>
        </w:rPr>
      </w:pPr>
      <w:r>
        <w:rPr>
          <w:rFonts w:eastAsia="宋体"/>
        </w:rPr>
        <w:t>Agreed ATG ACLR and ACS values are in following table.</w:t>
      </w:r>
    </w:p>
    <w:p>
      <w:pPr>
        <w:keepNext/>
        <w:keepLines/>
        <w:spacing w:before="240"/>
        <w:jc w:val="center"/>
        <w:rPr>
          <w:rFonts w:ascii="Arial" w:hAnsi="Arial" w:eastAsia="等线"/>
          <w:b/>
          <w:szCs w:val="22"/>
          <w:lang w:val="en-US" w:eastAsia="en-US"/>
        </w:rPr>
      </w:pPr>
      <w:r>
        <w:rPr>
          <w:rFonts w:ascii="Arial" w:hAnsi="Arial" w:eastAsia="等线"/>
          <w:b/>
          <w:szCs w:val="22"/>
          <w:lang w:val="en-US" w:eastAsia="en-US"/>
        </w:rPr>
        <w:t>Table 6.5-1: Agreed ATG ACLR and ACS values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1350"/>
        <w:gridCol w:w="2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28" w:type="dxa"/>
            <w:gridSpan w:val="2"/>
            <w:shd w:val="clear" w:color="auto" w:fill="auto"/>
          </w:tcPr>
          <w:p>
            <w:pPr>
              <w:keepNext/>
              <w:keepLines/>
              <w:spacing w:after="0"/>
              <w:jc w:val="center"/>
              <w:rPr>
                <w:rFonts w:ascii="Arial" w:hAnsi="Arial"/>
                <w:b/>
                <w:sz w:val="18"/>
              </w:rPr>
            </w:pPr>
            <w:r>
              <w:rPr>
                <w:rFonts w:ascii="Arial" w:hAnsi="Arial"/>
                <w:b/>
                <w:sz w:val="18"/>
              </w:rPr>
              <w:t>ATG</w:t>
            </w:r>
          </w:p>
        </w:tc>
        <w:tc>
          <w:tcPr>
            <w:tcW w:w="2610" w:type="dxa"/>
            <w:shd w:val="clear" w:color="auto" w:fill="auto"/>
          </w:tcPr>
          <w:p>
            <w:pPr>
              <w:keepNext/>
              <w:keepLines/>
              <w:spacing w:after="0"/>
              <w:jc w:val="center"/>
              <w:rPr>
                <w:rFonts w:ascii="Arial" w:hAnsi="Arial"/>
                <w:b/>
                <w:sz w:val="18"/>
              </w:rPr>
            </w:pPr>
            <w:r>
              <w:rPr>
                <w:rFonts w:ascii="Arial" w:hAnsi="Arial"/>
                <w:b/>
                <w:sz w:val="18"/>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shd w:val="clear" w:color="auto" w:fill="auto"/>
            <w:vAlign w:val="center"/>
          </w:tcPr>
          <w:p>
            <w:pPr>
              <w:keepNext/>
              <w:keepLines/>
              <w:spacing w:after="0"/>
              <w:jc w:val="center"/>
              <w:rPr>
                <w:rFonts w:ascii="Arial" w:hAnsi="Arial"/>
                <w:sz w:val="18"/>
              </w:rPr>
            </w:pPr>
            <w:r>
              <w:rPr>
                <w:rFonts w:ascii="Arial" w:hAnsi="Arial"/>
                <w:sz w:val="18"/>
              </w:rPr>
              <w:t>BS</w:t>
            </w:r>
          </w:p>
        </w:tc>
        <w:tc>
          <w:tcPr>
            <w:tcW w:w="1350" w:type="dxa"/>
            <w:shd w:val="clear" w:color="auto" w:fill="auto"/>
            <w:vAlign w:val="center"/>
          </w:tcPr>
          <w:p>
            <w:pPr>
              <w:keepNext/>
              <w:keepLines/>
              <w:spacing w:after="0"/>
              <w:jc w:val="center"/>
              <w:rPr>
                <w:rFonts w:ascii="Arial" w:hAnsi="Arial"/>
                <w:sz w:val="18"/>
              </w:rPr>
            </w:pPr>
            <w:r>
              <w:rPr>
                <w:rFonts w:ascii="Arial" w:hAnsi="Arial"/>
                <w:sz w:val="18"/>
              </w:rPr>
              <w:t>ACLR</w:t>
            </w:r>
          </w:p>
        </w:tc>
        <w:tc>
          <w:tcPr>
            <w:tcW w:w="2610" w:type="dxa"/>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shd w:val="clear" w:color="auto" w:fill="auto"/>
            <w:vAlign w:val="center"/>
          </w:tcPr>
          <w:p>
            <w:pPr>
              <w:keepNext/>
              <w:keepLines/>
              <w:spacing w:after="0"/>
              <w:jc w:val="center"/>
              <w:rPr>
                <w:rFonts w:ascii="Arial" w:hAnsi="Arial"/>
                <w:sz w:val="18"/>
              </w:rPr>
            </w:pPr>
          </w:p>
        </w:tc>
        <w:tc>
          <w:tcPr>
            <w:tcW w:w="1350" w:type="dxa"/>
            <w:shd w:val="clear" w:color="auto" w:fill="auto"/>
            <w:vAlign w:val="center"/>
          </w:tcPr>
          <w:p>
            <w:pPr>
              <w:keepNext/>
              <w:keepLines/>
              <w:spacing w:after="0"/>
              <w:jc w:val="center"/>
              <w:rPr>
                <w:rFonts w:ascii="Arial" w:hAnsi="Arial"/>
                <w:sz w:val="18"/>
              </w:rPr>
            </w:pPr>
            <w:r>
              <w:rPr>
                <w:rFonts w:ascii="Arial" w:hAnsi="Arial"/>
                <w:sz w:val="18"/>
              </w:rPr>
              <w:t>ACS</w:t>
            </w:r>
          </w:p>
        </w:tc>
        <w:tc>
          <w:tcPr>
            <w:tcW w:w="2610" w:type="dxa"/>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shd w:val="clear" w:color="auto" w:fill="auto"/>
            <w:vAlign w:val="center"/>
          </w:tcPr>
          <w:p>
            <w:pPr>
              <w:keepNext/>
              <w:keepLines/>
              <w:spacing w:after="0"/>
              <w:jc w:val="center"/>
              <w:rPr>
                <w:rFonts w:ascii="Arial" w:hAnsi="Arial"/>
                <w:sz w:val="18"/>
              </w:rPr>
            </w:pPr>
            <w:r>
              <w:rPr>
                <w:rFonts w:ascii="Arial" w:hAnsi="Arial"/>
                <w:sz w:val="18"/>
              </w:rPr>
              <w:t>UE</w:t>
            </w:r>
          </w:p>
        </w:tc>
        <w:tc>
          <w:tcPr>
            <w:tcW w:w="1350" w:type="dxa"/>
            <w:shd w:val="clear" w:color="auto" w:fill="auto"/>
            <w:vAlign w:val="center"/>
          </w:tcPr>
          <w:p>
            <w:pPr>
              <w:keepNext/>
              <w:keepLines/>
              <w:spacing w:after="0"/>
              <w:jc w:val="center"/>
              <w:rPr>
                <w:rFonts w:ascii="Arial" w:hAnsi="Arial"/>
                <w:sz w:val="18"/>
              </w:rPr>
            </w:pPr>
            <w:r>
              <w:rPr>
                <w:rFonts w:ascii="Arial" w:hAnsi="Arial"/>
                <w:sz w:val="18"/>
              </w:rPr>
              <w:t>ACLR</w:t>
            </w:r>
          </w:p>
        </w:tc>
        <w:tc>
          <w:tcPr>
            <w:tcW w:w="2610" w:type="dxa"/>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shd w:val="clear" w:color="auto" w:fill="auto"/>
            <w:vAlign w:val="center"/>
          </w:tcPr>
          <w:p>
            <w:pPr>
              <w:keepNext/>
              <w:keepLines/>
              <w:spacing w:after="0"/>
              <w:jc w:val="center"/>
              <w:rPr>
                <w:rFonts w:ascii="Arial" w:hAnsi="Arial"/>
                <w:sz w:val="18"/>
              </w:rPr>
            </w:pPr>
          </w:p>
        </w:tc>
        <w:tc>
          <w:tcPr>
            <w:tcW w:w="1350" w:type="dxa"/>
            <w:shd w:val="clear" w:color="auto" w:fill="auto"/>
            <w:vAlign w:val="center"/>
          </w:tcPr>
          <w:p>
            <w:pPr>
              <w:keepNext/>
              <w:keepLines/>
              <w:spacing w:after="0"/>
              <w:jc w:val="center"/>
              <w:rPr>
                <w:rFonts w:ascii="Arial" w:hAnsi="Arial"/>
                <w:sz w:val="18"/>
              </w:rPr>
            </w:pPr>
            <w:r>
              <w:rPr>
                <w:rFonts w:ascii="Arial" w:hAnsi="Arial"/>
                <w:sz w:val="18"/>
              </w:rPr>
              <w:t>ACS</w:t>
            </w:r>
          </w:p>
        </w:tc>
        <w:tc>
          <w:tcPr>
            <w:tcW w:w="2610" w:type="dxa"/>
            <w:shd w:val="clear" w:color="auto" w:fill="auto"/>
          </w:tcPr>
          <w:p>
            <w:pPr>
              <w:keepNext/>
              <w:keepLines/>
              <w:spacing w:after="0"/>
              <w:jc w:val="center"/>
              <w:rPr>
                <w:rFonts w:ascii="Arial" w:hAnsi="Arial"/>
                <w:sz w:val="18"/>
              </w:rPr>
            </w:pPr>
          </w:p>
        </w:tc>
      </w:tr>
    </w:tbl>
    <w:p>
      <w:pPr>
        <w:pStyle w:val="99"/>
        <w:rPr>
          <w:color w:val="auto"/>
          <w:lang w:eastAsia="zh-CN"/>
        </w:rPr>
      </w:pPr>
    </w:p>
    <w:p>
      <w:pPr>
        <w:pStyle w:val="2"/>
        <w:rPr>
          <w:lang w:val="sv-SE" w:eastAsia="zh-CN"/>
        </w:rPr>
      </w:pPr>
      <w:bookmarkStart w:id="56" w:name="_Toc133498148"/>
      <w:r>
        <w:rPr>
          <w:rFonts w:hint="eastAsia"/>
          <w:lang w:val="sv-SE" w:eastAsia="zh-CN"/>
        </w:rPr>
        <w:t>7</w:t>
      </w:r>
      <w:r>
        <w:rPr>
          <w:lang w:val="sv-SE"/>
        </w:rPr>
        <w:tab/>
      </w:r>
      <w:r>
        <w:rPr>
          <w:rFonts w:hint="eastAsia"/>
          <w:lang w:val="sv-SE" w:eastAsia="zh-CN"/>
        </w:rPr>
        <w:t>RF requirements</w:t>
      </w:r>
      <w:bookmarkEnd w:id="56"/>
    </w:p>
    <w:p>
      <w:pPr>
        <w:pStyle w:val="3"/>
        <w:ind w:left="1170" w:hanging="1170"/>
        <w:rPr>
          <w:lang w:eastAsia="zh-CN"/>
        </w:rPr>
      </w:pPr>
      <w:bookmarkStart w:id="57" w:name="_Toc133498149"/>
      <w:r>
        <w:rPr>
          <w:rFonts w:hint="eastAsia"/>
          <w:lang w:eastAsia="zh-CN"/>
        </w:rPr>
        <w:t>7</w:t>
      </w:r>
      <w:r>
        <w:t>.1</w:t>
      </w:r>
      <w:r>
        <w:tab/>
      </w:r>
      <w:r>
        <w:rPr>
          <w:rFonts w:hint="eastAsia"/>
          <w:lang w:eastAsia="zh-CN"/>
        </w:rPr>
        <w:t xml:space="preserve">ATG </w:t>
      </w:r>
      <w:r>
        <w:rPr>
          <w:lang w:eastAsia="zh-CN"/>
        </w:rPr>
        <w:t>UE</w:t>
      </w:r>
      <w:r>
        <w:t xml:space="preserve"> specific</w:t>
      </w:r>
      <w:bookmarkEnd w:id="57"/>
    </w:p>
    <w:p>
      <w:pPr>
        <w:pStyle w:val="4"/>
      </w:pPr>
      <w:bookmarkStart w:id="58" w:name="_Toc133498150"/>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bookmarkEnd w:id="58"/>
    </w:p>
    <w:p>
      <w:pPr>
        <w:overflowPunct/>
        <w:autoSpaceDE/>
        <w:autoSpaceDN/>
        <w:adjustRightInd/>
        <w:textAlignment w:val="auto"/>
        <w:rPr>
          <w:lang w:val="en-US" w:eastAsia="en-US"/>
        </w:rPr>
      </w:pPr>
      <w:r>
        <w:rPr>
          <w:rFonts w:hint="eastAsia"/>
          <w:lang w:val="en-US" w:eastAsia="zh-CN"/>
        </w:rPr>
        <w:t xml:space="preserve">Since the required power level for ATG </w:t>
      </w:r>
      <w:r>
        <w:rPr>
          <w:lang w:val="en-US" w:eastAsia="zh-CN"/>
        </w:rPr>
        <w:t>might</w:t>
      </w:r>
      <w:r>
        <w:rPr>
          <w:rFonts w:hint="eastAsia"/>
          <w:lang w:val="en-US" w:eastAsia="zh-CN"/>
        </w:rPr>
        <w:t xml:space="preserve"> be varying in different aircraft types and also in different frequency ranges, it</w:t>
      </w:r>
      <w:r>
        <w:rPr>
          <w:lang w:val="en-US" w:eastAsia="zh-CN"/>
        </w:rPr>
        <w:t>’</w:t>
      </w:r>
      <w:r>
        <w:rPr>
          <w:rFonts w:hint="eastAsia"/>
          <w:lang w:val="en-US" w:eastAsia="zh-CN"/>
        </w:rPr>
        <w:t xml:space="preserve">s quite difficult to focus on one specific power class for ATG UE from 3GPP perspective, therefore 3GPP agreed to introduce the new capability for ATG UE to indicate </w:t>
      </w:r>
      <w:r>
        <w:rPr>
          <w:lang w:val="en-US" w:eastAsia="zh-CN"/>
        </w:rPr>
        <w:t>t</w:t>
      </w:r>
      <w:r>
        <w:rPr>
          <w:rFonts w:eastAsia="宋体"/>
          <w:szCs w:val="24"/>
          <w:lang w:eastAsia="zh-CN"/>
        </w:rPr>
        <w:t>he rated maximum output power at maximum modulation order and full PRB configurations</w:t>
      </w:r>
      <w:r>
        <w:rPr>
          <w:rFonts w:hint="eastAsia" w:eastAsia="宋体"/>
          <w:szCs w:val="24"/>
          <w:lang w:val="en-US" w:eastAsia="zh-CN"/>
        </w:rPr>
        <w:t xml:space="preserve"> </w:t>
      </w:r>
      <w:r>
        <w:rPr>
          <w:rFonts w:hint="eastAsia"/>
          <w:lang w:val="en-US" w:eastAsia="zh-CN"/>
        </w:rPr>
        <w:t>and its capability report granularity as 1dB. The range of its power limit are defined as following:</w:t>
      </w:r>
    </w:p>
    <w:p>
      <w:pPr>
        <w:pStyle w:val="73"/>
        <w:rPr>
          <w:lang w:val="en-US" w:eastAsia="en-US"/>
        </w:rPr>
      </w:pPr>
      <w:r>
        <w:rPr>
          <w:lang w:eastAsia="en-US"/>
        </w:rPr>
        <w:t>-</w:t>
      </w:r>
      <w:r>
        <w:rPr>
          <w:lang w:eastAsia="en-US"/>
        </w:rPr>
        <w:tab/>
      </w:r>
      <w:r>
        <w:rPr>
          <w:lang w:eastAsia="en-US"/>
        </w:rPr>
        <w:t>The lower limit of conductive MOP or TRP of ATG UE is 23 dBm</w:t>
      </w:r>
    </w:p>
    <w:p>
      <w:pPr>
        <w:pStyle w:val="73"/>
        <w:rPr>
          <w:lang w:eastAsia="en-US"/>
        </w:rPr>
      </w:pPr>
      <w:r>
        <w:rPr>
          <w:lang w:eastAsia="en-US"/>
        </w:rPr>
        <w:t>-</w:t>
      </w:r>
      <w:r>
        <w:rPr>
          <w:lang w:eastAsia="en-US"/>
        </w:rPr>
        <w:tab/>
      </w:r>
      <w:r>
        <w:rPr>
          <w:lang w:eastAsia="en-US"/>
        </w:rPr>
        <w:t xml:space="preserve">The upper limit </w:t>
      </w:r>
      <w:r>
        <w:rPr>
          <w:rFonts w:hint="eastAsia" w:eastAsia="宋体"/>
          <w:lang w:val="en-US" w:eastAsia="zh-CN"/>
        </w:rPr>
        <w:t xml:space="preserve">of </w:t>
      </w:r>
      <w:r>
        <w:rPr>
          <w:lang w:eastAsia="en-US"/>
        </w:rPr>
        <w:t>conductive MOP or TRP of ATG UE</w:t>
      </w:r>
      <w:r>
        <w:rPr>
          <w:rFonts w:hint="eastAsia" w:eastAsia="宋体"/>
          <w:lang w:val="en-US" w:eastAsia="zh-CN"/>
        </w:rPr>
        <w:t xml:space="preserve"> is 40</w:t>
      </w:r>
      <w:r>
        <w:rPr>
          <w:rFonts w:eastAsia="宋体"/>
          <w:lang w:val="en-US" w:eastAsia="zh-CN"/>
        </w:rPr>
        <w:t xml:space="preserve"> </w:t>
      </w:r>
      <w:r>
        <w:rPr>
          <w:rFonts w:hint="eastAsia" w:eastAsia="宋体"/>
          <w:lang w:val="en-US" w:eastAsia="zh-CN"/>
        </w:rPr>
        <w:t>dBm</w:t>
      </w:r>
    </w:p>
    <w:p>
      <w:pPr>
        <w:overflowPunct/>
        <w:autoSpaceDE/>
        <w:autoSpaceDN/>
        <w:adjustRightInd/>
        <w:textAlignment w:val="auto"/>
        <w:rPr>
          <w:lang w:val="en-US" w:eastAsia="zh-CN"/>
        </w:rPr>
      </w:pPr>
      <w:r>
        <w:rPr>
          <w:rFonts w:hint="eastAsia"/>
          <w:lang w:val="en-US" w:eastAsia="zh-CN"/>
        </w:rPr>
        <w:t>In addition, considering the implementation freedom for ATG UE(e.g. for 2</w:t>
      </w:r>
      <w:r>
        <w:rPr>
          <w:lang w:val="en-US" w:eastAsia="zh-CN"/>
        </w:rPr>
        <w:t xml:space="preserve"> </w:t>
      </w:r>
      <w:r>
        <w:rPr>
          <w:rFonts w:hint="eastAsia"/>
          <w:lang w:val="en-US" w:eastAsia="zh-CN"/>
        </w:rPr>
        <w:t xml:space="preserve">GHz, to use </w:t>
      </w:r>
      <w:r>
        <w:rPr>
          <w:lang w:val="en-US" w:eastAsia="zh-CN"/>
        </w:rPr>
        <w:t>omni</w:t>
      </w:r>
      <w:r>
        <w:rPr>
          <w:rFonts w:hint="eastAsia"/>
          <w:lang w:val="en-US" w:eastAsia="zh-CN"/>
        </w:rPr>
        <w:t xml:space="preserve"> antenna for ATG UE and for 4</w:t>
      </w:r>
      <w:r>
        <w:rPr>
          <w:lang w:val="en-US" w:eastAsia="zh-CN"/>
        </w:rPr>
        <w:t xml:space="preserve"> </w:t>
      </w:r>
      <w:r>
        <w:rPr>
          <w:rFonts w:hint="eastAsia"/>
          <w:lang w:val="en-US" w:eastAsia="zh-CN"/>
        </w:rPr>
        <w:t>GHz, to use antenna array for ATG UE), therefore 3GPP RAN4 agreed to introduce two ATG UE  types to distinguish the antenna types for ATG UE.</w:t>
      </w:r>
    </w:p>
    <w:p>
      <w:pPr>
        <w:rPr>
          <w:lang w:val="en-US"/>
        </w:rPr>
      </w:pPr>
    </w:p>
    <w:p>
      <w:pPr>
        <w:pStyle w:val="4"/>
        <w:rPr>
          <w:lang w:eastAsia="zh-CN"/>
        </w:rPr>
      </w:pPr>
      <w:bookmarkStart w:id="59" w:name="_Toc133498151"/>
      <w:r>
        <w:rPr>
          <w:rFonts w:hint="eastAsia"/>
        </w:rPr>
        <w:t>7.</w:t>
      </w:r>
      <w:r>
        <w:rPr>
          <w:rFonts w:hint="eastAsia"/>
          <w:lang w:eastAsia="zh-CN"/>
        </w:rPr>
        <w:t>1</w:t>
      </w:r>
      <w:r>
        <w:rPr>
          <w:rFonts w:hint="eastAsia"/>
        </w:rPr>
        <w:t xml:space="preserve">.2 </w:t>
      </w:r>
      <w:r>
        <w:rPr>
          <w:rFonts w:hint="eastAsia"/>
          <w:lang w:eastAsia="zh-CN"/>
        </w:rPr>
        <w:t>Tx requirements</w:t>
      </w:r>
      <w:bookmarkEnd w:id="59"/>
    </w:p>
    <w:p>
      <w:pPr>
        <w:pStyle w:val="5"/>
        <w:rPr>
          <w:lang w:eastAsia="zh-CN"/>
        </w:rPr>
      </w:pPr>
      <w:bookmarkStart w:id="60" w:name="_Toc133498152"/>
      <w:r>
        <w:rPr>
          <w:lang w:eastAsia="zh-CN"/>
        </w:rPr>
        <w:t>7.1.2.1 Frequency error</w:t>
      </w:r>
      <w:bookmarkEnd w:id="60"/>
    </w:p>
    <w:p>
      <w:pPr>
        <w:jc w:val="both"/>
      </w:pPr>
      <w:r>
        <w:t xml:space="preserve">The doppler frequency for ATG UE can be determined by, </w:t>
      </w:r>
    </w:p>
    <w:p>
      <w:pPr>
        <w:jc w:val="both"/>
      </w:pPr>
      <m:oMathPara>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D</m:t>
              </m:r>
              <m:ctrlPr>
                <w:rPr>
                  <w:rFonts w:ascii="Cambria Math" w:hAnsi="Cambria Math"/>
                  <w:i/>
                </w:rPr>
              </m:ctrlPr>
            </m:sub>
          </m:sSub>
          <m:r>
            <m:rPr/>
            <w:rPr>
              <w:rFonts w:ascii="Cambria Math" w:hAnsi="Cambria Math"/>
            </w:rPr>
            <m:t xml:space="preserve"> =  cosθ∗</m:t>
          </m:r>
          <m:f>
            <m:fPr>
              <m:ctrlPr>
                <w:rPr>
                  <w:rFonts w:ascii="Cambria Math" w:hAnsi="Cambria Math"/>
                  <w:i/>
                </w:rPr>
              </m:ctrlPr>
            </m:fPr>
            <m:num>
              <m:r>
                <m:rPr/>
                <w:rPr>
                  <w:rFonts w:ascii="Cambria Math" w:hAnsi="Cambria Math"/>
                </w:rPr>
                <m:t>v</m:t>
              </m:r>
              <m:ctrlPr>
                <w:rPr>
                  <w:rFonts w:ascii="Cambria Math" w:hAnsi="Cambria Math"/>
                  <w:i/>
                </w:rPr>
              </m:ctrlPr>
            </m:num>
            <m:den>
              <m:r>
                <m:rPr/>
                <w:rPr>
                  <w:rFonts w:ascii="Cambria Math" w:hAnsi="Cambria Math"/>
                </w:rPr>
                <m:t>c</m:t>
              </m:r>
              <m:ctrlPr>
                <w:rPr>
                  <w:rFonts w:ascii="Cambria Math" w:hAnsi="Cambria Math"/>
                  <w:i/>
                </w:rPr>
              </m:ctrlPr>
            </m:den>
          </m:f>
          <m:r>
            <m:rPr/>
            <w:rPr>
              <w:rFonts w:ascii="Cambria Math" w:hAnsi="Cambria Math" w:cs="Cambria Math" w:eastAsiaTheme="minorEastAsia"/>
            </w:rPr>
            <m:t>∗</m:t>
          </m:r>
          <m:r>
            <m:rPr/>
            <w:rPr>
              <w:rFonts w:ascii="Cambria Math" w:hAnsi="Cambria Math"/>
            </w:rPr>
            <m:t>f_c</m:t>
          </m:r>
        </m:oMath>
      </m:oMathPara>
    </w:p>
    <w:p>
      <w:pPr>
        <w:jc w:val="both"/>
      </w:pPr>
      <w:r>
        <w:t>Where,</w:t>
      </w:r>
    </w:p>
    <w:p>
      <w:pPr>
        <w:pStyle w:val="73"/>
      </w:pPr>
      <w:r>
        <w:t>-</w:t>
      </w:r>
      <w:r>
        <w:tab/>
      </w:r>
      <w:r>
        <w:t>f</w:t>
      </w:r>
      <w:r>
        <w:rPr>
          <w:vertAlign w:val="subscript"/>
        </w:rPr>
        <w:t>D</w:t>
      </w:r>
      <w:r>
        <w:t xml:space="preserve"> is Doppler frequency, f_c is the carrier frequency, which is set as 5GHz for n79. </w:t>
      </w:r>
    </w:p>
    <w:p>
      <w:pPr>
        <w:pStyle w:val="73"/>
      </w:pPr>
      <w:r>
        <w:t>-</w:t>
      </w:r>
      <w:r>
        <w:tab/>
      </w:r>
      <w:r>
        <w:t>v is the speed of the aircraft which is 1200km/h.</w:t>
      </w:r>
    </w:p>
    <w:p>
      <w:pPr>
        <w:pStyle w:val="73"/>
      </w:pPr>
      <w:r>
        <w:t>-</w:t>
      </w:r>
      <w:r>
        <w:tab/>
      </w:r>
      <m:oMath>
        <m:r>
          <m:rPr/>
          <w:rPr>
            <w:rFonts w:ascii="Cambria Math" w:hAnsi="Cambria Math"/>
          </w:rPr>
          <m:t>θ</m:t>
        </m:r>
      </m:oMath>
      <w:r>
        <w:t xml:space="preserve"> is the elevation angle between UE and gNB. </w:t>
      </w:r>
    </w:p>
    <w:p>
      <w:pPr>
        <w:jc w:val="both"/>
      </w:pPr>
      <w:r>
        <w:t xml:space="preserve">Since the </w:t>
      </w:r>
      <w:r>
        <w:rPr>
          <w:rFonts w:hint="eastAsia" w:eastAsia="宋体"/>
          <w:lang w:val="en-US" w:eastAsia="zh-CN"/>
        </w:rPr>
        <w:t>potential</w:t>
      </w:r>
      <w:r>
        <w:t xml:space="preserve"> maximum cell range is up to 200-300km [</w:t>
      </w:r>
      <w:r>
        <w:rPr>
          <w:rFonts w:hint="eastAsia" w:eastAsia="宋体"/>
          <w:lang w:val="en-US" w:eastAsia="zh-CN"/>
        </w:rPr>
        <w:t>2</w:t>
      </w:r>
      <w:r>
        <w:t>] and the normal commercial airplane altitude is 10km, the elevation angle is only about 2~3 degrees when UE doing initial access at cell edge. Then the maximum DL doppler frequency is approaching 5.5kHz and the UL doppler frequency compared to the configured UL central frequency is approaching 5.5kHz</w:t>
      </w:r>
      <w:r>
        <w:rPr>
          <w:rFonts w:hint="eastAsia" w:eastAsia="宋体"/>
          <w:lang w:val="en-US" w:eastAsia="zh-CN"/>
        </w:rPr>
        <w:t xml:space="preserve"> if without any compensation</w:t>
      </w:r>
      <w:r>
        <w:t xml:space="preserve"> which may cause not negligible impact for link performance and access successful rate. ATG UE needs to perform frequency compensation. The frequency accuracy requirement will be written assuming Doppler frequency pre-compensation.</w:t>
      </w:r>
    </w:p>
    <w:p>
      <w:pPr>
        <w:jc w:val="both"/>
        <w:rPr>
          <w:lang w:val="en-US" w:eastAsia="zh-CN"/>
        </w:rPr>
      </w:pPr>
      <w:r>
        <w:t xml:space="preserve">The ATG BS location information could be broadcasted for UE to do frequency compensation if necessary. [UE shall rely on the ATG BS location broadcasted by the </w:t>
      </w:r>
      <w:r>
        <w:rPr>
          <w:lang w:val="en-US" w:eastAsia="zh-CN"/>
        </w:rPr>
        <w:t xml:space="preserve">IE </w:t>
      </w:r>
      <w:r>
        <w:rPr>
          <w:i/>
          <w:iCs/>
          <w:lang w:val="en-US" w:eastAsia="zh-CN"/>
        </w:rPr>
        <w:t>EphemerisInfo</w:t>
      </w:r>
      <w:r>
        <w:t xml:space="preserve"> in NTN SIB 19 in 38.331</w:t>
      </w:r>
      <w:r>
        <w:rPr>
          <w:rFonts w:hint="eastAsia" w:eastAsia="宋体"/>
          <w:lang w:val="en-US" w:eastAsia="zh-CN"/>
        </w:rPr>
        <w:t xml:space="preserve"> if </w:t>
      </w:r>
      <w:r>
        <w:rPr>
          <w:rFonts w:eastAsia="宋体"/>
          <w:lang w:val="en-US" w:eastAsia="zh-CN"/>
        </w:rPr>
        <w:t>pre-compensation is based on SIB19]</w:t>
      </w:r>
      <w:r>
        <w:t xml:space="preserve">. </w:t>
      </w:r>
      <w:r>
        <w:rPr>
          <w:lang w:val="en-US" w:eastAsia="zh-CN"/>
        </w:rPr>
        <w:t>Where, Ephemeris may be expressed in format of position and velocity state vector.</w:t>
      </w:r>
    </w:p>
    <w:p>
      <w:pPr>
        <w:rPr>
          <w:lang w:val="en-US" w:eastAsia="zh-CN"/>
        </w:rPr>
      </w:pPr>
    </w:p>
    <w:p>
      <w:pPr>
        <w:tabs>
          <w:tab w:val="left" w:pos="397"/>
          <w:tab w:val="left" w:pos="1100"/>
          <w:tab w:val="left" w:pos="1299"/>
        </w:tabs>
        <w:spacing w:before="120" w:beforeAutospacing="1" w:after="312" w:afterLines="100"/>
        <w:outlineLvl w:val="3"/>
        <w:rPr>
          <w:rFonts w:ascii="Arial" w:hAnsi="Arial" w:eastAsia="Arial"/>
          <w:sz w:val="24"/>
          <w:lang w:eastAsia="zh-CN"/>
        </w:rPr>
      </w:pPr>
      <w:r>
        <w:rPr>
          <w:rFonts w:ascii="Arial" w:hAnsi="Arial" w:eastAsia="Arial"/>
          <w:sz w:val="24"/>
          <w:lang w:eastAsia="zh-CN"/>
        </w:rPr>
        <w:t>7.1.2.2 MOP requirements</w:t>
      </w:r>
    </w:p>
    <w:p>
      <w:pPr>
        <w:rPr>
          <w:rFonts w:eastAsia="宋体"/>
          <w:lang w:eastAsia="zh-CN"/>
        </w:rPr>
      </w:pPr>
      <w:r>
        <w:rPr>
          <w:rFonts w:hint="eastAsia" w:eastAsia="宋体"/>
          <w:lang w:eastAsia="zh-CN"/>
        </w:rPr>
        <w:t>F</w:t>
      </w:r>
      <w:r>
        <w:rPr>
          <w:rFonts w:eastAsia="宋体"/>
          <w:lang w:eastAsia="zh-CN"/>
        </w:rPr>
        <w:t xml:space="preserve">or ATG UE, the maximum output power is </w:t>
      </w:r>
      <w:r>
        <w:rPr>
          <w:rFonts w:hint="eastAsia" w:eastAsia="宋体"/>
          <w:lang w:val="en-US" w:eastAsia="zh-CN"/>
        </w:rPr>
        <w:t>declared</w:t>
      </w:r>
      <w:r>
        <w:rPr>
          <w:rFonts w:eastAsia="宋体"/>
          <w:lang w:eastAsia="zh-CN"/>
        </w:rPr>
        <w:t xml:space="preserve"> at maximum modulation order and full PRB configurations within the channel bandwidth of NR carrier unless otherwise stated. The period of measurement shall be at least one sub frame (1ms). </w:t>
      </w:r>
    </w:p>
    <w:p>
      <w:pPr>
        <w:rPr>
          <w:rFonts w:eastAsia="宋体"/>
          <w:lang w:eastAsia="zh-CN"/>
        </w:rPr>
      </w:pPr>
      <w:r>
        <w:rPr>
          <w:rFonts w:eastAsia="宋体"/>
          <w:lang w:eastAsia="zh-CN"/>
        </w:rPr>
        <w:t xml:space="preserve">ATG UE implementations/antenna patterns </w:t>
      </w:r>
      <w:r>
        <w:rPr>
          <w:rFonts w:hint="eastAsia" w:eastAsia="宋体"/>
          <w:lang w:val="en-US" w:eastAsia="zh-CN"/>
        </w:rPr>
        <w:t>might be</w:t>
      </w:r>
      <w:r>
        <w:rPr>
          <w:rFonts w:eastAsia="宋体"/>
          <w:lang w:eastAsia="zh-CN"/>
        </w:rPr>
        <w:t xml:space="preserve"> </w:t>
      </w:r>
      <w:r>
        <w:rPr>
          <w:rFonts w:hint="eastAsia" w:eastAsia="宋体"/>
          <w:lang w:val="en-US" w:eastAsia="zh-CN"/>
        </w:rPr>
        <w:t>varying</w:t>
      </w:r>
      <w:r>
        <w:rPr>
          <w:rFonts w:eastAsia="宋体"/>
          <w:lang w:eastAsia="zh-CN"/>
        </w:rPr>
        <w:t xml:space="preserve"> for different operating bands. The output power from the UE may depend on the aircraft type and exact deployment scenario. Currently, there is a lack of knowledge in 3GPP of the </w:t>
      </w:r>
      <w:r>
        <w:rPr>
          <w:rFonts w:hint="eastAsia" w:eastAsia="宋体"/>
          <w:lang w:val="en-US" w:eastAsia="zh-CN"/>
        </w:rPr>
        <w:t>appropriate</w:t>
      </w:r>
      <w:r>
        <w:rPr>
          <w:rFonts w:eastAsia="宋体"/>
          <w:lang w:eastAsia="zh-CN"/>
        </w:rPr>
        <w:t xml:space="preserve"> output power for an ATG UE considering all design</w:t>
      </w:r>
      <w:r>
        <w:rPr>
          <w:rFonts w:hint="eastAsia" w:eastAsia="宋体"/>
          <w:lang w:val="en-US" w:eastAsia="zh-CN"/>
        </w:rPr>
        <w:t>,</w:t>
      </w:r>
      <w:r>
        <w:rPr>
          <w:rFonts w:eastAsia="宋体"/>
          <w:lang w:val="en-US" w:eastAsia="zh-CN"/>
        </w:rPr>
        <w:t xml:space="preserve"> </w:t>
      </w:r>
      <w:r>
        <w:rPr>
          <w:rFonts w:eastAsia="宋体"/>
          <w:lang w:eastAsia="zh-CN"/>
        </w:rPr>
        <w:t>regulatory constraints</w:t>
      </w:r>
      <w:r>
        <w:rPr>
          <w:rFonts w:hint="eastAsia" w:eastAsia="宋体"/>
          <w:lang w:val="en-US" w:eastAsia="zh-CN"/>
        </w:rPr>
        <w:t xml:space="preserve"> and potential avionics device protection</w:t>
      </w:r>
      <w:r>
        <w:rPr>
          <w:rFonts w:eastAsia="宋体"/>
          <w:lang w:eastAsia="zh-CN"/>
        </w:rPr>
        <w:t xml:space="preserve">. For this reason, it </w:t>
      </w:r>
      <w:r>
        <w:rPr>
          <w:rFonts w:hint="eastAsia" w:eastAsia="宋体"/>
          <w:lang w:val="en-US" w:eastAsia="zh-CN"/>
        </w:rPr>
        <w:t xml:space="preserve">is </w:t>
      </w:r>
      <w:r>
        <w:rPr>
          <w:rFonts w:eastAsia="宋体"/>
          <w:lang w:eastAsia="zh-CN"/>
        </w:rPr>
        <w:t>agreed that ATG UE is allowed to declare the output power and signal it to the network. The lower limit of conductive MOP or TRP declared by ATG UE is 23dBm. The upper limit of conductive MOP or TRP declared by ATG UE is 40dBm. The capability report granularity is 1dB.</w:t>
      </w:r>
    </w:p>
    <w:p>
      <w:pPr>
        <w:rPr>
          <w:rFonts w:eastAsia="宋体"/>
          <w:lang w:eastAsia="zh-CN"/>
        </w:rPr>
      </w:pPr>
    </w:p>
    <w:p>
      <w:pPr>
        <w:tabs>
          <w:tab w:val="left" w:pos="397"/>
          <w:tab w:val="left" w:pos="1100"/>
          <w:tab w:val="left" w:pos="1299"/>
        </w:tabs>
        <w:spacing w:before="120" w:beforeAutospacing="1" w:after="312" w:afterLines="100"/>
        <w:outlineLvl w:val="3"/>
        <w:rPr>
          <w:rFonts w:ascii="Arial" w:hAnsi="Arial" w:eastAsia="Arial"/>
          <w:sz w:val="24"/>
          <w:lang w:eastAsia="zh-CN"/>
        </w:rPr>
      </w:pPr>
      <w:r>
        <w:rPr>
          <w:rFonts w:ascii="Arial" w:hAnsi="Arial" w:eastAsia="Arial"/>
          <w:sz w:val="24"/>
          <w:lang w:eastAsia="zh-CN"/>
        </w:rPr>
        <w:t>7.1.2.3 MPR/AMPR requirements</w:t>
      </w:r>
    </w:p>
    <w:p>
      <w:pPr>
        <w:rPr>
          <w:rFonts w:eastAsia="宋体"/>
          <w:lang w:eastAsia="zh-CN"/>
        </w:rPr>
      </w:pPr>
      <w:r>
        <w:rPr>
          <w:rFonts w:eastAsia="宋体"/>
          <w:lang w:eastAsia="zh-CN"/>
        </w:rPr>
        <w:t xml:space="preserve">ATG UE is allowed to declare the output power at </w:t>
      </w:r>
      <w:r>
        <w:rPr>
          <w:rFonts w:hint="eastAsia" w:eastAsia="宋体"/>
          <w:lang w:val="en-US" w:eastAsia="zh-CN"/>
        </w:rPr>
        <w:t xml:space="preserve">supported </w:t>
      </w:r>
      <w:r>
        <w:rPr>
          <w:rFonts w:eastAsia="宋体"/>
          <w:lang w:eastAsia="zh-CN"/>
        </w:rPr>
        <w:t>maximum modulation order and full PRB configurations. Thus, MPR/AMPR requirements are not needed as ATG UE can declare a lower power when</w:t>
      </w:r>
      <w:r>
        <w:rPr>
          <w:rFonts w:hint="eastAsia" w:eastAsia="宋体"/>
          <w:lang w:val="en-US" w:eastAsia="zh-CN"/>
        </w:rPr>
        <w:t>ever</w:t>
      </w:r>
      <w:r>
        <w:rPr>
          <w:rFonts w:eastAsia="宋体"/>
          <w:lang w:eastAsia="zh-CN"/>
        </w:rPr>
        <w:t xml:space="preserve"> power back-off is needed. Additionally, when ATG UE indicate the maximum output power under the specific conditions (</w:t>
      </w:r>
      <w:r>
        <w:rPr>
          <w:rFonts w:hint="eastAsia" w:eastAsia="宋体"/>
          <w:lang w:val="en-US" w:eastAsia="zh-CN"/>
        </w:rPr>
        <w:t xml:space="preserve">the supported </w:t>
      </w:r>
      <w:r>
        <w:rPr>
          <w:rFonts w:eastAsia="宋体"/>
          <w:lang w:eastAsia="zh-CN"/>
        </w:rPr>
        <w:t>maximum modulation order, full PRB configurations, SEM/spurious emission requirements, regulation requirements and so on), the necessary power back-off should be considered. In total, the power back-off has been included in the declared maximum output power, so there is no need to specify MPR/AMPR requirements for ATG UE.</w:t>
      </w:r>
    </w:p>
    <w:p>
      <w:pPr>
        <w:rPr>
          <w:rFonts w:eastAsia="宋体"/>
          <w:lang w:eastAsia="zh-CN"/>
        </w:rPr>
      </w:pPr>
    </w:p>
    <w:p>
      <w:pPr>
        <w:rPr>
          <w:rFonts w:eastAsia="宋体"/>
          <w:lang w:eastAsia="zh-CN"/>
        </w:rPr>
      </w:pPr>
    </w:p>
    <w:p>
      <w:pPr>
        <w:pStyle w:val="5"/>
        <w:spacing w:after="240"/>
        <w:ind w:left="0" w:firstLine="0"/>
        <w:rPr>
          <w:lang w:eastAsia="zh-CN"/>
        </w:rPr>
      </w:pPr>
      <w:bookmarkStart w:id="61" w:name="_Toc133498153"/>
      <w:r>
        <w:rPr>
          <w:lang w:eastAsia="zh-CN"/>
        </w:rPr>
        <w:t>7.1.2.4 Configured transmitted power</w:t>
      </w:r>
      <w:bookmarkEnd w:id="61"/>
    </w:p>
    <w:p>
      <w:pPr>
        <w:rPr>
          <w:lang w:eastAsia="zh-CN"/>
        </w:rPr>
      </w:pPr>
      <w:r>
        <w:rPr>
          <w:lang w:eastAsia="zh-CN"/>
        </w:rPr>
        <w:t>The UE is allowed to set its configured maximum output power P</w:t>
      </w:r>
      <w:r>
        <w:rPr>
          <w:vertAlign w:val="subscript"/>
          <w:lang w:eastAsia="zh-CN"/>
        </w:rPr>
        <w:t>CMAX,f,c</w:t>
      </w:r>
      <w:r>
        <w:rPr>
          <w:lang w:eastAsia="zh-CN"/>
        </w:rPr>
        <w:t xml:space="preserve"> for carrier f of serving cell c in each slot. The configured maximum output power P</w:t>
      </w:r>
      <w:r>
        <w:rPr>
          <w:vertAlign w:val="subscript"/>
          <w:lang w:eastAsia="zh-CN"/>
        </w:rPr>
        <w:t>CMAX,f,c</w:t>
      </w:r>
      <w:r>
        <w:rPr>
          <w:lang w:eastAsia="zh-CN"/>
        </w:rPr>
        <w:t xml:space="preserve"> is set within the following bounds:</w:t>
      </w:r>
    </w:p>
    <w:p>
      <w:pPr>
        <w:pStyle w:val="57"/>
        <w:jc w:val="center"/>
        <w:rPr>
          <w:lang w:eastAsia="zh-CN"/>
        </w:rPr>
      </w:pPr>
      <w:r>
        <w:rPr>
          <w:lang w:eastAsia="zh-CN"/>
        </w:rPr>
        <w:t>P</w:t>
      </w:r>
      <w:r>
        <w:rPr>
          <w:vertAlign w:val="subscript"/>
          <w:lang w:eastAsia="zh-CN"/>
        </w:rPr>
        <w:t>CMAX_L,f,c</w:t>
      </w:r>
      <w:r>
        <w:rPr>
          <w:lang w:eastAsia="zh-CN"/>
        </w:rPr>
        <w:t xml:space="preserve"> ≤  P</w:t>
      </w:r>
      <w:r>
        <w:rPr>
          <w:vertAlign w:val="subscript"/>
          <w:lang w:eastAsia="zh-CN"/>
        </w:rPr>
        <w:t>CMAX,f,c</w:t>
      </w:r>
      <w:r>
        <w:rPr>
          <w:lang w:eastAsia="zh-CN"/>
        </w:rPr>
        <w:t xml:space="preserve">  ≤  P</w:t>
      </w:r>
      <w:r>
        <w:rPr>
          <w:vertAlign w:val="subscript"/>
          <w:lang w:eastAsia="zh-CN"/>
        </w:rPr>
        <w:t>CMAX_H,f,c</w:t>
      </w:r>
      <w:r>
        <w:rPr>
          <w:lang w:eastAsia="zh-CN"/>
        </w:rPr>
        <w:t xml:space="preserve"> with</w:t>
      </w:r>
    </w:p>
    <w:p>
      <w:pPr>
        <w:pStyle w:val="57"/>
        <w:jc w:val="center"/>
        <w:rPr>
          <w:lang w:eastAsia="zh-CN"/>
        </w:rPr>
      </w:pPr>
      <w:r>
        <w:rPr>
          <w:lang w:eastAsia="zh-CN"/>
        </w:rPr>
        <w:t>P</w:t>
      </w:r>
      <w:r>
        <w:rPr>
          <w:vertAlign w:val="subscript"/>
          <w:lang w:eastAsia="zh-CN"/>
        </w:rPr>
        <w:t>CMAX_L,f,c</w:t>
      </w:r>
      <w:r>
        <w:rPr>
          <w:lang w:eastAsia="zh-CN"/>
        </w:rPr>
        <w:t xml:space="preserve"> = MIN {P</w:t>
      </w:r>
      <w:r>
        <w:rPr>
          <w:vertAlign w:val="subscript"/>
          <w:lang w:eastAsia="zh-CN"/>
        </w:rPr>
        <w:t>EMAX,c</w:t>
      </w:r>
      <w:r>
        <w:rPr>
          <w:lang w:eastAsia="zh-CN"/>
        </w:rPr>
        <w:t xml:space="preserve">, </w:t>
      </w:r>
      <w:bookmarkStart w:id="62" w:name="_Hlk142147439"/>
      <w:r>
        <w:rPr>
          <w:lang w:eastAsia="zh-CN"/>
        </w:rPr>
        <w:t>[</w:t>
      </w:r>
      <w:r>
        <w:rPr>
          <w:i/>
          <w:lang w:eastAsia="zh-CN"/>
        </w:rPr>
        <w:t>P</w:t>
      </w:r>
      <w:r>
        <w:rPr>
          <w:i/>
          <w:vertAlign w:val="subscript"/>
          <w:lang w:eastAsia="zh-CN"/>
        </w:rPr>
        <w:t>MaxOutputPower</w:t>
      </w:r>
      <w:r>
        <w:rPr>
          <w:lang w:eastAsia="zh-CN"/>
        </w:rPr>
        <w:t>]</w:t>
      </w:r>
      <w:bookmarkEnd w:id="62"/>
      <w:r>
        <w:rPr>
          <w:lang w:eastAsia="zh-CN"/>
        </w:rPr>
        <w:t>}</w:t>
      </w:r>
    </w:p>
    <w:p>
      <w:pPr>
        <w:pStyle w:val="57"/>
        <w:jc w:val="center"/>
        <w:rPr>
          <w:lang w:eastAsia="zh-CN"/>
        </w:rPr>
      </w:pPr>
      <w:r>
        <w:rPr>
          <w:lang w:eastAsia="zh-CN"/>
        </w:rPr>
        <w:t>P</w:t>
      </w:r>
      <w:r>
        <w:rPr>
          <w:vertAlign w:val="subscript"/>
          <w:lang w:eastAsia="zh-CN"/>
        </w:rPr>
        <w:t>CMAX_H,f,c</w:t>
      </w:r>
      <w:r>
        <w:rPr>
          <w:lang w:eastAsia="zh-CN"/>
        </w:rPr>
        <w:t xml:space="preserve"> = P</w:t>
      </w:r>
      <w:r>
        <w:rPr>
          <w:vertAlign w:val="subscript"/>
          <w:lang w:eastAsia="zh-CN"/>
        </w:rPr>
        <w:t>EMAX,c</w:t>
      </w:r>
    </w:p>
    <w:p>
      <w:pPr>
        <w:rPr>
          <w:lang w:eastAsia="zh-CN"/>
        </w:rPr>
      </w:pPr>
      <w:r>
        <w:rPr>
          <w:lang w:eastAsia="zh-CN"/>
        </w:rPr>
        <w:t>where</w:t>
      </w:r>
    </w:p>
    <w:p>
      <w:pPr>
        <w:pStyle w:val="73"/>
        <w:rPr>
          <w:lang w:eastAsia="zh-CN"/>
        </w:rPr>
      </w:pPr>
      <w:r>
        <w:rPr>
          <w:lang w:eastAsia="zh-CN"/>
        </w:rPr>
        <w:tab/>
      </w:r>
      <w:r>
        <w:rPr>
          <w:lang w:eastAsia="zh-CN"/>
        </w:rPr>
        <w:t>P</w:t>
      </w:r>
      <w:r>
        <w:rPr>
          <w:vertAlign w:val="subscript"/>
          <w:lang w:eastAsia="zh-CN"/>
        </w:rPr>
        <w:t>EMAX,c</w:t>
      </w:r>
      <w:r>
        <w:rPr>
          <w:lang w:eastAsia="zh-CN"/>
        </w:rPr>
        <w:t xml:space="preserve"> is the value given by [either the </w:t>
      </w:r>
      <w:r>
        <w:rPr>
          <w:i/>
          <w:lang w:eastAsia="zh-CN"/>
        </w:rPr>
        <w:t>p-Max</w:t>
      </w:r>
      <w:r>
        <w:rPr>
          <w:lang w:eastAsia="zh-CN"/>
        </w:rPr>
        <w:t xml:space="preserve"> IE or the field </w:t>
      </w:r>
      <w:r>
        <w:rPr>
          <w:i/>
          <w:lang w:eastAsia="zh-CN"/>
        </w:rPr>
        <w:t>additionalPmax</w:t>
      </w:r>
      <w:r>
        <w:rPr>
          <w:lang w:eastAsia="zh-CN"/>
        </w:rPr>
        <w:t xml:space="preserve"> of the </w:t>
      </w:r>
      <w:r>
        <w:rPr>
          <w:i/>
          <w:lang w:eastAsia="zh-CN"/>
        </w:rPr>
        <w:t>NR-NS-PmaxList IE]</w:t>
      </w:r>
      <w:r>
        <w:rPr>
          <w:lang w:eastAsia="zh-CN"/>
        </w:rPr>
        <w:t>, whichever is applicable according to TS 38.331[7];</w:t>
      </w:r>
    </w:p>
    <w:p>
      <w:pPr>
        <w:pStyle w:val="73"/>
        <w:rPr>
          <w:lang w:eastAsia="zh-CN"/>
        </w:rPr>
      </w:pPr>
      <w:r>
        <w:rPr>
          <w:lang w:eastAsia="zh-CN"/>
        </w:rPr>
        <w:tab/>
      </w:r>
      <w:r>
        <w:rPr>
          <w:lang w:eastAsia="zh-CN"/>
        </w:rPr>
        <w:t>[</w:t>
      </w:r>
      <w:r>
        <w:rPr>
          <w:i/>
          <w:lang w:eastAsia="zh-CN"/>
        </w:rPr>
        <w:t>P</w:t>
      </w:r>
      <w:r>
        <w:rPr>
          <w:i/>
          <w:vertAlign w:val="subscript"/>
          <w:lang w:eastAsia="zh-CN"/>
        </w:rPr>
        <w:t>MaxOutputPower</w:t>
      </w:r>
      <w:r>
        <w:rPr>
          <w:lang w:eastAsia="zh-CN"/>
        </w:rPr>
        <w:t>] is the maximum UE output power at maximum modulation order and full PRB configurations which is indicated by ATG UE;</w:t>
      </w:r>
    </w:p>
    <w:p>
      <w:pPr>
        <w:rPr>
          <w:rFonts w:eastAsia="宋体"/>
          <w:lang w:eastAsia="zh-CN"/>
        </w:rPr>
      </w:pPr>
    </w:p>
    <w:p>
      <w:pPr>
        <w:pStyle w:val="5"/>
        <w:spacing w:after="240"/>
        <w:ind w:left="0" w:firstLine="0"/>
        <w:rPr>
          <w:lang w:eastAsia="zh-CN"/>
        </w:rPr>
      </w:pPr>
      <w:bookmarkStart w:id="63" w:name="_Toc133498154"/>
      <w:r>
        <w:rPr>
          <w:lang w:eastAsia="zh-CN"/>
        </w:rPr>
        <w:t>7.1.2.5 Minimum output power</w:t>
      </w:r>
      <w:bookmarkEnd w:id="63"/>
    </w:p>
    <w:p>
      <w:pPr>
        <w:rPr>
          <w:rFonts w:eastAsia="宋体"/>
          <w:lang w:eastAsia="zh-CN"/>
        </w:rPr>
      </w:pPr>
    </w:p>
    <w:p>
      <w:pPr>
        <w:overflowPunct/>
        <w:autoSpaceDE/>
        <w:autoSpaceDN/>
        <w:adjustRightInd/>
        <w:spacing w:before="120" w:beforeAutospacing="1" w:after="312" w:afterLines="100"/>
        <w:textAlignment w:val="auto"/>
        <w:outlineLvl w:val="3"/>
        <w:rPr>
          <w:rFonts w:ascii="Arial" w:hAnsi="Arial" w:eastAsia="Arial"/>
          <w:sz w:val="24"/>
          <w:lang w:eastAsia="zh-CN"/>
        </w:rPr>
      </w:pPr>
      <w:bookmarkStart w:id="64" w:name="_Toc133498155"/>
      <w:r>
        <w:rPr>
          <w:rFonts w:ascii="Arial" w:hAnsi="Arial" w:eastAsia="Arial"/>
          <w:sz w:val="24"/>
          <w:lang w:eastAsia="zh-CN"/>
        </w:rPr>
        <w:t>7.1.2.6 Transmit OFF power</w:t>
      </w:r>
      <w:bookmarkEnd w:id="64"/>
    </w:p>
    <w:p>
      <w:pPr>
        <w:rPr>
          <w:rFonts w:eastAsia="宋体"/>
          <w:lang w:eastAsia="zh-CN"/>
        </w:rPr>
      </w:pPr>
      <w:r>
        <w:rPr>
          <w:lang w:eastAsia="en-US"/>
        </w:rPr>
        <w:t>The current requirements for Transmit OFF power specified in clause 6.3.2 of TS 38.101-1 are applicable to ATG UE, i.e. -50dBm.</w:t>
      </w:r>
    </w:p>
    <w:p>
      <w:pPr>
        <w:overflowPunct/>
        <w:autoSpaceDE/>
        <w:autoSpaceDN/>
        <w:adjustRightInd/>
        <w:spacing w:before="120" w:beforeAutospacing="1" w:after="312" w:afterLines="100"/>
        <w:textAlignment w:val="auto"/>
        <w:outlineLvl w:val="3"/>
        <w:rPr>
          <w:rFonts w:ascii="Arial" w:hAnsi="Arial" w:eastAsia="Arial"/>
          <w:sz w:val="24"/>
          <w:lang w:eastAsia="zh-CN"/>
        </w:rPr>
      </w:pPr>
      <w:bookmarkStart w:id="65" w:name="_Toc133498156"/>
      <w:r>
        <w:rPr>
          <w:rFonts w:ascii="Arial" w:hAnsi="Arial" w:eastAsia="Arial"/>
          <w:sz w:val="24"/>
          <w:lang w:eastAsia="zh-CN"/>
        </w:rPr>
        <w:t>7.1.2.7 Transmit ON/OFF time mask</w:t>
      </w:r>
      <w:bookmarkEnd w:id="65"/>
    </w:p>
    <w:p>
      <w:pPr>
        <w:rPr>
          <w:rFonts w:eastAsia="宋体"/>
          <w:lang w:eastAsia="zh-CN"/>
        </w:rPr>
      </w:pPr>
      <w:r>
        <w:rPr>
          <w:lang w:eastAsia="en-US"/>
        </w:rPr>
        <w:t>The current requirements for Transmit ON/OFF time mask specified in clause 6.3.3 of TS 38.101-1 are applicable to ATG UE.</w:t>
      </w:r>
    </w:p>
    <w:p>
      <w:pPr>
        <w:rPr>
          <w:rFonts w:eastAsia="宋体"/>
          <w:lang w:eastAsia="zh-CN"/>
        </w:rPr>
      </w:pPr>
    </w:p>
    <w:p>
      <w:pPr>
        <w:overflowPunct/>
        <w:autoSpaceDE/>
        <w:autoSpaceDN/>
        <w:adjustRightInd/>
        <w:spacing w:before="120" w:beforeAutospacing="1" w:after="312" w:afterLines="100"/>
        <w:textAlignment w:val="auto"/>
        <w:outlineLvl w:val="3"/>
        <w:rPr>
          <w:rFonts w:ascii="Arial" w:hAnsi="Arial" w:eastAsia="Arial"/>
          <w:sz w:val="24"/>
          <w:lang w:eastAsia="zh-CN"/>
        </w:rPr>
      </w:pPr>
      <w:bookmarkStart w:id="66" w:name="_Toc133498157"/>
      <w:r>
        <w:rPr>
          <w:rFonts w:ascii="Arial" w:hAnsi="Arial" w:eastAsia="Arial"/>
          <w:sz w:val="24"/>
          <w:lang w:eastAsia="zh-CN"/>
        </w:rPr>
        <w:t>7.1.2.8 Power control</w:t>
      </w:r>
      <w:bookmarkEnd w:id="66"/>
    </w:p>
    <w:p>
      <w:pPr>
        <w:rPr>
          <w:rFonts w:eastAsia="宋体"/>
          <w:lang w:eastAsia="zh-CN"/>
        </w:rPr>
      </w:pPr>
      <w:r>
        <w:rPr>
          <w:lang w:eastAsia="en-US"/>
        </w:rPr>
        <w:t>The current requirements for power control specified in clause 6.3.4 of TS 38.101-1 are applicable to ATG UE.</w:t>
      </w:r>
    </w:p>
    <w:p>
      <w:pPr>
        <w:rPr>
          <w:rFonts w:eastAsia="宋体"/>
          <w:lang w:eastAsia="zh-CN"/>
        </w:rPr>
      </w:pPr>
    </w:p>
    <w:p>
      <w:pPr>
        <w:spacing w:before="120" w:beforeAutospacing="1" w:after="312" w:afterLines="100"/>
        <w:outlineLvl w:val="3"/>
        <w:rPr>
          <w:rFonts w:ascii="Arial" w:hAnsi="Arial" w:eastAsia="Arial"/>
          <w:sz w:val="24"/>
          <w:lang w:eastAsia="zh-CN"/>
        </w:rPr>
      </w:pPr>
      <w:r>
        <w:rPr>
          <w:rFonts w:ascii="Arial" w:hAnsi="Arial" w:eastAsia="Arial"/>
          <w:sz w:val="24"/>
          <w:lang w:eastAsia="zh-CN"/>
        </w:rPr>
        <w:t>7.1.2.9 Transmit signal quality</w:t>
      </w:r>
    </w:p>
    <w:p>
      <w:r>
        <w:rPr>
          <w:rFonts w:eastAsia="宋体"/>
          <w:lang w:eastAsia="zh-CN"/>
        </w:rPr>
        <w:t xml:space="preserve">Transmit signal quality include </w:t>
      </w:r>
      <w:r>
        <w:t>frequency error and transmit modulation quality.</w:t>
      </w:r>
    </w:p>
    <w:p>
      <w:r>
        <w:t>For frequency error, frequency pre-compensation is assumed for ATG UE. The existing requirement defined for NTN UE in TS 38.101-5</w:t>
      </w:r>
      <w:r>
        <w:rPr>
          <w:rFonts w:hint="eastAsia" w:eastAsia="宋体"/>
          <w:lang w:val="en-US" w:eastAsia="zh-CN"/>
        </w:rPr>
        <w:t xml:space="preserve"> [7]</w:t>
      </w:r>
      <w:r>
        <w:t xml:space="preserve"> will be reused as baseline.</w:t>
      </w:r>
    </w:p>
    <w:p>
      <w:pPr>
        <w:spacing w:after="180" w:line="240" w:lineRule="auto"/>
        <w:rPr>
          <w:rFonts w:ascii="Times New Roman" w:hAnsi="Times New Roman" w:eastAsia="Times New Roman" w:cs="Times New Roman"/>
          <w:bCs/>
          <w:lang w:eastAsia="zh-CN"/>
        </w:rPr>
      </w:pPr>
      <w:r>
        <w:rPr>
          <w:b w:val="0"/>
          <w:bCs/>
          <w:lang w:eastAsia="en-US"/>
        </w:rPr>
        <w:t>Regarding modulation scheme, QPSK/16QAM/64QAM will be supported as mandatory. For 256QAM, there are some challenges for ATG due to large propagation distance. While according to the evaluation for 2GHz and 4GHz in [</w:t>
      </w:r>
      <w:r>
        <w:rPr>
          <w:rFonts w:hint="eastAsia" w:eastAsia="宋体" w:cs="Times New Roman"/>
          <w:b w:val="0"/>
          <w:bCs/>
          <w:lang w:val="en-US" w:eastAsia="zh-CN" w:bidi="ar-SA"/>
        </w:rPr>
        <w:t>6</w:t>
      </w:r>
      <w:r>
        <w:rPr>
          <w:b w:val="0"/>
          <w:bCs/>
          <w:lang w:eastAsia="en-US"/>
        </w:rPr>
        <w:t xml:space="preserve">], the SNR above 25dB can still be seen in the considered scenarios for both UL and DL. UL 256QAM is supported for ATG UE as optional feature.  </w:t>
      </w:r>
    </w:p>
    <w:p>
      <w:pPr>
        <w:tabs>
          <w:tab w:val="left" w:pos="813"/>
        </w:tabs>
        <w:spacing w:after="160" w:line="259" w:lineRule="auto"/>
        <w:jc w:val="center"/>
        <w:rPr>
          <w:rFonts w:ascii="Arial" w:hAnsi="Arial" w:eastAsia="Calibri" w:cs="Arial"/>
          <w:szCs w:val="22"/>
          <w:lang w:eastAsia="ja-JP"/>
        </w:rPr>
      </w:pPr>
      <w:r>
        <w:rPr>
          <w:lang w:eastAsia="en-US"/>
        </w:rPr>
        <w:drawing>
          <wp:inline distT="0" distB="0" distL="0" distR="0">
            <wp:extent cx="4498975" cy="2254250"/>
            <wp:effectExtent l="4445" t="4445" r="5080" b="1460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pPr>
        <w:tabs>
          <w:tab w:val="left" w:pos="813"/>
        </w:tabs>
        <w:spacing w:after="160" w:line="259" w:lineRule="auto"/>
        <w:jc w:val="center"/>
        <w:rPr>
          <w:rFonts w:ascii="Arial" w:hAnsi="Arial" w:eastAsia="Calibri" w:cs="Arial"/>
          <w:szCs w:val="22"/>
          <w:lang w:eastAsia="ja-JP"/>
        </w:rPr>
      </w:pPr>
      <w:r>
        <w:rPr>
          <w:rFonts w:ascii="Arial" w:hAnsi="Arial" w:eastAsia="Calibri" w:cs="Arial"/>
          <w:szCs w:val="22"/>
          <w:lang w:eastAsia="ja-JP"/>
        </w:rPr>
        <w:t>Figure 7.1.2.9-1</w:t>
      </w:r>
    </w:p>
    <w:p>
      <w:pPr>
        <w:tabs>
          <w:tab w:val="left" w:pos="813"/>
        </w:tabs>
        <w:spacing w:after="160" w:line="259" w:lineRule="auto"/>
        <w:jc w:val="center"/>
        <w:rPr>
          <w:rFonts w:ascii="Arial" w:hAnsi="Arial" w:eastAsia="Calibri" w:cs="Arial"/>
          <w:szCs w:val="22"/>
          <w:lang w:eastAsia="ja-JP"/>
        </w:rPr>
      </w:pPr>
      <w:r>
        <w:rPr>
          <w:lang w:eastAsia="en-US"/>
        </w:rPr>
        <w:drawing>
          <wp:inline distT="0" distB="0" distL="0" distR="0">
            <wp:extent cx="4490085" cy="2299335"/>
            <wp:effectExtent l="4445" t="4445" r="13970" b="7620"/>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pPr>
        <w:jc w:val="center"/>
      </w:pPr>
      <w:r>
        <w:rPr>
          <w:rFonts w:ascii="Arial" w:hAnsi="Arial" w:eastAsia="Calibri" w:cs="Arial"/>
          <w:szCs w:val="22"/>
          <w:lang w:eastAsia="ja-JP"/>
        </w:rPr>
        <w:t>Figure 7.1.2.9-2</w:t>
      </w:r>
    </w:p>
    <w:p>
      <w:r>
        <w:t>For transmit modulation quality, the following requirement for FR1 UE in 38.101-1</w:t>
      </w:r>
      <w:r>
        <w:rPr>
          <w:rFonts w:hint="eastAsia" w:eastAsia="宋体"/>
          <w:lang w:val="en-US" w:eastAsia="zh-CN"/>
        </w:rPr>
        <w:t xml:space="preserve"> [4]</w:t>
      </w:r>
      <w:r>
        <w:t xml:space="preserve"> will be reused for ATG UE. </w:t>
      </w:r>
    </w:p>
    <w:tbl>
      <w:tblPr>
        <w:tblStyle w:val="49"/>
        <w:tblW w:w="6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b/>
                <w:sz w:val="18"/>
              </w:rPr>
            </w:pPr>
            <w:r>
              <w:rPr>
                <w:rFonts w:ascii="Arial" w:hAnsi="Arial" w:eastAsia="MS Mincho"/>
                <w:b/>
                <w:sz w:val="18"/>
              </w:rPr>
              <w:br w:type="page"/>
            </w:r>
            <w:r>
              <w:rPr>
                <w:rFonts w:ascii="Arial" w:hAnsi="Arial" w:eastAsia="MS Mincho"/>
                <w:b/>
                <w:sz w:val="18"/>
              </w:rPr>
              <w:t>Parameter</w:t>
            </w:r>
          </w:p>
        </w:tc>
        <w:tc>
          <w:tcPr>
            <w:tcW w:w="1135" w:type="dxa"/>
          </w:tcPr>
          <w:p>
            <w:pPr>
              <w:keepNext/>
              <w:keepLines/>
              <w:spacing w:after="0"/>
              <w:jc w:val="center"/>
              <w:rPr>
                <w:rFonts w:ascii="Arial" w:hAnsi="Arial" w:eastAsia="MS Mincho"/>
                <w:b/>
                <w:sz w:val="18"/>
              </w:rPr>
            </w:pPr>
            <w:r>
              <w:rPr>
                <w:rFonts w:ascii="Arial" w:hAnsi="Arial" w:eastAsia="MS Mincho"/>
                <w:b/>
                <w:sz w:val="18"/>
              </w:rPr>
              <w:t>Unit</w:t>
            </w:r>
          </w:p>
        </w:tc>
        <w:tc>
          <w:tcPr>
            <w:tcW w:w="2406" w:type="dxa"/>
          </w:tcPr>
          <w:p>
            <w:pPr>
              <w:keepNext/>
              <w:keepLines/>
              <w:spacing w:after="0"/>
              <w:jc w:val="center"/>
              <w:rPr>
                <w:rFonts w:ascii="Arial" w:hAnsi="Arial" w:eastAsia="MS Mincho"/>
                <w:b/>
                <w:sz w:val="18"/>
              </w:rPr>
            </w:pPr>
            <w:r>
              <w:rPr>
                <w:rFonts w:ascii="Arial" w:hAnsi="Arial" w:eastAsia="MS Mincho"/>
                <w:b/>
                <w:sz w:val="18"/>
              </w:rPr>
              <w:t>Average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rPr>
            </w:pPr>
            <w:r>
              <w:rPr>
                <w:rFonts w:ascii="Arial" w:hAnsi="Arial" w:eastAsia="MS Mincho"/>
                <w:sz w:val="18"/>
              </w:rPr>
              <w:t>QPSK</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rPr>
            </w:pPr>
            <w:r>
              <w:rPr>
                <w:rFonts w:ascii="Arial" w:hAnsi="Arial" w:eastAsia="MS Mincho" w:cs="v5.0.0"/>
                <w:sz w:val="18"/>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rPr>
            </w:pPr>
            <w:r>
              <w:rPr>
                <w:rFonts w:ascii="Arial" w:hAnsi="Arial" w:eastAsia="MS Mincho"/>
                <w:sz w:val="18"/>
              </w:rPr>
              <w:t>16</w:t>
            </w:r>
            <w:r>
              <w:rPr>
                <w:rFonts w:hint="eastAsia" w:ascii="Arial" w:hAnsi="Arial" w:eastAsia="Malgun Gothic"/>
                <w:sz w:val="18"/>
              </w:rPr>
              <w:t xml:space="preserve"> </w:t>
            </w:r>
            <w:r>
              <w:rPr>
                <w:rFonts w:ascii="Arial" w:hAnsi="Arial" w:eastAsia="MS Mincho"/>
                <w:sz w:val="18"/>
              </w:rPr>
              <w:t xml:space="preserve">QAM </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rPr>
            </w:pPr>
            <w:r>
              <w:rPr>
                <w:rFonts w:ascii="Arial" w:hAnsi="Arial" w:eastAsia="MS Mincho" w:cs="v5.0.0"/>
                <w:sz w:val="18"/>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rPr>
            </w:pPr>
            <w:r>
              <w:rPr>
                <w:rFonts w:hint="eastAsia" w:ascii="Arial" w:hAnsi="Arial" w:eastAsia="MS Mincho"/>
                <w:sz w:val="18"/>
                <w:lang w:eastAsia="zh-CN"/>
              </w:rPr>
              <w:t>64</w:t>
            </w:r>
            <w:r>
              <w:rPr>
                <w:rFonts w:hint="eastAsia" w:ascii="Arial" w:hAnsi="Arial" w:eastAsia="Malgun Gothic"/>
                <w:sz w:val="18"/>
              </w:rPr>
              <w:t xml:space="preserve"> </w:t>
            </w:r>
            <w:r>
              <w:rPr>
                <w:rFonts w:ascii="Arial" w:hAnsi="Arial" w:eastAsia="MS Mincho"/>
                <w:sz w:val="18"/>
              </w:rPr>
              <w:t xml:space="preserve">QAM </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rPr>
            </w:pPr>
            <w:r>
              <w:rPr>
                <w:rFonts w:hint="eastAsia" w:ascii="Arial" w:hAnsi="Arial" w:eastAsia="MS Mincho" w:cs="v5.0.0"/>
                <w:sz w:val="18"/>
                <w:lang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lang w:eastAsia="zh-CN"/>
              </w:rPr>
            </w:pPr>
            <w:r>
              <w:rPr>
                <w:rFonts w:ascii="Arial" w:hAnsi="Arial" w:eastAsia="MS Mincho"/>
                <w:sz w:val="18"/>
                <w:lang w:eastAsia="zh-CN"/>
              </w:rPr>
              <w:t>256 QAM</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lang w:eastAsia="zh-CN"/>
              </w:rPr>
            </w:pPr>
            <w:r>
              <w:rPr>
                <w:rFonts w:ascii="Arial" w:hAnsi="Arial" w:eastAsia="MS Mincho" w:cs="v5.0.0"/>
                <w:sz w:val="18"/>
                <w:lang w:eastAsia="zh-CN"/>
              </w:rPr>
              <w:t>3.5</w:t>
            </w:r>
          </w:p>
        </w:tc>
      </w:tr>
    </w:tbl>
    <w:p>
      <w:pPr>
        <w:spacing w:before="120" w:beforeAutospacing="1" w:after="312" w:afterLines="100"/>
        <w:outlineLvl w:val="3"/>
        <w:rPr>
          <w:rFonts w:ascii="Arial" w:hAnsi="Arial" w:eastAsia="Arial"/>
          <w:sz w:val="24"/>
          <w:lang w:eastAsia="zh-CN"/>
        </w:rPr>
      </w:pPr>
      <w:r>
        <w:rPr>
          <w:rFonts w:ascii="Arial" w:hAnsi="Arial" w:eastAsia="Arial"/>
          <w:sz w:val="24"/>
          <w:lang w:eastAsia="zh-CN"/>
        </w:rPr>
        <w:t>7.1.2.10 Occupied bandwidth</w:t>
      </w:r>
    </w:p>
    <w:p>
      <w:pPr>
        <w:rPr>
          <w:rFonts w:eastAsia="宋体"/>
          <w:lang w:eastAsia="zh-CN"/>
        </w:rPr>
      </w:pPr>
      <w:r>
        <w:rPr>
          <w:rFonts w:eastAsia="宋体"/>
          <w:lang w:eastAsia="zh-CN"/>
        </w:rPr>
        <w:t>The Occupied bandwidth requirement in subclause 6.5.1 of 38.101-1 [4] is applicable for ATG UE operating in FR1.</w:t>
      </w:r>
    </w:p>
    <w:p>
      <w:pPr>
        <w:rPr>
          <w:rFonts w:eastAsia="宋体"/>
          <w:lang w:eastAsia="zh-CN"/>
        </w:rPr>
      </w:pPr>
    </w:p>
    <w:p>
      <w:pPr>
        <w:spacing w:before="120" w:beforeAutospacing="1" w:after="312" w:afterLines="100"/>
        <w:outlineLvl w:val="3"/>
        <w:rPr>
          <w:rFonts w:ascii="Arial" w:hAnsi="Arial" w:eastAsia="Arial"/>
          <w:sz w:val="24"/>
          <w:lang w:eastAsia="zh-CN"/>
        </w:rPr>
      </w:pPr>
      <w:r>
        <w:rPr>
          <w:rFonts w:ascii="Arial" w:hAnsi="Arial" w:eastAsia="Arial"/>
          <w:sz w:val="24"/>
          <w:lang w:eastAsia="zh-CN"/>
        </w:rPr>
        <w:t>7.1.2.11 SEM requirements</w:t>
      </w:r>
    </w:p>
    <w:p>
      <w:pPr>
        <w:rPr>
          <w:rFonts w:eastAsia="宋体"/>
          <w:lang w:eastAsia="zh-CN"/>
        </w:rPr>
      </w:pPr>
      <w:r>
        <w:rPr>
          <w:rFonts w:eastAsia="宋体"/>
          <w:lang w:eastAsia="zh-CN"/>
        </w:rPr>
        <w:t>TBA</w:t>
      </w:r>
    </w:p>
    <w:p>
      <w:pPr>
        <w:spacing w:before="120" w:beforeAutospacing="1" w:after="312" w:afterLines="100"/>
        <w:outlineLvl w:val="3"/>
        <w:rPr>
          <w:rFonts w:ascii="Arial" w:hAnsi="Arial" w:eastAsia="Arial"/>
          <w:sz w:val="24"/>
          <w:lang w:eastAsia="zh-CN"/>
        </w:rPr>
      </w:pPr>
      <w:r>
        <w:rPr>
          <w:rFonts w:ascii="Arial" w:hAnsi="Arial" w:eastAsia="Arial"/>
          <w:sz w:val="24"/>
          <w:lang w:eastAsia="zh-CN"/>
        </w:rPr>
        <w:t>7.1.2.12 ACLR requirements</w:t>
      </w:r>
    </w:p>
    <w:p>
      <w:pPr>
        <w:rPr>
          <w:rFonts w:eastAsia="宋体"/>
          <w:lang w:eastAsia="zh-CN"/>
        </w:rPr>
      </w:pPr>
      <w:r>
        <w:rPr>
          <w:rFonts w:eastAsia="宋体"/>
          <w:color w:val="0070C0"/>
          <w:szCs w:val="24"/>
          <w:lang w:eastAsia="zh-CN"/>
        </w:rPr>
        <w:t>FR1 PC3 ACLR requirement in 38.101-1 is reused for ATG CPE.</w:t>
      </w:r>
    </w:p>
    <w:p>
      <w:pPr>
        <w:spacing w:before="120" w:beforeAutospacing="1" w:after="312" w:afterLines="100"/>
        <w:outlineLvl w:val="3"/>
        <w:rPr>
          <w:rFonts w:ascii="Arial" w:hAnsi="Arial" w:eastAsia="Arial"/>
          <w:sz w:val="24"/>
          <w:lang w:eastAsia="zh-CN"/>
        </w:rPr>
      </w:pPr>
      <w:r>
        <w:rPr>
          <w:rFonts w:ascii="Arial" w:hAnsi="Arial" w:eastAsia="Arial"/>
          <w:sz w:val="24"/>
          <w:lang w:eastAsia="zh-CN"/>
        </w:rPr>
        <w:t>7.1.2.13 Spurious emission</w:t>
      </w:r>
    </w:p>
    <w:p>
      <w:pPr>
        <w:rPr>
          <w:rFonts w:eastAsia="宋体"/>
          <w:lang w:eastAsia="zh-CN"/>
        </w:rPr>
      </w:pPr>
      <w:r>
        <w:rPr>
          <w:rFonts w:eastAsia="宋体"/>
          <w:lang w:eastAsia="zh-CN"/>
        </w:rPr>
        <w:t>The general spurious emission requirement in subclause 6.5.3.1 of 38.101-1 [4] is applicable for ATG UE operating in FR1.</w:t>
      </w:r>
    </w:p>
    <w:p>
      <w:pPr>
        <w:spacing w:before="120" w:beforeAutospacing="1" w:after="312" w:afterLines="100"/>
        <w:outlineLvl w:val="3"/>
        <w:rPr>
          <w:rFonts w:ascii="Arial" w:hAnsi="Arial" w:eastAsia="Arial"/>
          <w:sz w:val="24"/>
          <w:lang w:eastAsia="zh-CN"/>
        </w:rPr>
      </w:pPr>
      <w:r>
        <w:rPr>
          <w:rFonts w:ascii="Arial" w:hAnsi="Arial" w:eastAsia="Arial"/>
          <w:sz w:val="24"/>
          <w:lang w:eastAsia="zh-CN"/>
        </w:rPr>
        <w:t>7.1.2.14 Spurious emissions for UE co-existence</w:t>
      </w:r>
    </w:p>
    <w:p>
      <w:pPr>
        <w:rPr>
          <w:rFonts w:eastAsia="宋体"/>
          <w:lang w:eastAsia="zh-CN"/>
        </w:rPr>
      </w:pPr>
      <w:r>
        <w:rPr>
          <w:rFonts w:eastAsia="宋体"/>
          <w:lang w:eastAsia="zh-CN"/>
        </w:rPr>
        <w:t>Given the separation distance between ATG UE and TN UE is quite large, it is expected that the achievable MCL can be large enough to overcome the UE-UE interference. This requirement will not be specified for ATG UE.</w:t>
      </w:r>
    </w:p>
    <w:p>
      <w:pPr>
        <w:spacing w:before="120" w:beforeAutospacing="1" w:after="312" w:afterLines="100"/>
        <w:outlineLvl w:val="3"/>
        <w:rPr>
          <w:rFonts w:ascii="Arial" w:hAnsi="Arial" w:eastAsia="Arial"/>
          <w:sz w:val="24"/>
          <w:lang w:eastAsia="zh-CN"/>
        </w:rPr>
      </w:pPr>
      <w:r>
        <w:rPr>
          <w:rFonts w:ascii="Arial" w:hAnsi="Arial" w:eastAsia="Arial"/>
          <w:sz w:val="24"/>
          <w:lang w:eastAsia="zh-CN"/>
        </w:rPr>
        <w:t>7.1.2.15 Transmit intermodulation</w:t>
      </w:r>
    </w:p>
    <w:p>
      <w:pPr>
        <w:rPr>
          <w:lang w:eastAsia="zh-CN"/>
        </w:rPr>
      </w:pPr>
      <w:r>
        <w:rPr>
          <w:rFonts w:eastAsia="宋体"/>
          <w:lang w:eastAsia="zh-CN"/>
        </w:rPr>
        <w:t>TBA</w:t>
      </w:r>
    </w:p>
    <w:p>
      <w:pPr>
        <w:pStyle w:val="4"/>
        <w:rPr>
          <w:lang w:eastAsia="zh-CN"/>
        </w:rPr>
      </w:pPr>
      <w:bookmarkStart w:id="67" w:name="_Toc133498158"/>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bookmarkEnd w:id="67"/>
    </w:p>
    <w:p>
      <w:pPr>
        <w:keepNext/>
        <w:keepLines/>
        <w:spacing w:before="120"/>
        <w:outlineLvl w:val="3"/>
        <w:rPr>
          <w:rFonts w:ascii="Arial" w:hAnsi="Arial" w:eastAsia="等线 Light" w:cs="Arial"/>
          <w:sz w:val="24"/>
          <w:szCs w:val="24"/>
          <w:lang w:val="en-US" w:eastAsia="zh-CN"/>
        </w:rPr>
      </w:pPr>
      <w:r>
        <w:rPr>
          <w:rFonts w:ascii="Arial" w:hAnsi="Arial" w:eastAsia="等线 Light" w:cs="Arial"/>
          <w:sz w:val="24"/>
          <w:szCs w:val="24"/>
          <w:lang w:val="en-US" w:eastAsia="zh-CN"/>
        </w:rPr>
        <w:t>7.1.3.1</w:t>
      </w:r>
      <w:r>
        <w:rPr>
          <w:rFonts w:ascii="Arial" w:hAnsi="Arial" w:eastAsia="等线 Light" w:cs="Arial"/>
          <w:sz w:val="24"/>
          <w:szCs w:val="24"/>
          <w:lang w:val="en-US" w:eastAsia="zh-CN"/>
        </w:rPr>
        <w:tab/>
      </w:r>
      <w:r>
        <w:rPr>
          <w:rFonts w:ascii="Arial" w:hAnsi="Arial" w:eastAsia="等线 Light" w:cs="Arial"/>
          <w:sz w:val="24"/>
          <w:szCs w:val="24"/>
          <w:lang w:val="en-US" w:eastAsia="zh-CN"/>
        </w:rPr>
        <w:t>General</w:t>
      </w:r>
    </w:p>
    <w:p>
      <w:pPr>
        <w:spacing w:after="160" w:line="259" w:lineRule="auto"/>
        <w:jc w:val="both"/>
        <w:rPr>
          <w:sz w:val="22"/>
          <w:szCs w:val="22"/>
          <w:lang w:val="en-US" w:eastAsia="zh-CN"/>
        </w:rPr>
      </w:pPr>
      <w:r>
        <w:rPr>
          <w:sz w:val="22"/>
          <w:szCs w:val="22"/>
          <w:lang w:val="en-US" w:eastAsia="zh-CN"/>
        </w:rPr>
        <w:t xml:space="preserve">Unless otherwise stated the receiver characteristics are specified at the antenna connector(s) of the ATG UE. For CPE(s) with an integral antenna only, a reference antenna(s) with a gain of 0 dBi is assumed for each antenna port(s). CPE with an integral antenna(s) may be taken into account by converting these power levels into field strength requirements, assuming a 0 dBi gain antenna. </w:t>
      </w:r>
      <w:r>
        <w:rPr>
          <w:snapToGrid w:val="0"/>
          <w:sz w:val="22"/>
          <w:szCs w:val="22"/>
          <w:lang w:val="en-US" w:eastAsia="zh-CN"/>
        </w:rPr>
        <w:t>For CPEs with more than one receiver antenna connector, identical interfering signals shall be applied to each receiver antenna port if more than one of these is used (diversity).</w:t>
      </w:r>
    </w:p>
    <w:p>
      <w:pPr>
        <w:keepNext/>
        <w:keepLines/>
        <w:spacing w:before="120"/>
        <w:outlineLvl w:val="3"/>
        <w:rPr>
          <w:rFonts w:ascii="Arial" w:hAnsi="Arial" w:eastAsia="等线 Light" w:cs="Arial"/>
          <w:sz w:val="24"/>
          <w:szCs w:val="24"/>
          <w:lang w:val="en-US" w:eastAsia="zh-CN"/>
        </w:rPr>
      </w:pPr>
      <w:r>
        <w:rPr>
          <w:rFonts w:ascii="Arial" w:hAnsi="Arial" w:eastAsia="等线 Light" w:cs="Arial"/>
          <w:sz w:val="24"/>
          <w:szCs w:val="24"/>
          <w:lang w:val="en-US" w:eastAsia="zh-CN"/>
        </w:rPr>
        <w:t>7.1.3.2</w:t>
      </w:r>
      <w:r>
        <w:rPr>
          <w:rFonts w:ascii="Arial" w:hAnsi="Arial" w:eastAsia="等线 Light" w:cs="Arial"/>
          <w:sz w:val="24"/>
          <w:szCs w:val="24"/>
          <w:lang w:val="en-US" w:eastAsia="zh-CN"/>
        </w:rPr>
        <w:tab/>
      </w:r>
      <w:r>
        <w:rPr>
          <w:rFonts w:ascii="Arial" w:hAnsi="Arial" w:eastAsia="等线 Light" w:cs="Arial"/>
          <w:sz w:val="24"/>
          <w:szCs w:val="24"/>
          <w:lang w:val="en-US" w:eastAsia="zh-CN"/>
        </w:rPr>
        <w:t>Diversity characteristics</w:t>
      </w:r>
    </w:p>
    <w:p>
      <w:pPr>
        <w:spacing w:after="160" w:line="259" w:lineRule="auto"/>
        <w:jc w:val="both"/>
        <w:rPr>
          <w:sz w:val="22"/>
          <w:szCs w:val="22"/>
          <w:lang w:val="en-US" w:eastAsia="zh-CN"/>
        </w:rPr>
      </w:pPr>
      <w:r>
        <w:rPr>
          <w:sz w:val="22"/>
          <w:szCs w:val="22"/>
          <w:lang w:val="en-US" w:eastAsia="zh-CN"/>
        </w:rPr>
        <w:t>The CPE for ATG is required to be equipped with a minimum of two Rx antenna ports in all the ATG operating bands in FR1.</w:t>
      </w:r>
    </w:p>
    <w:p>
      <w:pPr>
        <w:keepNext/>
        <w:keepLines/>
        <w:spacing w:before="120"/>
        <w:outlineLvl w:val="3"/>
        <w:rPr>
          <w:rFonts w:ascii="Arial" w:hAnsi="Arial" w:eastAsia="等线 Light" w:cs="Arial"/>
          <w:sz w:val="24"/>
          <w:szCs w:val="24"/>
          <w:lang w:val="en-US" w:eastAsia="zh-CN"/>
        </w:rPr>
      </w:pPr>
      <w:r>
        <w:rPr>
          <w:rFonts w:ascii="Arial" w:hAnsi="Arial" w:eastAsia="等线 Light" w:cs="Arial"/>
          <w:sz w:val="24"/>
          <w:szCs w:val="24"/>
          <w:lang w:val="en-US" w:eastAsia="zh-CN"/>
        </w:rPr>
        <w:t>7.1.3.3</w:t>
      </w:r>
      <w:r>
        <w:rPr>
          <w:rFonts w:ascii="Arial" w:hAnsi="Arial" w:eastAsia="等线 Light" w:cs="Arial"/>
          <w:sz w:val="24"/>
          <w:szCs w:val="24"/>
          <w:lang w:val="en-US" w:eastAsia="zh-CN"/>
        </w:rPr>
        <w:tab/>
      </w:r>
      <w:r>
        <w:rPr>
          <w:rFonts w:ascii="Arial" w:hAnsi="Arial" w:eastAsia="等线 Light" w:cs="Arial"/>
          <w:sz w:val="24"/>
          <w:szCs w:val="24"/>
          <w:lang w:val="en-US" w:eastAsia="zh-CN"/>
        </w:rPr>
        <w:t>REFSENS requirements</w:t>
      </w:r>
    </w:p>
    <w:p>
      <w:pPr>
        <w:spacing w:after="160" w:line="259" w:lineRule="auto"/>
        <w:jc w:val="both"/>
        <w:rPr>
          <w:sz w:val="22"/>
          <w:szCs w:val="22"/>
          <w:lang w:val="en-US" w:eastAsia="zh-CN"/>
        </w:rPr>
      </w:pPr>
      <w:r>
        <w:rPr>
          <w:sz w:val="22"/>
          <w:szCs w:val="22"/>
          <w:lang w:val="en-US" w:eastAsia="zh-CN"/>
        </w:rPr>
        <w:t>The reference sensitivity power level REFSENS is the minimum mean power applied to each one of the CPE antenna ports, at which the throughput shall meet or exceed the requirements for the specified reference measurement channel.</w:t>
      </w:r>
    </w:p>
    <w:p>
      <w:pPr>
        <w:spacing w:after="160" w:line="259" w:lineRule="auto"/>
        <w:jc w:val="both"/>
        <w:rPr>
          <w:sz w:val="22"/>
          <w:szCs w:val="22"/>
          <w:lang w:val="en-US" w:eastAsia="zh-CN"/>
        </w:rPr>
      </w:pPr>
      <w:r>
        <w:rPr>
          <w:sz w:val="22"/>
          <w:szCs w:val="22"/>
          <w:lang w:val="en-US" w:eastAsia="zh-CN"/>
        </w:rPr>
        <w:t>The same assumptions of NR FR1 handheld UE are used for NR ATG CEP in ATG operating bands in FR1. Therefore, the reference sensitivity of NR FR1 handheld UE could be reused for ATG UE.</w:t>
      </w:r>
    </w:p>
    <w:p>
      <w:pPr>
        <w:spacing w:after="160" w:line="259" w:lineRule="auto"/>
        <w:rPr>
          <w:sz w:val="22"/>
          <w:szCs w:val="22"/>
          <w:lang w:val="en-US" w:eastAsia="zh-CN"/>
        </w:rPr>
      </w:pPr>
      <w:r>
        <w:rPr>
          <w:sz w:val="22"/>
          <w:szCs w:val="22"/>
          <w:lang w:val="en-US" w:eastAsia="zh-CN"/>
        </w:rPr>
        <w:t>The throughput shall be ≥ 95 % of the maximum throughput of the reference measurement channels as specified in Annexes A.2.2.2 and A.3.2 from TS 38.101-1 [4] (with one sided dynamic OCNG Pattern OP.1 FDD for the DL-signal as described in Annex A.5.1.1 from TS 38.101-1 [4]) with parameters specified in Table 7.1.3.2.2-1, Table 7.1.3.2.2-2 and Table 7.1.3.2.2-3</w:t>
      </w:r>
    </w:p>
    <w:p>
      <w:pPr>
        <w:keepNext/>
        <w:keepLines/>
        <w:spacing w:before="60"/>
        <w:jc w:val="center"/>
        <w:rPr>
          <w:rFonts w:ascii="Arial" w:hAnsi="Arial"/>
          <w:b/>
        </w:rPr>
      </w:pPr>
      <w:r>
        <w:rPr>
          <w:rFonts w:ascii="Arial" w:hAnsi="Arial"/>
          <w:b/>
        </w:rPr>
        <w:t>Table 7.1.3.2.2-1: Two antenna port reference sensitivity QPSK REFSENS for FDD bands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4"/>
        <w:gridCol w:w="665"/>
        <w:gridCol w:w="784"/>
        <w:gridCol w:w="783"/>
        <w:gridCol w:w="784"/>
        <w:gridCol w:w="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tblHeader/>
          <w:jc w:val="center"/>
        </w:trPr>
        <w:tc>
          <w:tcPr>
            <w:tcW w:w="5045" w:type="dxa"/>
            <w:gridSpan w:val="6"/>
            <w:tcBorders>
              <w:bottom w:val="single" w:color="auto" w:sz="4" w:space="0"/>
            </w:tcBorders>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Operating band / SCS /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tblHeader/>
          <w:jc w:val="center"/>
        </w:trPr>
        <w:tc>
          <w:tcPr>
            <w:tcW w:w="1164" w:type="dxa"/>
            <w:tcBorders>
              <w:bottom w:val="single" w:color="auto" w:sz="4" w:space="0"/>
            </w:tcBorders>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Operating Band</w:t>
            </w:r>
          </w:p>
        </w:tc>
        <w:tc>
          <w:tcPr>
            <w:tcW w:w="665" w:type="dxa"/>
            <w:vAlign w:val="center"/>
          </w:tcPr>
          <w:p>
            <w:pPr>
              <w:keepNext/>
              <w:keepLines/>
              <w:spacing w:after="0"/>
              <w:jc w:val="center"/>
              <w:rPr>
                <w:rFonts w:ascii="Arial" w:hAnsi="Arial" w:eastAsia="PMingLiU"/>
                <w:b/>
                <w:sz w:val="18"/>
                <w:lang w:val="en-US"/>
              </w:rPr>
            </w:pPr>
            <w:r>
              <w:rPr>
                <w:rFonts w:ascii="Arial" w:hAnsi="Arial" w:eastAsia="PMingLiU"/>
                <w:b/>
                <w:sz w:val="18"/>
                <w:lang w:val="en-US"/>
              </w:rPr>
              <w:t>SCS kHz</w:t>
            </w:r>
          </w:p>
        </w:tc>
        <w:tc>
          <w:tcPr>
            <w:tcW w:w="784"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5</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c>
          <w:tcPr>
            <w:tcW w:w="783"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10</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c>
          <w:tcPr>
            <w:tcW w:w="784"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15</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c>
          <w:tcPr>
            <w:tcW w:w="861"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20</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164" w:type="dxa"/>
            <w:vMerge w:val="restart"/>
            <w:shd w:val="clear" w:color="auto" w:fill="auto"/>
            <w:vAlign w:val="center"/>
          </w:tcPr>
          <w:p>
            <w:pPr>
              <w:keepNext/>
              <w:keepLines/>
              <w:spacing w:after="0"/>
              <w:jc w:val="center"/>
              <w:rPr>
                <w:rFonts w:ascii="Arial" w:hAnsi="Arial" w:eastAsia="PMingLiU"/>
                <w:sz w:val="18"/>
                <w:lang w:val="en-US"/>
              </w:rPr>
            </w:pPr>
            <w:r>
              <w:rPr>
                <w:rFonts w:ascii="Arial" w:hAnsi="Arial" w:eastAsia="PMingLiU"/>
                <w:sz w:val="18"/>
                <w:lang w:val="en-US"/>
              </w:rPr>
              <w:t>n1</w:t>
            </w:r>
          </w:p>
        </w:tc>
        <w:tc>
          <w:tcPr>
            <w:tcW w:w="665" w:type="dxa"/>
          </w:tcPr>
          <w:p>
            <w:pPr>
              <w:keepNext/>
              <w:keepLines/>
              <w:spacing w:after="0"/>
              <w:jc w:val="center"/>
              <w:rPr>
                <w:rFonts w:ascii="Arial" w:hAnsi="Arial" w:eastAsia="PMingLiU"/>
                <w:sz w:val="18"/>
                <w:lang w:val="en-US"/>
              </w:rPr>
            </w:pPr>
            <w:r>
              <w:rPr>
                <w:rFonts w:ascii="Arial" w:hAnsi="Arial" w:eastAsia="PMingLiU"/>
                <w:sz w:val="18"/>
                <w:lang w:val="en-US"/>
              </w:rPr>
              <w:t>15</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-100.0</w:t>
            </w:r>
          </w:p>
        </w:tc>
        <w:tc>
          <w:tcPr>
            <w:tcW w:w="783"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-96.8</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-95.0</w:t>
            </w:r>
          </w:p>
        </w:tc>
        <w:tc>
          <w:tcPr>
            <w:tcW w:w="861"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164" w:type="dxa"/>
            <w:vMerge w:val="continue"/>
            <w:shd w:val="clear" w:color="auto" w:fill="auto"/>
            <w:vAlign w:val="center"/>
          </w:tcPr>
          <w:p>
            <w:pPr>
              <w:keepNext/>
              <w:keepLines/>
              <w:spacing w:after="0"/>
              <w:jc w:val="center"/>
              <w:rPr>
                <w:rFonts w:ascii="Arial" w:hAnsi="Arial" w:eastAsia="PMingLiU"/>
                <w:sz w:val="18"/>
                <w:lang w:val="en-US"/>
              </w:rPr>
            </w:pPr>
          </w:p>
        </w:tc>
        <w:tc>
          <w:tcPr>
            <w:tcW w:w="665" w:type="dxa"/>
          </w:tcPr>
          <w:p>
            <w:pPr>
              <w:keepNext/>
              <w:keepLines/>
              <w:spacing w:after="0"/>
              <w:jc w:val="center"/>
              <w:rPr>
                <w:rFonts w:ascii="Arial" w:hAnsi="Arial" w:eastAsia="PMingLiU"/>
                <w:sz w:val="18"/>
                <w:lang w:val="en-US"/>
              </w:rPr>
            </w:pPr>
            <w:r>
              <w:rPr>
                <w:rFonts w:ascii="Arial" w:hAnsi="Arial" w:eastAsia="PMingLiU"/>
                <w:sz w:val="18"/>
                <w:lang w:val="en-US"/>
              </w:rPr>
              <w:t>30</w:t>
            </w:r>
          </w:p>
        </w:tc>
        <w:tc>
          <w:tcPr>
            <w:tcW w:w="784" w:type="dxa"/>
            <w:shd w:val="clear" w:color="auto" w:fill="auto"/>
          </w:tcPr>
          <w:p>
            <w:pPr>
              <w:keepNext/>
              <w:keepLines/>
              <w:spacing w:after="0"/>
              <w:jc w:val="center"/>
              <w:rPr>
                <w:rFonts w:ascii="Arial" w:hAnsi="Arial" w:eastAsia="PMingLiU"/>
                <w:sz w:val="18"/>
                <w:lang w:val="en-US"/>
              </w:rPr>
            </w:pPr>
          </w:p>
        </w:tc>
        <w:tc>
          <w:tcPr>
            <w:tcW w:w="783"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-97.1</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-95.1</w:t>
            </w:r>
          </w:p>
        </w:tc>
        <w:tc>
          <w:tcPr>
            <w:tcW w:w="861"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164" w:type="dxa"/>
            <w:vMerge w:val="continue"/>
            <w:shd w:val="clear" w:color="auto" w:fill="auto"/>
            <w:vAlign w:val="center"/>
          </w:tcPr>
          <w:p>
            <w:pPr>
              <w:keepNext/>
              <w:keepLines/>
              <w:spacing w:after="0"/>
              <w:jc w:val="center"/>
              <w:rPr>
                <w:rFonts w:ascii="Arial" w:hAnsi="Arial" w:eastAsia="PMingLiU"/>
                <w:sz w:val="18"/>
                <w:lang w:val="en-US"/>
              </w:rPr>
            </w:pPr>
          </w:p>
        </w:tc>
        <w:tc>
          <w:tcPr>
            <w:tcW w:w="665" w:type="dxa"/>
          </w:tcPr>
          <w:p>
            <w:pPr>
              <w:keepNext/>
              <w:keepLines/>
              <w:spacing w:after="0"/>
              <w:jc w:val="center"/>
              <w:rPr>
                <w:rFonts w:ascii="Arial" w:hAnsi="Arial" w:eastAsia="PMingLiU"/>
                <w:sz w:val="18"/>
                <w:lang w:val="en-US"/>
              </w:rPr>
            </w:pPr>
            <w:r>
              <w:rPr>
                <w:rFonts w:ascii="Arial" w:hAnsi="Arial" w:eastAsia="PMingLiU"/>
                <w:sz w:val="18"/>
                <w:lang w:val="en-US"/>
              </w:rPr>
              <w:t>60</w:t>
            </w:r>
          </w:p>
        </w:tc>
        <w:tc>
          <w:tcPr>
            <w:tcW w:w="784" w:type="dxa"/>
            <w:shd w:val="clear" w:color="auto" w:fill="auto"/>
          </w:tcPr>
          <w:p>
            <w:pPr>
              <w:keepNext/>
              <w:keepLines/>
              <w:spacing w:after="0"/>
              <w:jc w:val="center"/>
              <w:rPr>
                <w:rFonts w:ascii="Arial" w:hAnsi="Arial" w:eastAsia="PMingLiU"/>
                <w:sz w:val="18"/>
                <w:lang w:val="en-US"/>
              </w:rPr>
            </w:pPr>
          </w:p>
        </w:tc>
        <w:tc>
          <w:tcPr>
            <w:tcW w:w="783"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-97.5</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-95.4</w:t>
            </w:r>
          </w:p>
        </w:tc>
        <w:tc>
          <w:tcPr>
            <w:tcW w:w="861"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-94.2</w:t>
            </w:r>
          </w:p>
        </w:tc>
      </w:tr>
    </w:tbl>
    <w:p>
      <w:pPr>
        <w:spacing w:after="160" w:line="259" w:lineRule="auto"/>
        <w:rPr>
          <w:rFonts w:ascii="Calibri" w:hAnsi="Calibri"/>
          <w:sz w:val="22"/>
          <w:szCs w:val="22"/>
          <w:lang w:val="en-US" w:eastAsia="zh-CN"/>
        </w:rPr>
      </w:pPr>
    </w:p>
    <w:p>
      <w:pPr>
        <w:keepNext/>
        <w:keepLines/>
        <w:spacing w:before="60"/>
        <w:jc w:val="center"/>
        <w:rPr>
          <w:rFonts w:ascii="Arial" w:hAnsi="Arial"/>
          <w:b/>
        </w:rPr>
      </w:pPr>
      <w:r>
        <w:rPr>
          <w:rFonts w:ascii="Arial" w:hAnsi="Arial"/>
          <w:b/>
        </w:rPr>
        <w:t>Table 7.1.3.2.2-2: Two antenna port reference sensitivity QPSK REFSENS for TDD bands</w:t>
      </w:r>
    </w:p>
    <w:tbl>
      <w:tblPr>
        <w:tblStyle w:val="137"/>
        <w:tblW w:w="86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587"/>
        <w:gridCol w:w="3870"/>
        <w:gridCol w:w="2275"/>
        <w:gridCol w:w="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48" w:type="dxa"/>
            <w:gridSpan w:val="5"/>
            <w:vAlign w:val="center"/>
          </w:tcPr>
          <w:p>
            <w:pPr>
              <w:spacing w:after="0" w:line="259" w:lineRule="auto"/>
              <w:jc w:val="center"/>
              <w:rPr>
                <w:rFonts w:ascii="Arial" w:hAnsi="Arial" w:cs="Arial"/>
                <w:b/>
                <w:bCs/>
                <w:sz w:val="18"/>
                <w:szCs w:val="18"/>
                <w:lang w:val="en-US" w:eastAsia="zh-TW"/>
              </w:rPr>
            </w:pPr>
            <w:bookmarkStart w:id="68" w:name="_Hlk78840377"/>
            <w:r>
              <w:rPr>
                <w:rFonts w:ascii="Arial" w:hAnsi="Arial" w:cs="Arial"/>
                <w:b/>
                <w:bCs/>
                <w:sz w:val="18"/>
                <w:szCs w:val="18"/>
                <w:lang w:val="en-US" w:eastAsia="zh-TW"/>
              </w:rPr>
              <w:t>Operating band / SCS / Channel bandwidth / REFSENS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Operating band</w:t>
            </w: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SCS</w:t>
            </w:r>
          </w:p>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kHz</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Channel bandwidth (MHz)</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REFSENS (dBm)</w:t>
            </w:r>
          </w:p>
        </w:tc>
        <w:tc>
          <w:tcPr>
            <w:tcW w:w="849" w:type="dxa"/>
            <w:vAlign w:val="center"/>
          </w:tcPr>
          <w:p>
            <w:pPr>
              <w:spacing w:after="0" w:line="259" w:lineRule="auto"/>
              <w:jc w:val="center"/>
              <w:rPr>
                <w:rFonts w:ascii="Arial" w:hAnsi="Arial" w:cs="Arial"/>
                <w:b/>
                <w:bCs/>
                <w:sz w:val="18"/>
                <w:szCs w:val="18"/>
                <w:lang w:val="en-US" w:eastAsia="zh-TW"/>
              </w:rPr>
            </w:pPr>
            <w:r>
              <w:rPr>
                <w:rFonts w:ascii="Arial" w:hAnsi="Arial" w:cs="Arial"/>
                <w:b/>
                <w:sz w:val="18"/>
                <w:szCs w:val="22"/>
                <w:lang w:val="en-US" w:eastAsia="zh-CN"/>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restart"/>
            <w:vAlign w:val="center"/>
          </w:tcPr>
          <w:p>
            <w:pPr>
              <w:keepNext/>
              <w:spacing w:after="0"/>
              <w:jc w:val="center"/>
              <w:rPr>
                <w:rFonts w:ascii="Arial" w:hAnsi="Arial" w:eastAsia="PMingLiU" w:cs="Arial"/>
                <w:b/>
                <w:bCs/>
                <w:sz w:val="18"/>
                <w:szCs w:val="18"/>
                <w:lang w:eastAsia="zh-CN"/>
              </w:rPr>
            </w:pPr>
            <w:r>
              <w:rPr>
                <w:rFonts w:ascii="Arial" w:hAnsi="Arial"/>
                <w:sz w:val="18"/>
                <w:lang w:eastAsia="zh-TW"/>
              </w:rPr>
              <w:t>n39</w:t>
            </w: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15</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5, 10, 15, 20, 25, 30, 40</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-100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/25)</w:t>
            </w:r>
          </w:p>
        </w:tc>
        <w:tc>
          <w:tcPr>
            <w:tcW w:w="849" w:type="dxa"/>
            <w:vMerge w:val="restart"/>
            <w:vAlign w:val="center"/>
          </w:tcPr>
          <w:p>
            <w:pPr>
              <w:spacing w:after="0" w:line="259" w:lineRule="auto"/>
              <w:jc w:val="center"/>
              <w:rPr>
                <w:rFonts w:ascii="Arial" w:hAnsi="Arial" w:cs="Arial"/>
                <w:b/>
                <w:sz w:val="18"/>
                <w:szCs w:val="22"/>
                <w:lang w:val="en-US" w:eastAsia="zh-CN"/>
              </w:rPr>
            </w:pPr>
            <w:r>
              <w:rPr>
                <w:rFonts w:ascii="Arial" w:hAnsi="Arial" w:cs="Arial"/>
                <w:sz w:val="18"/>
                <w:szCs w:val="18"/>
                <w:lang w:val="en-US" w:eastAsia="zh-TW"/>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b/>
                <w:bCs/>
                <w:sz w:val="18"/>
                <w:szCs w:val="18"/>
                <w:lang w:val="en-US" w:eastAsia="zh-TW"/>
              </w:rPr>
            </w:pP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30</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continue"/>
            <w:vAlign w:val="center"/>
          </w:tcPr>
          <w:p>
            <w:pPr>
              <w:spacing w:after="0" w:line="259" w:lineRule="auto"/>
              <w:jc w:val="center"/>
              <w:rPr>
                <w:rFonts w:ascii="Arial" w:hAnsi="Arial" w:cs="Arial"/>
                <w:b/>
                <w:sz w:val="18"/>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b/>
                <w:bCs/>
                <w:sz w:val="18"/>
                <w:szCs w:val="18"/>
                <w:lang w:val="en-US" w:eastAsia="zh-TW"/>
              </w:rPr>
            </w:pP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60</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continue"/>
            <w:vAlign w:val="center"/>
          </w:tcPr>
          <w:p>
            <w:pPr>
              <w:spacing w:after="0" w:line="259" w:lineRule="auto"/>
              <w:jc w:val="center"/>
              <w:rPr>
                <w:rFonts w:ascii="Arial" w:hAnsi="Arial" w:cs="Arial"/>
                <w:b/>
                <w:sz w:val="18"/>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restart"/>
            <w:vAlign w:val="center"/>
          </w:tcPr>
          <w:p>
            <w:pPr>
              <w:keepNext/>
              <w:spacing w:after="0"/>
              <w:jc w:val="center"/>
              <w:rPr>
                <w:rFonts w:ascii="Arial" w:hAnsi="Arial"/>
                <w:sz w:val="18"/>
                <w:lang w:eastAsia="zh-TW"/>
              </w:rPr>
            </w:pPr>
            <w:r>
              <w:rPr>
                <w:rFonts w:ascii="Arial" w:hAnsi="Arial"/>
                <w:sz w:val="18"/>
                <w:lang w:eastAsia="zh-TW"/>
              </w:rPr>
              <w:t>n78</w:t>
            </w:r>
          </w:p>
        </w:tc>
        <w:tc>
          <w:tcPr>
            <w:tcW w:w="587"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continue"/>
            <w:vAlign w:val="center"/>
          </w:tcPr>
          <w:p>
            <w:pPr>
              <w:spacing w:after="0" w:line="259" w:lineRule="auto"/>
              <w:jc w:val="center"/>
              <w:rPr>
                <w:rFonts w:ascii="Arial" w:hAnsi="Arial" w:cs="Arial"/>
                <w:sz w:val="18"/>
                <w:szCs w:val="18"/>
                <w:lang w:val="en-US"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continue"/>
            <w:vAlign w:val="center"/>
          </w:tcPr>
          <w:p>
            <w:pPr>
              <w:spacing w:after="0" w:line="259" w:lineRule="auto"/>
              <w:jc w:val="center"/>
              <w:rPr>
                <w:rFonts w:ascii="Arial" w:hAnsi="Arial" w:cs="Arial"/>
                <w:sz w:val="18"/>
                <w:szCs w:val="18"/>
                <w:lang w:val="en-US"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restart"/>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n79</w:t>
            </w:r>
          </w:p>
        </w:tc>
        <w:tc>
          <w:tcPr>
            <w:tcW w:w="587"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continue"/>
            <w:vAlign w:val="center"/>
          </w:tcPr>
          <w:p>
            <w:pPr>
              <w:spacing w:after="0" w:line="259" w:lineRule="auto"/>
              <w:jc w:val="center"/>
              <w:rPr>
                <w:rFonts w:ascii="Arial" w:hAnsi="Arial" w:cs="Arial"/>
                <w:sz w:val="18"/>
                <w:szCs w:val="18"/>
                <w:lang w:val="en-US"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continue"/>
            <w:vAlign w:val="center"/>
          </w:tcPr>
          <w:p>
            <w:pPr>
              <w:spacing w:after="0" w:line="259" w:lineRule="auto"/>
              <w:jc w:val="center"/>
              <w:rPr>
                <w:rFonts w:ascii="Arial" w:hAnsi="Arial" w:cs="Arial"/>
                <w:sz w:val="18"/>
                <w:szCs w:val="18"/>
                <w:lang w:val="en-US" w:eastAsia="zh-TW"/>
              </w:rPr>
            </w:pPr>
          </w:p>
        </w:tc>
      </w:tr>
      <w:bookmarkEnd w:id="68"/>
    </w:tbl>
    <w:p>
      <w:pPr>
        <w:spacing w:after="160" w:line="259" w:lineRule="auto"/>
        <w:rPr>
          <w:rFonts w:ascii="Calibri" w:hAnsi="Calibri"/>
          <w:sz w:val="22"/>
          <w:szCs w:val="22"/>
          <w:lang w:val="en-US" w:eastAsia="zh-CN"/>
        </w:rPr>
      </w:pPr>
    </w:p>
    <w:p>
      <w:pPr>
        <w:spacing w:after="160" w:line="259" w:lineRule="auto"/>
        <w:jc w:val="both"/>
        <w:rPr>
          <w:sz w:val="22"/>
          <w:szCs w:val="22"/>
          <w:lang w:val="en-US" w:eastAsia="zh-CN"/>
        </w:rPr>
      </w:pPr>
      <w:r>
        <w:rPr>
          <w:sz w:val="22"/>
          <w:szCs w:val="22"/>
          <w:lang w:val="en-US" w:eastAsia="zh-CN"/>
        </w:rPr>
        <w:t>For UE(s) equipped with 4 Rx antenna ports, reference sensitivity for 2Rx antenna ports in Table 7.3.2-1a and in Table 7.3.2-1b shall be modified by the amount given in ΔRIB,4R in Table 7.3.2-2 for the applicable operating bands.</w:t>
      </w:r>
    </w:p>
    <w:p>
      <w:pPr>
        <w:keepNext/>
        <w:keepLines/>
        <w:spacing w:before="60"/>
        <w:jc w:val="center"/>
        <w:rPr>
          <w:rFonts w:ascii="Arial" w:hAnsi="Arial"/>
          <w:b/>
          <w:bCs/>
          <w:vertAlign w:val="subscript"/>
        </w:rPr>
      </w:pPr>
      <w:r>
        <w:rPr>
          <w:rFonts w:ascii="Arial" w:hAnsi="Arial"/>
          <w:b/>
        </w:rPr>
        <w:t>Table 7.3.2-2: Four antenna port reference sensitivity allowance ΔR</w:t>
      </w:r>
      <w:r>
        <w:rPr>
          <w:rFonts w:ascii="Arial" w:hAnsi="Arial"/>
          <w:b/>
          <w:bCs/>
          <w:vertAlign w:val="subscript"/>
        </w:rPr>
        <w:t>IB,4R</w:t>
      </w:r>
    </w:p>
    <w:tbl>
      <w:tblPr>
        <w:tblStyle w:val="49"/>
        <w:tblW w:w="5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9"/>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9" w:type="dxa"/>
          </w:tcPr>
          <w:p>
            <w:pPr>
              <w:keepNext/>
              <w:keepLines/>
              <w:spacing w:after="0"/>
              <w:jc w:val="center"/>
              <w:rPr>
                <w:rFonts w:ascii="Arial" w:hAnsi="Arial"/>
                <w:b/>
                <w:sz w:val="18"/>
              </w:rPr>
            </w:pPr>
            <w:r>
              <w:rPr>
                <w:rFonts w:ascii="Arial" w:hAnsi="Arial"/>
                <w:b/>
                <w:sz w:val="18"/>
              </w:rPr>
              <w:t>Operating band</w:t>
            </w:r>
          </w:p>
        </w:tc>
        <w:tc>
          <w:tcPr>
            <w:tcW w:w="2970" w:type="dxa"/>
          </w:tcPr>
          <w:p>
            <w:pPr>
              <w:keepNext/>
              <w:keepLines/>
              <w:spacing w:after="0"/>
              <w:jc w:val="center"/>
              <w:rPr>
                <w:rFonts w:ascii="Arial" w:hAnsi="Arial"/>
                <w:b/>
                <w:sz w:val="18"/>
              </w:rPr>
            </w:pPr>
            <w:r>
              <w:rPr>
                <w:rFonts w:ascii="Arial" w:hAnsi="Arial"/>
                <w:b/>
                <w:sz w:val="18"/>
              </w:rPr>
              <w:t>ΔR</w:t>
            </w:r>
            <w:r>
              <w:rPr>
                <w:rFonts w:ascii="Arial" w:hAnsi="Arial"/>
                <w:b/>
                <w:sz w:val="18"/>
                <w:vertAlign w:val="subscript"/>
              </w:rPr>
              <w:t xml:space="preserve">IB,4R </w:t>
            </w:r>
            <w:r>
              <w:rPr>
                <w:rFonts w:ascii="Arial" w:hAnsi="Arial"/>
                <w:b/>
                <w:sz w:val="18"/>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9" w:type="dxa"/>
            <w:vAlign w:val="center"/>
          </w:tcPr>
          <w:p>
            <w:pPr>
              <w:keepNext/>
              <w:keepLines/>
              <w:spacing w:after="0"/>
              <w:jc w:val="center"/>
              <w:rPr>
                <w:rFonts w:ascii="Arial" w:hAnsi="Arial"/>
                <w:sz w:val="18"/>
              </w:rPr>
            </w:pPr>
            <w:r>
              <w:rPr>
                <w:rFonts w:ascii="Arial" w:hAnsi="Arial"/>
                <w:sz w:val="18"/>
              </w:rPr>
              <w:t xml:space="preserve">n1, </w:t>
            </w:r>
            <w:r>
              <w:rPr>
                <w:rFonts w:ascii="Arial" w:hAnsi="Arial" w:eastAsia="Calibri"/>
                <w:sz w:val="18"/>
              </w:rPr>
              <w:t>n39</w:t>
            </w:r>
          </w:p>
        </w:tc>
        <w:tc>
          <w:tcPr>
            <w:tcW w:w="2970" w:type="dxa"/>
            <w:vAlign w:val="center"/>
          </w:tcPr>
          <w:p>
            <w:pPr>
              <w:keepNext/>
              <w:keepLines/>
              <w:spacing w:after="0"/>
              <w:jc w:val="center"/>
              <w:rPr>
                <w:rFonts w:ascii="Arial" w:hAnsi="Arial"/>
                <w:sz w:val="18"/>
              </w:rPr>
            </w:pPr>
            <w:r>
              <w:rPr>
                <w:rFonts w:ascii="Arial" w:hAnsi="Arial"/>
                <w:sz w:val="18"/>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9" w:type="dxa"/>
            <w:vAlign w:val="center"/>
          </w:tcPr>
          <w:p>
            <w:pPr>
              <w:keepNext/>
              <w:keepLines/>
              <w:spacing w:after="0"/>
              <w:jc w:val="center"/>
              <w:rPr>
                <w:rFonts w:ascii="Arial" w:hAnsi="Arial" w:eastAsia="Calibri"/>
                <w:sz w:val="18"/>
              </w:rPr>
            </w:pPr>
            <w:r>
              <w:rPr>
                <w:rFonts w:ascii="Arial" w:hAnsi="Arial" w:eastAsia="Calibri"/>
                <w:sz w:val="18"/>
              </w:rPr>
              <w:t>n78, n79</w:t>
            </w:r>
          </w:p>
        </w:tc>
        <w:tc>
          <w:tcPr>
            <w:tcW w:w="2970" w:type="dxa"/>
            <w:vAlign w:val="center"/>
          </w:tcPr>
          <w:p>
            <w:pPr>
              <w:keepNext/>
              <w:keepLines/>
              <w:spacing w:after="0"/>
              <w:jc w:val="center"/>
              <w:rPr>
                <w:rFonts w:ascii="Arial" w:hAnsi="Arial"/>
                <w:sz w:val="18"/>
              </w:rPr>
            </w:pPr>
            <w:r>
              <w:rPr>
                <w:rFonts w:ascii="Arial" w:hAnsi="Arial"/>
                <w:sz w:val="18"/>
              </w:rPr>
              <w:t>-2.2</w:t>
            </w:r>
          </w:p>
        </w:tc>
      </w:tr>
    </w:tbl>
    <w:p>
      <w:pPr>
        <w:spacing w:after="160" w:line="259" w:lineRule="auto"/>
        <w:rPr>
          <w:rFonts w:ascii="Calibri" w:hAnsi="Calibri"/>
          <w:sz w:val="22"/>
          <w:szCs w:val="22"/>
          <w:lang w:val="en-US" w:eastAsia="zh-CN"/>
        </w:rPr>
      </w:pPr>
    </w:p>
    <w:p>
      <w:pPr>
        <w:keepNext/>
        <w:keepLines/>
        <w:spacing w:before="60"/>
        <w:jc w:val="center"/>
        <w:rPr>
          <w:rFonts w:ascii="Arial" w:hAnsi="Arial"/>
          <w:b/>
        </w:rPr>
      </w:pPr>
      <w:r>
        <w:rPr>
          <w:rFonts w:ascii="Arial" w:hAnsi="Arial"/>
          <w:b/>
        </w:rPr>
        <w:t>Table 7.1.3.2.2-3: Uplink configuration for reference sensitivity</w:t>
      </w:r>
    </w:p>
    <w:tbl>
      <w:tblPr>
        <w:tblStyle w:val="49"/>
        <w:tblW w:w="561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4"/>
        <w:gridCol w:w="619"/>
        <w:gridCol w:w="469"/>
        <w:gridCol w:w="509"/>
        <w:gridCol w:w="509"/>
        <w:gridCol w:w="615"/>
        <w:gridCol w:w="615"/>
        <w:gridCol w:w="615"/>
        <w:gridCol w:w="489"/>
        <w:gridCol w:w="615"/>
        <w:gridCol w:w="615"/>
        <w:gridCol w:w="615"/>
        <w:gridCol w:w="544"/>
        <w:gridCol w:w="544"/>
        <w:gridCol w:w="544"/>
        <w:gridCol w:w="544"/>
        <w:gridCol w:w="545"/>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blHeader/>
          <w:jc w:val="center"/>
        </w:trPr>
        <w:tc>
          <w:tcPr>
            <w:tcW w:w="5000" w:type="pct"/>
            <w:gridSpan w:val="18"/>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Operating band / SCS (kHz) / Channel bandwidth (MHz) /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blHeader/>
          <w:jc w:val="center"/>
        </w:trPr>
        <w:tc>
          <w:tcPr>
            <w:tcW w:w="508" w:type="pct"/>
            <w:tcBorders>
              <w:bottom w:val="single" w:color="auto" w:sz="4" w:space="0"/>
            </w:tcBorders>
            <w:shd w:val="clear" w:color="auto" w:fill="auto"/>
          </w:tcPr>
          <w:p>
            <w:pPr>
              <w:keepNext/>
              <w:keepLines/>
              <w:spacing w:after="0"/>
              <w:jc w:val="center"/>
              <w:rPr>
                <w:rFonts w:ascii="Arial" w:hAnsi="Arial"/>
                <w:b/>
                <w:sz w:val="18"/>
              </w:rPr>
            </w:pPr>
            <w:r>
              <w:rPr>
                <w:rFonts w:ascii="Arial" w:hAnsi="Arial"/>
                <w:b/>
                <w:sz w:val="18"/>
              </w:rPr>
              <w:t>Operating Band</w:t>
            </w:r>
          </w:p>
        </w:tc>
        <w:tc>
          <w:tcPr>
            <w:tcW w:w="280" w:type="pct"/>
            <w:vAlign w:val="center"/>
          </w:tcPr>
          <w:p>
            <w:pPr>
              <w:keepNext/>
              <w:keepLines/>
              <w:spacing w:after="0"/>
              <w:jc w:val="center"/>
              <w:rPr>
                <w:rFonts w:ascii="Arial" w:hAnsi="Arial"/>
                <w:b/>
                <w:sz w:val="18"/>
              </w:rPr>
            </w:pPr>
            <w:r>
              <w:rPr>
                <w:rFonts w:ascii="Arial" w:hAnsi="Arial"/>
                <w:b/>
                <w:sz w:val="18"/>
              </w:rPr>
              <w:t>SCS</w:t>
            </w:r>
          </w:p>
        </w:tc>
        <w:tc>
          <w:tcPr>
            <w:tcW w:w="212" w:type="pct"/>
            <w:shd w:val="clear" w:color="auto" w:fill="auto"/>
            <w:vAlign w:val="center"/>
          </w:tcPr>
          <w:p>
            <w:pPr>
              <w:keepNext/>
              <w:keepLines/>
              <w:spacing w:after="0"/>
              <w:jc w:val="center"/>
              <w:rPr>
                <w:rFonts w:ascii="Arial" w:hAnsi="Arial"/>
                <w:b/>
                <w:sz w:val="18"/>
              </w:rPr>
            </w:pPr>
            <w:r>
              <w:rPr>
                <w:rFonts w:ascii="Arial" w:hAnsi="Arial"/>
                <w:b/>
                <w:sz w:val="18"/>
              </w:rPr>
              <w:t>5</w:t>
            </w:r>
          </w:p>
        </w:tc>
        <w:tc>
          <w:tcPr>
            <w:tcW w:w="230" w:type="pct"/>
            <w:shd w:val="clear" w:color="auto" w:fill="auto"/>
            <w:vAlign w:val="center"/>
          </w:tcPr>
          <w:p>
            <w:pPr>
              <w:keepNext/>
              <w:keepLines/>
              <w:spacing w:after="0"/>
              <w:jc w:val="center"/>
              <w:rPr>
                <w:rFonts w:ascii="Arial" w:hAnsi="Arial"/>
                <w:b/>
                <w:sz w:val="18"/>
              </w:rPr>
            </w:pPr>
            <w:r>
              <w:rPr>
                <w:rFonts w:ascii="Arial" w:hAnsi="Arial"/>
                <w:b/>
                <w:sz w:val="18"/>
              </w:rPr>
              <w:t>10</w:t>
            </w:r>
          </w:p>
        </w:tc>
        <w:tc>
          <w:tcPr>
            <w:tcW w:w="230" w:type="pct"/>
            <w:shd w:val="clear" w:color="auto" w:fill="auto"/>
            <w:vAlign w:val="center"/>
          </w:tcPr>
          <w:p>
            <w:pPr>
              <w:keepNext/>
              <w:keepLines/>
              <w:spacing w:after="0"/>
              <w:jc w:val="center"/>
              <w:rPr>
                <w:rFonts w:ascii="Arial" w:hAnsi="Arial"/>
                <w:b/>
                <w:sz w:val="18"/>
              </w:rPr>
            </w:pPr>
            <w:r>
              <w:rPr>
                <w:rFonts w:ascii="Arial" w:hAnsi="Arial"/>
                <w:b/>
                <w:sz w:val="18"/>
              </w:rPr>
              <w:t>15</w:t>
            </w:r>
          </w:p>
        </w:tc>
        <w:tc>
          <w:tcPr>
            <w:tcW w:w="278" w:type="pct"/>
            <w:shd w:val="clear" w:color="auto" w:fill="auto"/>
            <w:vAlign w:val="center"/>
          </w:tcPr>
          <w:p>
            <w:pPr>
              <w:keepNext/>
              <w:keepLines/>
              <w:spacing w:after="0"/>
              <w:jc w:val="center"/>
              <w:rPr>
                <w:rFonts w:ascii="Arial" w:hAnsi="Arial"/>
                <w:b/>
                <w:sz w:val="18"/>
              </w:rPr>
            </w:pPr>
            <w:r>
              <w:rPr>
                <w:rFonts w:ascii="Arial" w:hAnsi="Arial"/>
                <w:b/>
                <w:sz w:val="18"/>
              </w:rPr>
              <w:t>20</w:t>
            </w:r>
          </w:p>
        </w:tc>
        <w:tc>
          <w:tcPr>
            <w:tcW w:w="278" w:type="pct"/>
            <w:shd w:val="clear" w:color="auto" w:fill="auto"/>
            <w:vAlign w:val="center"/>
          </w:tcPr>
          <w:p>
            <w:pPr>
              <w:keepNext/>
              <w:keepLines/>
              <w:spacing w:after="0"/>
              <w:jc w:val="center"/>
              <w:rPr>
                <w:rFonts w:ascii="Arial" w:hAnsi="Arial"/>
                <w:b/>
                <w:sz w:val="18"/>
              </w:rPr>
            </w:pPr>
            <w:r>
              <w:rPr>
                <w:rFonts w:ascii="Arial" w:hAnsi="Arial"/>
                <w:b/>
                <w:sz w:val="18"/>
              </w:rPr>
              <w:t>25</w:t>
            </w:r>
          </w:p>
        </w:tc>
        <w:tc>
          <w:tcPr>
            <w:tcW w:w="278" w:type="pct"/>
            <w:vAlign w:val="center"/>
          </w:tcPr>
          <w:p>
            <w:pPr>
              <w:keepNext/>
              <w:keepLines/>
              <w:spacing w:after="0"/>
              <w:jc w:val="center"/>
              <w:rPr>
                <w:rFonts w:ascii="Arial" w:hAnsi="Arial"/>
                <w:b/>
                <w:sz w:val="18"/>
              </w:rPr>
            </w:pPr>
            <w:r>
              <w:rPr>
                <w:rFonts w:ascii="Arial" w:hAnsi="Arial"/>
                <w:b/>
                <w:sz w:val="18"/>
              </w:rPr>
              <w:t>30</w:t>
            </w:r>
          </w:p>
        </w:tc>
        <w:tc>
          <w:tcPr>
            <w:tcW w:w="221" w:type="pct"/>
            <w:vAlign w:val="center"/>
          </w:tcPr>
          <w:p>
            <w:pPr>
              <w:keepNext/>
              <w:keepLines/>
              <w:spacing w:after="0"/>
              <w:jc w:val="center"/>
              <w:rPr>
                <w:rFonts w:ascii="Arial" w:hAnsi="Arial"/>
                <w:b/>
                <w:sz w:val="18"/>
              </w:rPr>
            </w:pPr>
            <w:r>
              <w:rPr>
                <w:rFonts w:ascii="Arial" w:hAnsi="Arial"/>
                <w:b/>
                <w:sz w:val="18"/>
              </w:rPr>
              <w:t>35</w:t>
            </w:r>
          </w:p>
        </w:tc>
        <w:tc>
          <w:tcPr>
            <w:tcW w:w="278" w:type="pct"/>
            <w:shd w:val="clear" w:color="auto" w:fill="auto"/>
            <w:vAlign w:val="center"/>
          </w:tcPr>
          <w:p>
            <w:pPr>
              <w:keepNext/>
              <w:keepLines/>
              <w:spacing w:after="0"/>
              <w:jc w:val="center"/>
              <w:rPr>
                <w:rFonts w:ascii="Arial" w:hAnsi="Arial"/>
                <w:b/>
                <w:sz w:val="18"/>
              </w:rPr>
            </w:pPr>
            <w:r>
              <w:rPr>
                <w:rFonts w:ascii="Arial" w:hAnsi="Arial"/>
                <w:b/>
                <w:sz w:val="18"/>
              </w:rPr>
              <w:t>40</w:t>
            </w:r>
          </w:p>
        </w:tc>
        <w:tc>
          <w:tcPr>
            <w:tcW w:w="278" w:type="pct"/>
            <w:vAlign w:val="center"/>
          </w:tcPr>
          <w:p>
            <w:pPr>
              <w:keepNext/>
              <w:keepLines/>
              <w:spacing w:after="0"/>
              <w:jc w:val="center"/>
              <w:rPr>
                <w:rFonts w:ascii="Arial" w:hAnsi="Arial"/>
                <w:b/>
                <w:sz w:val="18"/>
              </w:rPr>
            </w:pPr>
            <w:r>
              <w:rPr>
                <w:rFonts w:ascii="Arial" w:hAnsi="Arial"/>
                <w:b/>
                <w:sz w:val="18"/>
              </w:rPr>
              <w:t>45</w:t>
            </w:r>
          </w:p>
        </w:tc>
        <w:tc>
          <w:tcPr>
            <w:tcW w:w="278" w:type="pct"/>
            <w:vAlign w:val="center"/>
          </w:tcPr>
          <w:p>
            <w:pPr>
              <w:keepNext/>
              <w:keepLines/>
              <w:spacing w:after="0"/>
              <w:jc w:val="center"/>
              <w:rPr>
                <w:rFonts w:ascii="Arial" w:hAnsi="Arial"/>
                <w:b/>
                <w:sz w:val="18"/>
              </w:rPr>
            </w:pPr>
            <w:r>
              <w:rPr>
                <w:rFonts w:ascii="Arial" w:hAnsi="Arial"/>
                <w:b/>
                <w:sz w:val="18"/>
              </w:rPr>
              <w:t>50</w:t>
            </w:r>
          </w:p>
        </w:tc>
        <w:tc>
          <w:tcPr>
            <w:tcW w:w="246" w:type="pct"/>
            <w:vAlign w:val="center"/>
          </w:tcPr>
          <w:p>
            <w:pPr>
              <w:keepNext/>
              <w:keepLines/>
              <w:spacing w:after="0"/>
              <w:jc w:val="center"/>
              <w:rPr>
                <w:rFonts w:ascii="Arial" w:hAnsi="Arial"/>
                <w:b/>
                <w:sz w:val="18"/>
              </w:rPr>
            </w:pPr>
            <w:r>
              <w:rPr>
                <w:rFonts w:ascii="Arial" w:hAnsi="Arial"/>
                <w:b/>
                <w:sz w:val="18"/>
              </w:rPr>
              <w:t>60</w:t>
            </w:r>
          </w:p>
        </w:tc>
        <w:tc>
          <w:tcPr>
            <w:tcW w:w="246" w:type="pct"/>
            <w:vAlign w:val="center"/>
          </w:tcPr>
          <w:p>
            <w:pPr>
              <w:keepNext/>
              <w:keepLines/>
              <w:spacing w:after="0"/>
              <w:jc w:val="center"/>
              <w:rPr>
                <w:rFonts w:ascii="Arial" w:hAnsi="Arial"/>
                <w:b/>
                <w:sz w:val="18"/>
              </w:rPr>
            </w:pPr>
            <w:r>
              <w:rPr>
                <w:rFonts w:ascii="Arial" w:hAnsi="Arial"/>
                <w:b/>
                <w:sz w:val="18"/>
              </w:rPr>
              <w:t>70</w:t>
            </w:r>
          </w:p>
        </w:tc>
        <w:tc>
          <w:tcPr>
            <w:tcW w:w="246" w:type="pct"/>
            <w:vAlign w:val="center"/>
          </w:tcPr>
          <w:p>
            <w:pPr>
              <w:keepNext/>
              <w:keepLines/>
              <w:spacing w:after="0"/>
              <w:jc w:val="center"/>
              <w:rPr>
                <w:rFonts w:ascii="Arial" w:hAnsi="Arial"/>
                <w:b/>
                <w:sz w:val="18"/>
              </w:rPr>
            </w:pPr>
            <w:r>
              <w:rPr>
                <w:rFonts w:ascii="Arial" w:hAnsi="Arial"/>
                <w:b/>
                <w:sz w:val="18"/>
              </w:rPr>
              <w:t>80</w:t>
            </w:r>
          </w:p>
        </w:tc>
        <w:tc>
          <w:tcPr>
            <w:tcW w:w="246" w:type="pct"/>
            <w:vAlign w:val="center"/>
          </w:tcPr>
          <w:p>
            <w:pPr>
              <w:keepNext/>
              <w:keepLines/>
              <w:spacing w:after="0"/>
              <w:jc w:val="center"/>
              <w:rPr>
                <w:rFonts w:ascii="Arial" w:hAnsi="Arial"/>
                <w:b/>
                <w:sz w:val="18"/>
              </w:rPr>
            </w:pPr>
            <w:r>
              <w:rPr>
                <w:rFonts w:ascii="Arial" w:hAnsi="Arial"/>
                <w:b/>
                <w:sz w:val="18"/>
              </w:rPr>
              <w:t>90</w:t>
            </w:r>
          </w:p>
        </w:tc>
        <w:tc>
          <w:tcPr>
            <w:tcW w:w="246" w:type="pct"/>
            <w:vAlign w:val="center"/>
          </w:tcPr>
          <w:p>
            <w:pPr>
              <w:keepNext/>
              <w:keepLines/>
              <w:spacing w:after="0"/>
              <w:jc w:val="center"/>
              <w:rPr>
                <w:rFonts w:ascii="Arial" w:hAnsi="Arial"/>
                <w:b/>
                <w:sz w:val="18"/>
              </w:rPr>
            </w:pPr>
            <w:r>
              <w:rPr>
                <w:rFonts w:ascii="Arial" w:hAnsi="Arial"/>
                <w:b/>
                <w:sz w:val="18"/>
              </w:rPr>
              <w:t>100</w:t>
            </w:r>
          </w:p>
        </w:tc>
        <w:tc>
          <w:tcPr>
            <w:tcW w:w="417" w:type="pct"/>
            <w:tcBorders>
              <w:bottom w:val="single" w:color="auto" w:sz="4" w:space="0"/>
            </w:tcBorders>
            <w:shd w:val="clear" w:color="auto" w:fill="auto"/>
          </w:tcPr>
          <w:p>
            <w:pPr>
              <w:keepNext/>
              <w:keepLines/>
              <w:spacing w:after="0"/>
              <w:jc w:val="center"/>
              <w:rPr>
                <w:rFonts w:ascii="Arial" w:hAnsi="Arial"/>
                <w:b/>
                <w:sz w:val="18"/>
              </w:rPr>
            </w:pPr>
            <w:r>
              <w:rPr>
                <w:rFonts w:ascii="Arial" w:hAnsi="Arial"/>
                <w:b/>
                <w:sz w:val="18"/>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shd w:val="clear" w:color="auto" w:fill="auto"/>
          </w:tcPr>
          <w:p>
            <w:pPr>
              <w:keepNext/>
              <w:keepLines/>
              <w:spacing w:after="0"/>
              <w:jc w:val="center"/>
              <w:rPr>
                <w:rFonts w:ascii="Arial" w:hAnsi="Arial"/>
                <w:sz w:val="18"/>
              </w:rPr>
            </w:pPr>
            <w:r>
              <w:rPr>
                <w:rFonts w:hint="eastAsia" w:ascii="Arial" w:hAnsi="Arial"/>
                <w:sz w:val="18"/>
                <w:lang w:eastAsia="zh-CN"/>
              </w:rPr>
              <w:t>n1</w:t>
            </w:r>
          </w:p>
        </w:tc>
        <w:tc>
          <w:tcPr>
            <w:tcW w:w="280" w:type="pct"/>
          </w:tcPr>
          <w:p>
            <w:pPr>
              <w:keepNext/>
              <w:keepLines/>
              <w:spacing w:after="0"/>
              <w:jc w:val="center"/>
              <w:rPr>
                <w:rFonts w:ascii="Arial" w:hAnsi="Arial" w:cs="Arial"/>
                <w:sz w:val="18"/>
              </w:rPr>
            </w:pPr>
            <w:r>
              <w:rPr>
                <w:rFonts w:ascii="Arial" w:hAnsi="Arial" w:cs="Arial"/>
                <w:sz w:val="18"/>
              </w:rPr>
              <w:t>15</w:t>
            </w:r>
          </w:p>
        </w:tc>
        <w:tc>
          <w:tcPr>
            <w:tcW w:w="212" w:type="pct"/>
            <w:shd w:val="clear" w:color="auto" w:fill="auto"/>
          </w:tcPr>
          <w:p>
            <w:pPr>
              <w:keepNext/>
              <w:keepLines/>
              <w:spacing w:after="0"/>
              <w:jc w:val="center"/>
              <w:rPr>
                <w:rFonts w:ascii="Arial" w:hAnsi="Arial"/>
                <w:sz w:val="18"/>
              </w:rPr>
            </w:pPr>
            <w:r>
              <w:rPr>
                <w:rFonts w:ascii="Arial" w:hAnsi="Arial" w:cs="Arial"/>
                <w:sz w:val="18"/>
                <w:szCs w:val="18"/>
              </w:rPr>
              <w:t>25</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5</w:t>
            </w:r>
            <w:r>
              <w:rPr>
                <w:rFonts w:ascii="Arial" w:hAnsi="Arial" w:cs="Arial"/>
                <w:sz w:val="18"/>
                <w:szCs w:val="18"/>
              </w:rPr>
              <w:t>0</w:t>
            </w:r>
            <w:r>
              <w:rPr>
                <w:rFonts w:ascii="Arial" w:hAnsi="Arial" w:cs="Arial"/>
                <w:sz w:val="18"/>
                <w:szCs w:val="18"/>
                <w:vertAlign w:val="superscript"/>
              </w:rPr>
              <w:t>1</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7</w:t>
            </w:r>
            <w:r>
              <w:rPr>
                <w:rFonts w:ascii="Arial" w:hAnsi="Arial" w:cs="Arial"/>
                <w:sz w:val="18"/>
                <w:szCs w:val="18"/>
              </w:rPr>
              <w:t>5</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10</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21" w:type="pct"/>
          </w:tcPr>
          <w:p>
            <w:pPr>
              <w:keepNext/>
              <w:keepLines/>
              <w:spacing w:after="0"/>
              <w:jc w:val="center"/>
              <w:rPr>
                <w:rFonts w:ascii="Arial" w:hAnsi="Arial" w:cs="Arial"/>
                <w:sz w:val="18"/>
                <w:szCs w:val="18"/>
              </w:rPr>
            </w:pP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pPr>
              <w:keepNext/>
              <w:keepLines/>
              <w:spacing w:after="0"/>
              <w:jc w:val="center"/>
              <w:rPr>
                <w:rFonts w:ascii="Arial" w:hAnsi="Arial" w:cs="Arial"/>
                <w:sz w:val="18"/>
                <w:szCs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128</w:t>
            </w:r>
            <w:r>
              <w:rPr>
                <w:rFonts w:ascii="Arial" w:hAnsi="Arial" w:cs="Arial"/>
                <w:sz w:val="18"/>
                <w:szCs w:val="18"/>
                <w:vertAlign w:val="superscript"/>
              </w:rPr>
              <w:t>1</w:t>
            </w: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417" w:type="pct"/>
            <w:vMerge w:val="restart"/>
            <w:shd w:val="clear" w:color="auto" w:fill="auto"/>
          </w:tcPr>
          <w:p>
            <w:pPr>
              <w:keepNext/>
              <w:keepLines/>
              <w:spacing w:after="0"/>
              <w:jc w:val="center"/>
              <w:rPr>
                <w:rFonts w:ascii="Arial" w:hAnsi="Arial"/>
                <w:sz w:val="18"/>
              </w:rPr>
            </w:pPr>
            <w:r>
              <w:rPr>
                <w:rFonts w:ascii="Arial" w:hAnsi="Arial"/>
                <w:sz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shd w:val="clear" w:color="auto" w:fill="auto"/>
          </w:tcPr>
          <w:p>
            <w:pPr>
              <w:keepNext/>
              <w:keepLines/>
              <w:spacing w:after="0"/>
              <w:jc w:val="center"/>
              <w:rPr>
                <w:rFonts w:ascii="Arial" w:hAnsi="Arial"/>
                <w:sz w:val="18"/>
              </w:rPr>
            </w:pPr>
          </w:p>
        </w:tc>
        <w:tc>
          <w:tcPr>
            <w:tcW w:w="280" w:type="pct"/>
          </w:tcPr>
          <w:p>
            <w:pPr>
              <w:keepNext/>
              <w:keepLines/>
              <w:spacing w:after="0"/>
              <w:jc w:val="center"/>
              <w:rPr>
                <w:rFonts w:ascii="Arial" w:hAnsi="Arial" w:cs="Arial"/>
                <w:sz w:val="18"/>
              </w:rPr>
            </w:pPr>
            <w:r>
              <w:rPr>
                <w:rFonts w:ascii="Arial" w:hAnsi="Arial" w:cs="Arial"/>
                <w:sz w:val="18"/>
              </w:rPr>
              <w:t>30</w:t>
            </w:r>
          </w:p>
        </w:tc>
        <w:tc>
          <w:tcPr>
            <w:tcW w:w="212" w:type="pct"/>
            <w:shd w:val="clear" w:color="auto" w:fill="auto"/>
          </w:tcPr>
          <w:p>
            <w:pPr>
              <w:keepNext/>
              <w:keepLines/>
              <w:spacing w:after="0"/>
              <w:jc w:val="center"/>
              <w:rPr>
                <w:rFonts w:ascii="Arial" w:hAnsi="Arial"/>
                <w:sz w:val="18"/>
              </w:rPr>
            </w:pP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24</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3</w:t>
            </w:r>
            <w:r>
              <w:rPr>
                <w:rFonts w:ascii="Arial" w:hAnsi="Arial" w:cs="Arial"/>
                <w:sz w:val="18"/>
                <w:szCs w:val="18"/>
              </w:rPr>
              <w:t>6</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5</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21" w:type="pct"/>
          </w:tcPr>
          <w:p>
            <w:pPr>
              <w:keepNext/>
              <w:keepLines/>
              <w:spacing w:after="0"/>
              <w:jc w:val="center"/>
              <w:rPr>
                <w:rFonts w:ascii="Arial" w:hAnsi="Arial" w:cs="Arial"/>
                <w:sz w:val="18"/>
                <w:szCs w:val="18"/>
              </w:rPr>
            </w:pP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pPr>
              <w:keepNext/>
              <w:keepLines/>
              <w:spacing w:after="0"/>
              <w:jc w:val="center"/>
              <w:rPr>
                <w:rFonts w:ascii="Arial" w:hAnsi="Arial" w:cs="Arial"/>
                <w:sz w:val="18"/>
                <w:szCs w:val="18"/>
              </w:rPr>
            </w:pPr>
            <w:r>
              <w:rPr>
                <w:rFonts w:ascii="Arial" w:hAnsi="Arial" w:cs="Arial"/>
                <w:sz w:val="18"/>
                <w:szCs w:val="18"/>
              </w:rPr>
              <w:t>64</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417" w:type="pct"/>
            <w:vMerge w:val="continue"/>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bottom w:val="single" w:color="auto" w:sz="4" w:space="0"/>
            </w:tcBorders>
            <w:shd w:val="clear" w:color="auto" w:fill="auto"/>
          </w:tcPr>
          <w:p>
            <w:pPr>
              <w:keepNext/>
              <w:keepLines/>
              <w:spacing w:after="0"/>
              <w:jc w:val="center"/>
              <w:rPr>
                <w:rFonts w:ascii="Arial" w:hAnsi="Arial"/>
                <w:sz w:val="18"/>
              </w:rPr>
            </w:pPr>
          </w:p>
        </w:tc>
        <w:tc>
          <w:tcPr>
            <w:tcW w:w="280" w:type="pct"/>
          </w:tcPr>
          <w:p>
            <w:pPr>
              <w:keepNext/>
              <w:keepLines/>
              <w:spacing w:after="0"/>
              <w:jc w:val="center"/>
              <w:rPr>
                <w:rFonts w:ascii="Arial" w:hAnsi="Arial" w:cs="Arial"/>
                <w:sz w:val="18"/>
              </w:rPr>
            </w:pPr>
            <w:r>
              <w:rPr>
                <w:rFonts w:ascii="Arial" w:hAnsi="Arial" w:cs="Arial"/>
                <w:sz w:val="18"/>
              </w:rPr>
              <w:t>60</w:t>
            </w:r>
          </w:p>
        </w:tc>
        <w:tc>
          <w:tcPr>
            <w:tcW w:w="212" w:type="pct"/>
            <w:shd w:val="clear" w:color="auto" w:fill="auto"/>
          </w:tcPr>
          <w:p>
            <w:pPr>
              <w:keepNext/>
              <w:keepLines/>
              <w:spacing w:after="0"/>
              <w:jc w:val="center"/>
              <w:rPr>
                <w:rFonts w:ascii="Arial" w:hAnsi="Arial"/>
                <w:sz w:val="18"/>
              </w:rPr>
            </w:pPr>
          </w:p>
        </w:tc>
        <w:tc>
          <w:tcPr>
            <w:tcW w:w="230" w:type="pct"/>
            <w:shd w:val="clear" w:color="auto" w:fill="auto"/>
          </w:tcPr>
          <w:p>
            <w:pPr>
              <w:keepNext/>
              <w:keepLines/>
              <w:spacing w:after="0"/>
              <w:jc w:val="center"/>
              <w:rPr>
                <w:rFonts w:ascii="Arial" w:hAnsi="Arial"/>
                <w:sz w:val="18"/>
              </w:rPr>
            </w:pPr>
            <w:r>
              <w:rPr>
                <w:rFonts w:ascii="Arial" w:hAnsi="Arial"/>
                <w:sz w:val="18"/>
                <w:lang w:eastAsia="zh-CN"/>
              </w:rPr>
              <w:t>10</w:t>
            </w:r>
            <w:r>
              <w:rPr>
                <w:rFonts w:ascii="Arial" w:hAnsi="Arial" w:cs="Arial"/>
                <w:sz w:val="18"/>
                <w:szCs w:val="18"/>
                <w:vertAlign w:val="superscript"/>
              </w:rPr>
              <w:t>1</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18</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24</w:t>
            </w: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21" w:type="pct"/>
          </w:tcPr>
          <w:p>
            <w:pPr>
              <w:keepNext/>
              <w:keepLines/>
              <w:spacing w:after="0"/>
              <w:jc w:val="center"/>
              <w:rPr>
                <w:rFonts w:ascii="Arial" w:hAnsi="Arial" w:cs="Arial"/>
                <w:sz w:val="18"/>
                <w:szCs w:val="18"/>
              </w:rPr>
            </w:pP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pPr>
              <w:keepNext/>
              <w:keepLines/>
              <w:spacing w:after="0"/>
              <w:jc w:val="center"/>
              <w:rPr>
                <w:rFonts w:ascii="Arial" w:hAnsi="Arial" w:cs="Arial"/>
                <w:sz w:val="18"/>
                <w:szCs w:val="18"/>
              </w:rPr>
            </w:pPr>
            <w:r>
              <w:rPr>
                <w:rFonts w:ascii="Arial" w:hAnsi="Arial" w:cs="Arial"/>
                <w:sz w:val="18"/>
                <w:szCs w:val="18"/>
              </w:rPr>
              <w:t>30</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417" w:type="pct"/>
            <w:vMerge w:val="continue"/>
            <w:tcBorders>
              <w:bottom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n39</w:t>
            </w: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sz w:val="18"/>
                <w:lang w:val="en-US" w:eastAsia="zh-CN"/>
              </w:rPr>
              <w:t>15</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lang w:val="en-US" w:eastAsia="zh-CN"/>
              </w:rPr>
              <w:t>25</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50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75</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100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lang w:val="en-US" w:eastAsia="zh-CN"/>
              </w:rPr>
              <w:t>128</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sz w:val="18"/>
                <w:lang w:val="en-US" w:eastAsia="zh-CN"/>
              </w:rPr>
              <w:t>160</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eastAsia="Malgun Gothic"/>
                <w:sz w:val="18"/>
                <w:lang w:eastAsia="zh-CN"/>
              </w:rPr>
              <w:t>216</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sz w:val="18"/>
                <w:lang w:val="en-US" w:eastAsia="zh-CN"/>
              </w:rPr>
              <w:t>30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lang w:val="en-US" w:eastAsia="zh-CN"/>
              </w:rPr>
              <w:t>24</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36</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50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lang w:val="en-US" w:eastAsia="zh-CN"/>
              </w:rPr>
              <w:t>64</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eastAsia="Malgun Gothic"/>
                <w:sz w:val="18"/>
              </w:rPr>
              <w:t>75</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eastAsia="Malgun Gothic"/>
                <w:sz w:val="18"/>
                <w:lang w:eastAsia="zh-CN"/>
              </w:rPr>
              <w:t>100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sz w:val="18"/>
                <w:lang w:val="en-US" w:eastAsia="zh-CN"/>
              </w:rPr>
              <w:t>60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lang w:eastAsia="zh-CN"/>
              </w:rPr>
              <w:t>10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rPr>
              <w:t>18</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rPr>
              <w:t>24</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lang w:val="en-US" w:eastAsia="zh-CN"/>
              </w:rPr>
              <w:t>30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sz w:val="18"/>
                <w:lang w:val="en-US" w:eastAsia="zh-CN"/>
              </w:rPr>
              <w:t>36</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eastAsia="Malgun Gothic"/>
                <w:sz w:val="18"/>
              </w:rPr>
              <w:t>5</w:t>
            </w:r>
            <w:r>
              <w:rPr>
                <w:rFonts w:ascii="Arial" w:hAnsi="Arial" w:eastAsia="Malgun Gothic"/>
                <w:sz w:val="18"/>
                <w:lang w:eastAsia="zh-CN"/>
              </w:rPr>
              <w:t>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n78</w:t>
            </w: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15</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5</w:t>
            </w:r>
            <w:r>
              <w:rPr>
                <w:rFonts w:ascii="Arial" w:hAnsi="Arial" w:cs="Arial"/>
                <w:sz w:val="18"/>
                <w:szCs w:val="18"/>
              </w:rPr>
              <w:t>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7</w:t>
            </w:r>
            <w:r>
              <w:rPr>
                <w:rFonts w:ascii="Arial" w:hAnsi="Arial" w:cs="Arial"/>
                <w:sz w:val="18"/>
                <w:szCs w:val="18"/>
              </w:rPr>
              <w:t>5</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10</w:t>
            </w:r>
            <w:r>
              <w:rPr>
                <w:rFonts w:ascii="Arial" w:hAnsi="Arial" w:cs="Arial"/>
                <w:sz w:val="18"/>
                <w:szCs w:val="18"/>
              </w:rPr>
              <w:t>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128</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270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hint="eastAsia" w:ascii="Arial" w:hAnsi="Arial"/>
                <w:sz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30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24</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3</w:t>
            </w:r>
            <w:r>
              <w:rPr>
                <w:rFonts w:ascii="Arial" w:hAnsi="Arial" w:cs="Arial"/>
                <w:sz w:val="18"/>
                <w:szCs w:val="18"/>
              </w:rPr>
              <w:t>6</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5</w:t>
            </w:r>
            <w:r>
              <w:rPr>
                <w:rFonts w:ascii="Arial" w:hAnsi="Arial" w:cs="Arial"/>
                <w:sz w:val="18"/>
                <w:szCs w:val="18"/>
              </w:rPr>
              <w:t>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64</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w:t>
            </w:r>
            <w:r>
              <w:rPr>
                <w:rFonts w:ascii="Arial" w:hAnsi="Arial"/>
                <w:sz w:val="18"/>
              </w:rPr>
              <w:t>28</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162</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180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21</w:t>
            </w:r>
            <w:r>
              <w:rPr>
                <w:rFonts w:ascii="Arial" w:hAnsi="Arial"/>
                <w:sz w:val="18"/>
              </w:rPr>
              <w:t>6</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243</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27</w:t>
            </w:r>
            <w:r>
              <w:rPr>
                <w:rFonts w:ascii="Arial" w:hAnsi="Arial"/>
                <w:sz w:val="18"/>
              </w:rPr>
              <w:t>0</w:t>
            </w: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60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18</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24</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30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hint="eastAsia" w:ascii="Arial" w:hAnsi="Arial"/>
                <w:sz w:val="18"/>
                <w:lang w:val="en-US" w:eastAsia="zh-CN"/>
              </w:rPr>
              <w:t>5</w:t>
            </w:r>
            <w:r>
              <w:rPr>
                <w:rFonts w:ascii="Arial" w:hAnsi="Arial"/>
                <w:sz w:val="18"/>
                <w:lang w:val="en-US" w:eastAsia="zh-CN"/>
              </w:rPr>
              <w:t>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6</w:t>
            </w:r>
            <w:r>
              <w:rPr>
                <w:rFonts w:ascii="Arial" w:hAnsi="Arial"/>
                <w:sz w:val="18"/>
              </w:rPr>
              <w:t>4</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7</w:t>
            </w:r>
            <w:r>
              <w:rPr>
                <w:rFonts w:ascii="Arial" w:hAnsi="Arial"/>
                <w:sz w:val="18"/>
              </w:rPr>
              <w:t>5</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90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10</w:t>
            </w:r>
            <w:r>
              <w:rPr>
                <w:rFonts w:ascii="Arial" w:hAnsi="Arial"/>
                <w:sz w:val="18"/>
              </w:rPr>
              <w:t>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135</w:t>
            </w:r>
          </w:p>
        </w:tc>
        <w:tc>
          <w:tcPr>
            <w:tcW w:w="417"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n79</w:t>
            </w: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15</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50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100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270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hint="eastAsia" w:ascii="Arial" w:hAnsi="Arial"/>
                <w:sz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30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24</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50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128</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162</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180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216</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243</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270</w:t>
            </w: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60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24</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50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64</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75</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90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100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135</w:t>
            </w:r>
          </w:p>
        </w:tc>
        <w:tc>
          <w:tcPr>
            <w:tcW w:w="417"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r>
    </w:tbl>
    <w:p/>
    <w:p>
      <w:pPr>
        <w:pStyle w:val="5"/>
        <w:spacing w:after="240"/>
        <w:ind w:left="0" w:firstLine="0"/>
      </w:pPr>
      <w:bookmarkStart w:id="69" w:name="_Toc133498159"/>
      <w:r>
        <w:t>7</w:t>
      </w:r>
      <w:r>
        <w:rPr>
          <w:rFonts w:hint="eastAsia"/>
        </w:rPr>
        <w:t>.</w:t>
      </w:r>
      <w:r>
        <w:t>1</w:t>
      </w:r>
      <w:r>
        <w:rPr>
          <w:rFonts w:hint="eastAsia"/>
        </w:rPr>
        <w:t>.</w:t>
      </w:r>
      <w:r>
        <w:t>3</w:t>
      </w:r>
      <w:r>
        <w:rPr>
          <w:rFonts w:hint="eastAsia"/>
        </w:rPr>
        <w:t>.</w:t>
      </w:r>
      <w:r>
        <w:t>4</w:t>
      </w:r>
      <w:r>
        <w:rPr>
          <w:rFonts w:hint="eastAsia"/>
        </w:rPr>
        <w:t xml:space="preserve"> </w:t>
      </w:r>
      <w:r>
        <w:t>Maximum input level</w:t>
      </w:r>
      <w:bookmarkEnd w:id="69"/>
    </w:p>
    <w:p/>
    <w:p>
      <w:pPr>
        <w:pStyle w:val="5"/>
        <w:spacing w:after="240"/>
        <w:ind w:left="0" w:firstLine="0"/>
      </w:pPr>
      <w:bookmarkStart w:id="70" w:name="_Toc133498160"/>
      <w:r>
        <w:t>7</w:t>
      </w:r>
      <w:r>
        <w:rPr>
          <w:rFonts w:hint="eastAsia"/>
        </w:rPr>
        <w:t>.</w:t>
      </w:r>
      <w:r>
        <w:t>1</w:t>
      </w:r>
      <w:r>
        <w:rPr>
          <w:rFonts w:hint="eastAsia"/>
        </w:rPr>
        <w:t>.</w:t>
      </w:r>
      <w:r>
        <w:t>3</w:t>
      </w:r>
      <w:r>
        <w:rPr>
          <w:rFonts w:hint="eastAsia"/>
        </w:rPr>
        <w:t>.</w:t>
      </w:r>
      <w:r>
        <w:t>5</w:t>
      </w:r>
      <w:r>
        <w:rPr>
          <w:rFonts w:hint="eastAsia"/>
        </w:rPr>
        <w:t xml:space="preserve"> </w:t>
      </w:r>
      <w:r>
        <w:t>Adjacent channel selectivity</w:t>
      </w:r>
      <w:bookmarkEnd w:id="70"/>
    </w:p>
    <w:p/>
    <w:p>
      <w:pPr>
        <w:pStyle w:val="5"/>
        <w:spacing w:after="240"/>
        <w:ind w:left="0" w:firstLine="0"/>
      </w:pPr>
      <w:bookmarkStart w:id="71" w:name="_Toc133498161"/>
      <w:r>
        <w:t>7</w:t>
      </w:r>
      <w:r>
        <w:rPr>
          <w:rFonts w:hint="eastAsia"/>
        </w:rPr>
        <w:t>.</w:t>
      </w:r>
      <w:r>
        <w:t>1</w:t>
      </w:r>
      <w:r>
        <w:rPr>
          <w:rFonts w:hint="eastAsia"/>
        </w:rPr>
        <w:t>.</w:t>
      </w:r>
      <w:r>
        <w:t>3</w:t>
      </w:r>
      <w:r>
        <w:rPr>
          <w:rFonts w:hint="eastAsia"/>
        </w:rPr>
        <w:t>.</w:t>
      </w:r>
      <w:r>
        <w:t>6</w:t>
      </w:r>
      <w:r>
        <w:rPr>
          <w:rFonts w:hint="eastAsia"/>
        </w:rPr>
        <w:t xml:space="preserve"> </w:t>
      </w:r>
      <w:r>
        <w:t>In-band blocking requirements</w:t>
      </w:r>
      <w:bookmarkEnd w:id="71"/>
    </w:p>
    <w:p/>
    <w:p>
      <w:pPr>
        <w:pStyle w:val="5"/>
        <w:spacing w:after="240"/>
        <w:ind w:left="0" w:firstLine="0"/>
      </w:pPr>
      <w:bookmarkStart w:id="72" w:name="_Toc133498162"/>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bookmarkEnd w:id="72"/>
    </w:p>
    <w:p>
      <w:pPr>
        <w:rPr>
          <w:lang w:val="en-US"/>
        </w:rPr>
      </w:pPr>
    </w:p>
    <w:p>
      <w:pPr>
        <w:pStyle w:val="5"/>
        <w:spacing w:after="240"/>
        <w:ind w:left="0" w:firstLine="0"/>
      </w:pPr>
      <w:bookmarkStart w:id="73" w:name="_Toc133498163"/>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bookmarkEnd w:id="73"/>
    </w:p>
    <w:p>
      <w:pPr>
        <w:spacing w:after="0"/>
        <w:rPr>
          <w:lang w:val="en-US" w:eastAsia="zh-CN"/>
        </w:rPr>
      </w:pPr>
      <w:r>
        <w:rPr>
          <w:lang w:val="en-US" w:eastAsia="zh-CN"/>
        </w:rPr>
        <w:t>It was agreed not to specify narrow band blocking requirements for ATG UE.</w:t>
      </w:r>
    </w:p>
    <w:p/>
    <w:p>
      <w:pPr>
        <w:pStyle w:val="5"/>
        <w:spacing w:after="240"/>
        <w:ind w:left="0" w:firstLine="0"/>
      </w:pPr>
      <w:bookmarkStart w:id="74" w:name="_Toc133498164"/>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bookmarkEnd w:id="74"/>
    </w:p>
    <w:p/>
    <w:p>
      <w:pPr>
        <w:pStyle w:val="5"/>
        <w:spacing w:after="240"/>
        <w:ind w:left="0" w:firstLine="0"/>
      </w:pPr>
      <w:bookmarkStart w:id="75" w:name="_Toc133498165"/>
      <w:r>
        <w:t>7</w:t>
      </w:r>
      <w:r>
        <w:rPr>
          <w:rFonts w:hint="eastAsia"/>
        </w:rPr>
        <w:t>.</w:t>
      </w:r>
      <w:r>
        <w:t>1</w:t>
      </w:r>
      <w:r>
        <w:rPr>
          <w:rFonts w:hint="eastAsia"/>
        </w:rPr>
        <w:t>.</w:t>
      </w:r>
      <w:r>
        <w:t>3</w:t>
      </w:r>
      <w:r>
        <w:rPr>
          <w:rFonts w:hint="eastAsia"/>
        </w:rPr>
        <w:t>.</w:t>
      </w:r>
      <w:r>
        <w:t>10</w:t>
      </w:r>
      <w:r>
        <w:rPr>
          <w:rFonts w:hint="eastAsia"/>
        </w:rPr>
        <w:t xml:space="preserve"> </w:t>
      </w:r>
      <w:r>
        <w:t>Receiver Spurious emissions</w:t>
      </w:r>
      <w:bookmarkEnd w:id="75"/>
    </w:p>
    <w:p>
      <w:pPr>
        <w:spacing w:after="0"/>
        <w:rPr>
          <w:rFonts w:eastAsia="宋体"/>
          <w:sz w:val="24"/>
          <w:szCs w:val="24"/>
          <w:lang w:val="en-US" w:eastAsia="zh-CN"/>
        </w:rPr>
      </w:pPr>
      <w:r>
        <w:rPr>
          <w:rFonts w:eastAsia="宋体"/>
          <w:lang w:eastAsia="zh-CN"/>
        </w:rPr>
        <w:t>As this is regulatory requirements and referring to the ERC Recommendation 74-01 Annex 3 [3], the spurious emissions limits specified in sub-clause of TS 38.101-1[4] would also be applicable to ATG UE.</w:t>
      </w:r>
    </w:p>
    <w:p>
      <w:pPr>
        <w:rPr>
          <w:lang w:eastAsia="zh-CN"/>
        </w:rPr>
      </w:pPr>
    </w:p>
    <w:p>
      <w:pPr>
        <w:pStyle w:val="3"/>
      </w:pPr>
      <w:bookmarkStart w:id="76" w:name="_Toc133498166"/>
      <w:r>
        <w:rPr>
          <w:rFonts w:hint="eastAsia"/>
          <w:lang w:eastAsia="zh-CN"/>
        </w:rPr>
        <w:t>7</w:t>
      </w:r>
      <w:r>
        <w:t>.2</w:t>
      </w:r>
      <w:r>
        <w:tab/>
      </w:r>
      <w:r>
        <w:rPr>
          <w:rFonts w:hint="eastAsia"/>
          <w:lang w:eastAsia="zh-CN"/>
        </w:rPr>
        <w:t xml:space="preserve">ATG </w:t>
      </w:r>
      <w:r>
        <w:t>BS specific</w:t>
      </w:r>
      <w:bookmarkEnd w:id="76"/>
    </w:p>
    <w:p>
      <w:r>
        <w:t xml:space="preserve">For most of the requirements, </w:t>
      </w:r>
      <w:r>
        <w:rPr>
          <w:rFonts w:hint="eastAsia" w:eastAsia="宋体"/>
          <w:lang w:val="en-US" w:eastAsia="zh-CN"/>
        </w:rPr>
        <w:t xml:space="preserve">it was generally agreed to </w:t>
      </w:r>
      <w:r>
        <w:rPr>
          <w:rFonts w:eastAsia="宋体"/>
          <w:lang w:val="en-US" w:eastAsia="zh-CN"/>
        </w:rPr>
        <w:t>ai</w:t>
      </w:r>
      <w:r>
        <w:rPr>
          <w:rFonts w:hint="eastAsia"/>
        </w:rPr>
        <w:t>m</w:t>
      </w:r>
      <w:r>
        <w:t xml:space="preserve"> </w:t>
      </w:r>
      <w:r>
        <w:rPr>
          <w:rFonts w:hint="eastAsia"/>
        </w:rPr>
        <w:t>to</w:t>
      </w:r>
      <w:r>
        <w:t xml:space="preserve"> reuse the existing </w:t>
      </w:r>
      <w:r>
        <w:rPr>
          <w:rFonts w:hint="eastAsia"/>
        </w:rPr>
        <w:t>TN</w:t>
      </w:r>
      <w:r>
        <w:t xml:space="preserve"> </w:t>
      </w:r>
      <w:r>
        <w:rPr>
          <w:rFonts w:hint="eastAsia"/>
        </w:rPr>
        <w:t>BS</w:t>
      </w:r>
      <w:r>
        <w:t xml:space="preserve"> requirements</w:t>
      </w:r>
      <w:r>
        <w:rPr>
          <w:rFonts w:hint="eastAsia" w:eastAsia="宋体"/>
          <w:lang w:val="en-US" w:eastAsia="zh-CN"/>
        </w:rPr>
        <w:t xml:space="preserve"> for ATG BS </w:t>
      </w:r>
      <w:r>
        <w:rPr>
          <w:rFonts w:hint="eastAsia"/>
        </w:rPr>
        <w:t>wherever</w:t>
      </w:r>
      <w:r>
        <w:t xml:space="preserve"> </w:t>
      </w:r>
      <w:r>
        <w:rPr>
          <w:rFonts w:hint="eastAsia"/>
        </w:rPr>
        <w:t>possible</w:t>
      </w:r>
      <w:r>
        <w:t xml:space="preserve"> since the TN BS requirements would provide the same or better BS performance for an ATG BS deployment. </w:t>
      </w:r>
      <w:r>
        <w:rPr>
          <w:rFonts w:hint="eastAsia"/>
        </w:rPr>
        <w:t>T</w:t>
      </w:r>
      <w:r>
        <w:t>h</w:t>
      </w:r>
      <w:r>
        <w:rPr>
          <w:rFonts w:hint="eastAsia" w:eastAsia="宋体"/>
          <w:lang w:val="en-US" w:eastAsia="zh-CN"/>
        </w:rPr>
        <w:t xml:space="preserve">e following </w:t>
      </w:r>
      <w:r>
        <w:t>section will capture the</w:t>
      </w:r>
      <w:r>
        <w:rPr>
          <w:rFonts w:hint="eastAsia" w:eastAsia="宋体"/>
          <w:lang w:val="en-US" w:eastAsia="zh-CN"/>
        </w:rPr>
        <w:t xml:space="preserve"> </w:t>
      </w:r>
      <w:r>
        <w:rPr>
          <w:rFonts w:eastAsia="宋体"/>
          <w:lang w:val="en-US" w:eastAsia="zh-CN"/>
        </w:rPr>
        <w:t xml:space="preserve">considerations </w:t>
      </w:r>
      <w:r>
        <w:rPr>
          <w:rFonts w:hint="eastAsia" w:eastAsia="宋体"/>
          <w:lang w:val="en-US" w:eastAsia="zh-CN"/>
        </w:rPr>
        <w:t>of ATG BS RF requirement</w:t>
      </w:r>
      <w:r>
        <w:rPr>
          <w:rFonts w:eastAsia="宋体"/>
          <w:lang w:val="en-US" w:eastAsia="zh-CN"/>
        </w:rPr>
        <w:t>s</w:t>
      </w:r>
      <w:r>
        <w:rPr>
          <w:rFonts w:hint="eastAsia" w:eastAsia="宋体"/>
          <w:lang w:val="en-US" w:eastAsia="zh-CN"/>
        </w:rPr>
        <w:t>.</w:t>
      </w:r>
    </w:p>
    <w:p>
      <w:pPr>
        <w:pStyle w:val="4"/>
        <w:rPr>
          <w:lang w:eastAsia="zh-CN"/>
        </w:rPr>
      </w:pPr>
      <w:bookmarkStart w:id="77" w:name="_Toc133498167"/>
      <w:r>
        <w:rPr>
          <w:rFonts w:hint="eastAsia"/>
        </w:rPr>
        <w:t>7.2.1 ATG BS class and BS type</w:t>
      </w:r>
      <w:bookmarkEnd w:id="77"/>
    </w:p>
    <w:p>
      <w:pPr>
        <w:rPr>
          <w:lang w:val="en-US" w:eastAsia="zh-CN"/>
        </w:rPr>
      </w:pPr>
      <w:bookmarkStart w:id="78" w:name="_Toc24574"/>
      <w:r>
        <w:rPr>
          <w:rFonts w:hint="eastAsia"/>
          <w:lang w:val="en-US" w:eastAsia="zh-CN"/>
        </w:rPr>
        <w:t xml:space="preserve">This WI study focus on FR1 bands only. After some discussion, the three BS FR1 types are specified for ATG BS, i.e. ATG </w:t>
      </w:r>
      <w:r>
        <w:rPr>
          <w:lang w:val="en-US"/>
        </w:rPr>
        <w:t>BS type type1-C, 1-H and 1-O</w:t>
      </w:r>
      <w:r>
        <w:rPr>
          <w:rFonts w:hint="eastAsia"/>
          <w:lang w:val="en-US" w:eastAsia="zh-CN"/>
        </w:rPr>
        <w:t xml:space="preserve"> are defined.</w:t>
      </w:r>
    </w:p>
    <w:p>
      <w:pPr>
        <w:rPr>
          <w:lang w:val="en-US" w:eastAsia="zh-CN"/>
        </w:rPr>
      </w:pPr>
      <w:r>
        <w:rPr>
          <w:rFonts w:hint="eastAsia"/>
          <w:lang w:val="en-US" w:eastAsia="zh-CN"/>
        </w:rPr>
        <w:t xml:space="preserve">For the ATG BS class, the deployment scenarios were discussed. </w:t>
      </w:r>
      <w:r>
        <w:rPr>
          <w:lang w:val="en-US" w:eastAsia="zh-CN"/>
        </w:rPr>
        <w:t xml:space="preserve">ATG BSs are supposed to be deployed on the ground to serve ATG UEs (CPE type of UE mounted in the aircraft) in the air. The flight altitude of </w:t>
      </w:r>
      <w:r>
        <w:rPr>
          <w:rFonts w:hint="eastAsia"/>
          <w:lang w:val="en-US" w:eastAsia="zh-CN"/>
        </w:rPr>
        <w:t>ATG UE is supposed to turn on</w:t>
      </w:r>
      <w:r>
        <w:rPr>
          <w:lang w:val="en-US" w:eastAsia="zh-CN"/>
        </w:rPr>
        <w:t xml:space="preserve"> is assumed from 3~10km based on the</w:t>
      </w:r>
      <w:r>
        <w:rPr>
          <w:rFonts w:hint="eastAsia"/>
          <w:lang w:val="en-US" w:eastAsia="zh-CN"/>
        </w:rPr>
        <w:t xml:space="preserve"> regulatory input and coexistence study</w:t>
      </w:r>
      <w:r>
        <w:rPr>
          <w:lang w:val="en-US" w:eastAsia="zh-CN"/>
        </w:rPr>
        <w:t>. The distance between aircraft and the nearest ATG BS</w:t>
      </w:r>
      <w:r>
        <w:rPr>
          <w:rFonts w:hint="eastAsia"/>
          <w:lang w:val="en-US" w:eastAsia="zh-CN"/>
        </w:rPr>
        <w:t xml:space="preserve"> in azimuth angle</w:t>
      </w:r>
      <w:r>
        <w:rPr>
          <w:lang w:val="en-US" w:eastAsia="zh-CN"/>
        </w:rPr>
        <w:t xml:space="preserve"> could be more than 200km and even up to 300km.</w:t>
      </w:r>
      <w:r>
        <w:rPr>
          <w:rFonts w:hint="eastAsia"/>
          <w:lang w:val="en-US" w:eastAsia="zh-CN"/>
        </w:rPr>
        <w:t xml:space="preserve"> So</w:t>
      </w:r>
      <w:r>
        <w:rPr>
          <w:lang w:val="en-US" w:eastAsia="zh-CN"/>
        </w:rPr>
        <w:t xml:space="preserve"> the scenario for ATG is different from existing scenarios for TN BS and scenario for HAPS. Separate BS classes for ATG need to be defined.</w:t>
      </w:r>
    </w:p>
    <w:p>
      <w:pPr>
        <w:rPr>
          <w:lang w:val="en-US"/>
        </w:rPr>
      </w:pPr>
      <w:r>
        <w:rPr>
          <w:lang w:val="en-US"/>
        </w:rPr>
        <w:t xml:space="preserve">For </w:t>
      </w:r>
      <w:r>
        <w:rPr>
          <w:rFonts w:hint="eastAsia"/>
          <w:lang w:val="en-US" w:eastAsia="zh-CN"/>
        </w:rPr>
        <w:t xml:space="preserve">ATG </w:t>
      </w:r>
      <w:r>
        <w:rPr>
          <w:lang w:val="en-US"/>
        </w:rPr>
        <w:t xml:space="preserve">BS type type1-C, 1-H and 1-O, </w:t>
      </w:r>
      <w:r>
        <w:rPr>
          <w:rFonts w:hint="eastAsia"/>
          <w:lang w:val="en-US"/>
        </w:rPr>
        <w:t>ATG</w:t>
      </w:r>
      <w:r>
        <w:rPr>
          <w:lang w:val="en-US"/>
        </w:rPr>
        <w:t xml:space="preserve"> BS class is defined as below:</w:t>
      </w:r>
    </w:p>
    <w:p>
      <w:pPr>
        <w:rPr>
          <w:lang w:eastAsia="zh-CN"/>
        </w:rPr>
      </w:pPr>
      <w:r>
        <w:rPr>
          <w:rFonts w:hint="eastAsia" w:eastAsia="宋体"/>
          <w:iCs/>
          <w:szCs w:val="24"/>
          <w:lang w:eastAsia="ja-JP"/>
        </w:rPr>
        <w:t>ATG Base Stations are characterized by requirements derived from ATG scenarios with a ground BS to air UE with typical vertical altitude of around 10,000m and take-off/landing altitudes down to 3000m</w:t>
      </w:r>
      <w:r>
        <w:rPr>
          <w:rFonts w:eastAsia="宋体"/>
          <w:iCs/>
          <w:szCs w:val="24"/>
          <w:lang w:eastAsia="ja-JP"/>
        </w:rPr>
        <w:t>.</w:t>
      </w:r>
    </w:p>
    <w:p>
      <w:pPr>
        <w:rPr>
          <w:lang w:eastAsia="zh-CN"/>
        </w:rPr>
      </w:pPr>
      <w:r>
        <w:rPr>
          <w:rFonts w:hint="eastAsia"/>
          <w:lang w:eastAsia="zh-CN"/>
        </w:rPr>
        <w:t xml:space="preserve">Generally most of the WA BS class requirements can be reused by ATG BS. Some exceptions were found in the WI study, for </w:t>
      </w:r>
      <w:r>
        <w:rPr>
          <w:lang w:eastAsia="zh-CN"/>
        </w:rPr>
        <w:t>example</w:t>
      </w:r>
      <w:r>
        <w:rPr>
          <w:rFonts w:hint="eastAsia"/>
          <w:lang w:eastAsia="zh-CN"/>
        </w:rPr>
        <w:t xml:space="preserve"> TAE requirement. The </w:t>
      </w:r>
      <w:r>
        <w:rPr>
          <w:lang w:eastAsia="zh-CN"/>
        </w:rPr>
        <w:t>detail</w:t>
      </w:r>
      <w:r>
        <w:rPr>
          <w:rFonts w:hint="eastAsia"/>
          <w:lang w:eastAsia="zh-CN"/>
        </w:rPr>
        <w:t xml:space="preserve"> requirements study and conclusion are captured in the corresponding sections.</w:t>
      </w:r>
    </w:p>
    <w:p>
      <w:pPr>
        <w:pStyle w:val="4"/>
        <w:rPr>
          <w:lang w:eastAsia="zh-CN"/>
        </w:rPr>
      </w:pPr>
      <w:bookmarkStart w:id="79" w:name="_Toc133498168"/>
      <w:r>
        <w:rPr>
          <w:rFonts w:hint="eastAsia"/>
        </w:rPr>
        <w:t xml:space="preserve">7.2.2 </w:t>
      </w:r>
      <w:bookmarkEnd w:id="78"/>
      <w:r>
        <w:rPr>
          <w:rFonts w:hint="eastAsia"/>
          <w:lang w:eastAsia="zh-CN"/>
        </w:rPr>
        <w:t>Tx requirements</w:t>
      </w:r>
      <w:bookmarkEnd w:id="79"/>
    </w:p>
    <w:p>
      <w:pPr>
        <w:tabs>
          <w:tab w:val="left" w:pos="397"/>
          <w:tab w:val="left" w:pos="680"/>
          <w:tab w:val="left" w:pos="1100"/>
          <w:tab w:val="left" w:pos="1299"/>
        </w:tabs>
        <w:spacing w:before="120" w:beforeAutospacing="1" w:after="312" w:afterLines="100"/>
        <w:ind w:left="899" w:right="200" w:rightChars="100" w:hanging="879"/>
        <w:outlineLvl w:val="3"/>
        <w:rPr>
          <w:rFonts w:ascii="Arial" w:hAnsi="Arial" w:eastAsia="Arial"/>
          <w:sz w:val="24"/>
        </w:rPr>
      </w:pPr>
      <w:bookmarkStart w:id="80" w:name="_Hlk133487315"/>
      <w:bookmarkStart w:id="81" w:name="_Hlk133487102"/>
      <w:bookmarkStart w:id="82" w:name="_Hlk133487218"/>
      <w:r>
        <w:rPr>
          <w:rFonts w:ascii="Arial" w:hAnsi="Arial" w:eastAsia="Arial"/>
          <w:sz w:val="24"/>
        </w:rPr>
        <w:t xml:space="preserve">7.2.2.1 </w:t>
      </w:r>
      <w:r>
        <w:rPr>
          <w:rFonts w:hint="eastAsia" w:ascii="Arial" w:hAnsi="Arial" w:eastAsia="Arial"/>
          <w:sz w:val="24"/>
        </w:rPr>
        <w:t>ATG</w:t>
      </w:r>
      <w:r>
        <w:rPr>
          <w:rFonts w:ascii="Arial" w:hAnsi="Arial" w:eastAsia="Arial"/>
          <w:sz w:val="24"/>
        </w:rPr>
        <w:t xml:space="preserve"> </w:t>
      </w:r>
      <w:r>
        <w:rPr>
          <w:rFonts w:hint="eastAsia" w:ascii="Arial" w:hAnsi="Arial" w:eastAsia="Arial"/>
          <w:sz w:val="24"/>
        </w:rPr>
        <w:t>Ba</w:t>
      </w:r>
      <w:r>
        <w:rPr>
          <w:rFonts w:ascii="Arial" w:hAnsi="Arial" w:eastAsia="Arial"/>
          <w:sz w:val="24"/>
        </w:rPr>
        <w:t>se station power</w:t>
      </w:r>
      <w:r>
        <w:rPr>
          <w:rFonts w:asciiTheme="minorEastAsia" w:hAnsiTheme="minorEastAsia" w:eastAsiaTheme="minorEastAsia"/>
          <w:sz w:val="24"/>
          <w:lang w:eastAsia="zh-CN"/>
        </w:rPr>
        <w:t xml:space="preserve"> </w:t>
      </w:r>
    </w:p>
    <w:p>
      <w:pPr>
        <w:keepLines/>
        <w:rPr>
          <w:rFonts w:eastAsia="MS Mincho"/>
          <w:b/>
          <w:bCs/>
          <w:lang w:val="en-US" w:eastAsia="zh-CN"/>
        </w:rPr>
      </w:pPr>
      <w:r>
        <w:rPr>
          <w:rFonts w:eastAsia="MS Mincho"/>
          <w:b/>
          <w:bCs/>
          <w:lang w:val="en-US" w:eastAsia="zh-CN"/>
        </w:rPr>
        <w:t>Base station output power</w:t>
      </w:r>
    </w:p>
    <w:p>
      <w:pPr>
        <w:widowControl w:val="0"/>
        <w:spacing w:after="0"/>
      </w:pPr>
      <w:r>
        <w:rPr>
          <w:rFonts w:hint="eastAsia"/>
        </w:rPr>
        <w:t>C</w:t>
      </w:r>
      <w:r>
        <w:t xml:space="preserve">onsidering the large coverage </w:t>
      </w:r>
      <w:r>
        <w:rPr>
          <w:rFonts w:hint="eastAsia"/>
        </w:rPr>
        <w:t>requirement</w:t>
      </w:r>
      <w:r>
        <w:t>s of ATG system</w:t>
      </w:r>
      <w:r>
        <w:rPr>
          <w:rFonts w:hint="eastAsia" w:ascii="宋体" w:hAnsi="宋体" w:eastAsia="宋体" w:cs="宋体"/>
        </w:rPr>
        <w:t>,</w:t>
      </w:r>
      <w:r>
        <w:rPr>
          <w:rFonts w:ascii="宋体" w:hAnsi="宋体" w:eastAsia="宋体" w:cs="宋体"/>
        </w:rPr>
        <w:t xml:space="preserve"> </w:t>
      </w:r>
      <w:r>
        <w:rPr>
          <w:rFonts w:hint="eastAsia"/>
        </w:rPr>
        <w:t>only</w:t>
      </w:r>
      <w:r>
        <w:t xml:space="preserve"> wide area BS is </w:t>
      </w:r>
      <w:r>
        <w:rPr>
          <w:rFonts w:hint="eastAsia"/>
        </w:rPr>
        <w:t>proper</w:t>
      </w:r>
      <w:r>
        <w:t xml:space="preserve"> for ATG BS </w:t>
      </w:r>
      <w:r>
        <w:rPr>
          <w:rFonts w:hint="eastAsia"/>
        </w:rPr>
        <w:t>type 1-C</w:t>
      </w:r>
      <w:r>
        <w:t>,</w:t>
      </w:r>
      <w:r>
        <w:rPr>
          <w:rFonts w:hint="eastAsia"/>
        </w:rPr>
        <w:t xml:space="preserve"> type 1-H</w:t>
      </w:r>
      <w:r>
        <w:t xml:space="preserve"> and </w:t>
      </w:r>
      <w:r>
        <w:rPr>
          <w:rFonts w:hint="eastAsia"/>
        </w:rPr>
        <w:t>type 1-O. S</w:t>
      </w:r>
      <w:r>
        <w:t>imilar to NR Wide area BS,</w:t>
      </w:r>
      <w:r>
        <w:rPr>
          <w:rFonts w:hint="eastAsia"/>
        </w:rPr>
        <w:t xml:space="preserve"> </w:t>
      </w:r>
      <w:r>
        <w:t xml:space="preserve">there is no upper limit for the rated carrier output power, </w:t>
      </w:r>
      <w:r>
        <w:rPr>
          <w:rFonts w:hint="eastAsia"/>
        </w:rPr>
        <w:t>maximum output power should be left up to the declaration.</w:t>
      </w:r>
      <w:r>
        <w:t xml:space="preserve"> T</w:t>
      </w:r>
      <w:r>
        <w:rPr>
          <w:rFonts w:hint="eastAsia"/>
        </w:rPr>
        <w:t>he existing requirement defined in TS 38.104</w:t>
      </w:r>
      <w:r>
        <w:t xml:space="preserve"> [5] can be reused.</w:t>
      </w:r>
    </w:p>
    <w:p>
      <w:pPr>
        <w:widowControl w:val="0"/>
        <w:spacing w:after="0"/>
        <w:rPr>
          <w:lang w:eastAsia="zh-CN"/>
        </w:rPr>
      </w:pPr>
    </w:p>
    <w:p>
      <w:pPr>
        <w:keepLines/>
        <w:rPr>
          <w:rFonts w:eastAsia="MS Mincho"/>
          <w:b/>
          <w:bCs/>
          <w:lang w:val="en-US" w:eastAsia="zh-CN"/>
        </w:rPr>
      </w:pPr>
      <w:r>
        <w:rPr>
          <w:rFonts w:hint="eastAsia" w:eastAsia="MS Mincho"/>
          <w:b/>
          <w:bCs/>
          <w:lang w:val="en-US" w:eastAsia="zh-CN"/>
        </w:rPr>
        <w:t>RE power control dynamic range</w:t>
      </w:r>
    </w:p>
    <w:p>
      <w:pPr>
        <w:rPr>
          <w:rFonts w:ascii="Arial" w:hAnsi="Arial" w:eastAsia="Arial"/>
          <w:sz w:val="24"/>
          <w:szCs w:val="22"/>
          <w:lang w:eastAsia="zh-CN"/>
        </w:rPr>
      </w:pPr>
      <w:r>
        <w:t>The RE power control dynamic range is the difference between the power of an RE and the average RE power for a BS at maximum output power for a specified reference condition.</w:t>
      </w:r>
    </w:p>
    <w:p>
      <w:pPr>
        <w:widowControl w:val="0"/>
        <w:spacing w:after="0"/>
        <w:rPr>
          <w:lang w:val="en-US" w:eastAsia="zh-CN"/>
        </w:rPr>
      </w:pPr>
      <w:r>
        <w:rPr>
          <w:lang w:val="en-US" w:eastAsia="zh-CN"/>
        </w:rPr>
        <w:t xml:space="preserve">The </w:t>
      </w:r>
      <w:r>
        <w:rPr>
          <w:rFonts w:hint="eastAsia"/>
          <w:lang w:val="en-US" w:eastAsia="zh-CN"/>
        </w:rPr>
        <w:t>RE power control dynamic range</w:t>
      </w:r>
      <w:r>
        <w:rPr>
          <w:lang w:val="en-US" w:eastAsia="zh-CN"/>
        </w:rPr>
        <w:t xml:space="preserve"> </w:t>
      </w:r>
      <w:r>
        <w:rPr>
          <w:rFonts w:hint="eastAsia"/>
        </w:rPr>
        <w:t>was derived by considering the relation between RE power boosting/de-boosting and other RF requirements like UEM, ACLR and EVM.</w:t>
      </w:r>
      <w:r>
        <w:rPr>
          <w:lang w:val="en-US" w:eastAsia="zh-CN"/>
        </w:rPr>
        <w:t xml:space="preserve"> </w:t>
      </w:r>
      <w:r>
        <w:t>F</w:t>
      </w:r>
      <w:r>
        <w:rPr>
          <w:rFonts w:hint="eastAsia"/>
        </w:rPr>
        <w:t xml:space="preserve">or </w:t>
      </w:r>
      <w:r>
        <w:t>ATG BS</w:t>
      </w:r>
      <w:r>
        <w:rPr>
          <w:rFonts w:hint="eastAsia"/>
        </w:rPr>
        <w:t xml:space="preserve">, </w:t>
      </w:r>
      <w:r>
        <w:t xml:space="preserve">since </w:t>
      </w:r>
      <w:r>
        <w:rPr>
          <w:rFonts w:hint="eastAsia"/>
        </w:rPr>
        <w:t xml:space="preserve">the same waveform as </w:t>
      </w:r>
      <w:r>
        <w:t xml:space="preserve">NR </w:t>
      </w:r>
      <w:r>
        <w:rPr>
          <w:rFonts w:hint="eastAsia"/>
        </w:rPr>
        <w:t>is used</w:t>
      </w:r>
      <w:r>
        <w:t xml:space="preserve">, </w:t>
      </w:r>
      <w:r>
        <w:rPr>
          <w:lang w:val="en-US" w:eastAsia="zh-CN"/>
        </w:rPr>
        <w:t>t</w:t>
      </w:r>
      <w:r>
        <w:rPr>
          <w:rFonts w:hint="eastAsia"/>
          <w:lang w:val="en-US" w:eastAsia="zh-CN"/>
        </w:rPr>
        <w:t>he existing requirement defined in TS 38.104</w:t>
      </w:r>
      <w:r>
        <w:rPr>
          <w:lang w:val="en-US" w:eastAsia="zh-CN"/>
        </w:rPr>
        <w:t xml:space="preserve"> [5] can be applicable. </w:t>
      </w:r>
    </w:p>
    <w:p>
      <w:pPr>
        <w:widowControl w:val="0"/>
        <w:spacing w:after="0"/>
        <w:rPr>
          <w:lang w:eastAsia="zh-CN"/>
        </w:rPr>
      </w:pPr>
    </w:p>
    <w:p>
      <w:pPr>
        <w:widowControl w:val="0"/>
        <w:spacing w:after="0"/>
        <w:rPr>
          <w:b/>
          <w:bCs/>
          <w:lang w:val="en-US" w:eastAsia="zh-CN"/>
        </w:rPr>
      </w:pPr>
      <w:r>
        <w:rPr>
          <w:rFonts w:hint="eastAsia"/>
          <w:b/>
          <w:bCs/>
          <w:lang w:val="en-US" w:eastAsia="zh-CN"/>
        </w:rPr>
        <w:t>Total power dynamic range</w:t>
      </w:r>
    </w:p>
    <w:p>
      <w:r>
        <w:t>The BS total power dynamic range is the difference between the maximum and the minimum transmit power of an OFDM symbol for a specified reference condition.</w:t>
      </w:r>
      <w:r>
        <w:rPr>
          <w:rFonts w:hint="eastAsia"/>
        </w:rPr>
        <w:t xml:space="preserve"> </w:t>
      </w:r>
      <w:r>
        <w:t>It can be</w:t>
      </w:r>
      <w:r>
        <w:rPr>
          <w:rFonts w:hint="eastAsia"/>
        </w:rPr>
        <w:t xml:space="preserve"> </w:t>
      </w:r>
      <w:r>
        <w:rPr>
          <w:lang w:val="en-US" w:eastAsia="zh-CN"/>
        </w:rPr>
        <w:t>calculated by 10log10 (N</w:t>
      </w:r>
      <w:r>
        <w:rPr>
          <w:vertAlign w:val="subscript"/>
          <w:lang w:val="en-US" w:eastAsia="zh-CN"/>
        </w:rPr>
        <w:t>RB</w:t>
      </w:r>
      <w:r>
        <w:rPr>
          <w:lang w:val="en-US" w:eastAsia="zh-CN"/>
        </w:rPr>
        <w:t>)</w:t>
      </w:r>
      <w:r>
        <w:t xml:space="preserve">. </w:t>
      </w:r>
      <w:r>
        <w:rPr>
          <w:lang w:eastAsia="zh-CN"/>
        </w:rPr>
        <w:t xml:space="preserve">The </w:t>
      </w:r>
      <w:r>
        <w:t>T</w:t>
      </w:r>
      <w:r>
        <w:rPr>
          <w:rFonts w:hint="eastAsia"/>
        </w:rPr>
        <w:t>otal power dynamic range for ATG</w:t>
      </w:r>
      <w:r>
        <w:t xml:space="preserve"> BS</w:t>
      </w:r>
      <w:r>
        <w:rPr>
          <w:rFonts w:hint="eastAsia"/>
        </w:rPr>
        <w:t xml:space="preserve"> </w:t>
      </w:r>
      <w:r>
        <w:t>can</w:t>
      </w:r>
      <w:r>
        <w:rPr>
          <w:rFonts w:hint="eastAsia"/>
        </w:rPr>
        <w:t xml:space="preserve"> reuse the requirement from TN BS </w:t>
      </w:r>
      <w:r>
        <w:rPr>
          <w:lang w:eastAsia="zh-CN"/>
        </w:rPr>
        <w:t xml:space="preserve">in 3GPP TS 38.104 [5] </w:t>
      </w:r>
      <w:r>
        <w:rPr>
          <w:rFonts w:hint="eastAsia"/>
        </w:rPr>
        <w:t>for the same channel bandwidth.</w:t>
      </w:r>
    </w:p>
    <w:bookmarkEnd w:id="80"/>
    <w:p>
      <w:pPr>
        <w:tabs>
          <w:tab w:val="left" w:pos="397"/>
          <w:tab w:val="left" w:pos="680"/>
          <w:tab w:val="left" w:pos="1100"/>
          <w:tab w:val="left" w:pos="1299"/>
        </w:tabs>
        <w:spacing w:before="120" w:beforeAutospacing="1" w:after="312" w:afterLines="100"/>
        <w:ind w:left="899" w:right="200" w:rightChars="100" w:hanging="879"/>
        <w:outlineLvl w:val="3"/>
        <w:rPr>
          <w:rFonts w:ascii="Arial" w:hAnsi="Arial" w:eastAsia="Arial"/>
          <w:sz w:val="24"/>
        </w:rPr>
      </w:pPr>
      <w:r>
        <w:rPr>
          <w:rFonts w:ascii="Arial" w:hAnsi="Arial" w:eastAsia="Arial"/>
          <w:sz w:val="24"/>
        </w:rPr>
        <w:t>7.2.2.2 Transmitted signal quality</w:t>
      </w:r>
    </w:p>
    <w:p>
      <w:pPr>
        <w:keepLines/>
        <w:rPr>
          <w:rFonts w:eastAsia="MS Mincho"/>
          <w:b/>
          <w:bCs/>
          <w:lang w:val="en-US" w:eastAsia="zh-CN"/>
        </w:rPr>
      </w:pPr>
      <w:r>
        <w:rPr>
          <w:rFonts w:hint="eastAsia" w:eastAsia="MS Mincho"/>
          <w:b/>
          <w:bCs/>
          <w:lang w:val="en-US" w:eastAsia="zh-CN"/>
        </w:rPr>
        <w:t>Frequency error</w:t>
      </w:r>
    </w:p>
    <w:p>
      <w:pPr>
        <w:rPr>
          <w:rFonts w:eastAsia="宋体"/>
          <w:szCs w:val="21"/>
          <w:lang w:val="en-US" w:eastAsia="zh-CN"/>
        </w:rPr>
      </w:pPr>
      <w:r>
        <w:rPr>
          <w:rFonts w:hint="eastAsia"/>
          <w:szCs w:val="21"/>
          <w:lang w:val="en-US"/>
        </w:rPr>
        <w:t xml:space="preserve">Frequency error mainly depends on </w:t>
      </w:r>
      <w:r>
        <w:rPr>
          <w:szCs w:val="21"/>
          <w:lang w:val="en-US"/>
        </w:rPr>
        <w:t>t</w:t>
      </w:r>
      <w:r>
        <w:rPr>
          <w:rFonts w:hint="eastAsia"/>
          <w:szCs w:val="21"/>
          <w:lang w:val="en-US"/>
        </w:rPr>
        <w:t>he timing and synchronization performance</w:t>
      </w:r>
      <w:r>
        <w:rPr>
          <w:szCs w:val="21"/>
          <w:lang w:val="en-US"/>
        </w:rPr>
        <w:t xml:space="preserve"> and </w:t>
      </w:r>
      <w:r>
        <w:rPr>
          <w:rFonts w:hint="eastAsia"/>
          <w:szCs w:val="21"/>
          <w:lang w:val="en-US"/>
        </w:rPr>
        <w:t>PLL performance within transceiver chain. ATG</w:t>
      </w:r>
      <w:r>
        <w:rPr>
          <w:szCs w:val="21"/>
          <w:lang w:val="en-US"/>
        </w:rPr>
        <w:t xml:space="preserve"> </w:t>
      </w:r>
      <w:r>
        <w:rPr>
          <w:rFonts w:hint="eastAsia"/>
          <w:szCs w:val="21"/>
          <w:lang w:val="en-US"/>
        </w:rPr>
        <w:t>system</w:t>
      </w:r>
      <w:r>
        <w:rPr>
          <w:szCs w:val="21"/>
          <w:lang w:val="en-US"/>
        </w:rPr>
        <w:t xml:space="preserve"> is expected to </w:t>
      </w:r>
      <w:r>
        <w:rPr>
          <w:rFonts w:hint="eastAsia"/>
          <w:szCs w:val="21"/>
          <w:lang w:val="en-US"/>
        </w:rPr>
        <w:t xml:space="preserve">use </w:t>
      </w:r>
      <w:r>
        <w:rPr>
          <w:szCs w:val="21"/>
          <w:lang w:val="en-US"/>
        </w:rPr>
        <w:t xml:space="preserve">the </w:t>
      </w:r>
      <w:r>
        <w:rPr>
          <w:rFonts w:hint="eastAsia"/>
          <w:szCs w:val="21"/>
          <w:lang w:val="en-US"/>
        </w:rPr>
        <w:t>existing timing and synchronization network directly</w:t>
      </w:r>
      <w:r>
        <w:rPr>
          <w:rFonts w:hint="eastAsia" w:ascii="宋体" w:hAnsi="宋体" w:eastAsia="宋体"/>
          <w:szCs w:val="21"/>
          <w:lang w:val="en-US" w:eastAsia="zh-CN"/>
        </w:rPr>
        <w:t>.</w:t>
      </w:r>
      <w:r>
        <w:rPr>
          <w:rFonts w:hint="eastAsia"/>
          <w:szCs w:val="21"/>
          <w:lang w:val="en-US"/>
        </w:rPr>
        <w:t xml:space="preserve"> Meanwhile, similar PLL performance of </w:t>
      </w:r>
      <w:r>
        <w:rPr>
          <w:szCs w:val="21"/>
          <w:lang w:val="en-US"/>
        </w:rPr>
        <w:t>ATG</w:t>
      </w:r>
      <w:r>
        <w:rPr>
          <w:rFonts w:hint="eastAsia"/>
          <w:szCs w:val="21"/>
          <w:lang w:val="en-US"/>
        </w:rPr>
        <w:t xml:space="preserve"> BS as </w:t>
      </w:r>
      <w:r>
        <w:rPr>
          <w:szCs w:val="21"/>
          <w:lang w:val="en-US"/>
        </w:rPr>
        <w:t>NR</w:t>
      </w:r>
      <w:r>
        <w:rPr>
          <w:rFonts w:hint="eastAsia"/>
          <w:szCs w:val="21"/>
          <w:lang w:val="en-US"/>
        </w:rPr>
        <w:t xml:space="preserve"> BS is also expected as they are operating at the same frequency range.</w:t>
      </w:r>
      <w:r>
        <w:rPr>
          <w:szCs w:val="21"/>
          <w:lang w:val="en-US"/>
        </w:rPr>
        <w:t xml:space="preserve"> With </w:t>
      </w:r>
      <w:r>
        <w:rPr>
          <w:rFonts w:hint="eastAsia"/>
          <w:szCs w:val="21"/>
          <w:lang w:val="en-US"/>
        </w:rPr>
        <w:t xml:space="preserve">the above considerations, frequency error requirement of </w:t>
      </w:r>
      <w:r>
        <w:rPr>
          <w:szCs w:val="21"/>
          <w:lang w:val="en-US"/>
        </w:rPr>
        <w:t>NR</w:t>
      </w:r>
      <w:r>
        <w:rPr>
          <w:rFonts w:hint="eastAsia"/>
          <w:szCs w:val="21"/>
          <w:lang w:val="en-US"/>
        </w:rPr>
        <w:t xml:space="preserve"> can be reused for </w:t>
      </w:r>
      <w:r>
        <w:rPr>
          <w:szCs w:val="21"/>
          <w:lang w:val="en-US"/>
        </w:rPr>
        <w:t>ATG BS</w:t>
      </w:r>
      <w:r>
        <w:rPr>
          <w:rFonts w:hint="eastAsia"/>
          <w:szCs w:val="21"/>
          <w:lang w:val="en-US"/>
        </w:rPr>
        <w:t>.</w:t>
      </w:r>
    </w:p>
    <w:p>
      <w:pPr>
        <w:rPr>
          <w:lang w:eastAsia="zh-CN"/>
        </w:rPr>
      </w:pPr>
      <w:r>
        <w:rPr>
          <w:rFonts w:hint="eastAsia" w:eastAsia="宋体"/>
          <w:lang w:val="en-US" w:eastAsia="zh-CN"/>
        </w:rPr>
        <w:t>C</w:t>
      </w:r>
      <w:r>
        <w:rPr>
          <w:rFonts w:eastAsia="宋体"/>
          <w:lang w:val="en-US" w:eastAsia="zh-CN"/>
        </w:rPr>
        <w:t xml:space="preserve">onsidering the </w:t>
      </w:r>
      <w:r>
        <w:rPr>
          <w:rFonts w:hint="eastAsia" w:eastAsia="宋体"/>
          <w:lang w:val="en-US" w:eastAsia="zh-CN"/>
        </w:rPr>
        <w:t>0.05ppm</w:t>
      </w:r>
      <w:r>
        <w:rPr>
          <w:rFonts w:eastAsia="宋体"/>
          <w:lang w:val="en-US" w:eastAsia="zh-CN"/>
        </w:rPr>
        <w:t xml:space="preserve"> </w:t>
      </w:r>
      <w:r>
        <w:rPr>
          <w:rFonts w:hint="eastAsia" w:eastAsia="宋体"/>
          <w:lang w:val="en-US" w:eastAsia="zh-CN"/>
        </w:rPr>
        <w:t xml:space="preserve">BS </w:t>
      </w:r>
      <w:r>
        <w:rPr>
          <w:rFonts w:eastAsia="宋体"/>
          <w:lang w:val="en-US" w:eastAsia="zh-CN"/>
        </w:rPr>
        <w:t>frequency error</w:t>
      </w:r>
      <w:r>
        <w:rPr>
          <w:rFonts w:hint="eastAsia" w:eastAsia="宋体"/>
          <w:lang w:val="en-US" w:eastAsia="zh-CN"/>
        </w:rPr>
        <w:t>,</w:t>
      </w:r>
      <w:r>
        <w:rPr>
          <w:rFonts w:eastAsia="宋体"/>
          <w:lang w:val="en-US" w:eastAsia="zh-CN"/>
        </w:rPr>
        <w:t xml:space="preserve"> </w:t>
      </w:r>
      <w:r>
        <w:rPr>
          <w:rFonts w:hint="eastAsia" w:eastAsia="宋体"/>
          <w:lang w:val="en-US" w:eastAsia="zh-CN"/>
        </w:rPr>
        <w:t>f</w:t>
      </w:r>
      <w:r>
        <w:rPr>
          <w:rFonts w:eastAsia="宋体"/>
          <w:lang w:val="en-US" w:eastAsia="zh-CN"/>
        </w:rPr>
        <w:t xml:space="preserve">or </w:t>
      </w:r>
      <w:r>
        <w:rPr>
          <w:rFonts w:hint="eastAsia" w:eastAsia="宋体"/>
          <w:lang w:val="en-US" w:eastAsia="zh-CN"/>
        </w:rPr>
        <w:t>2100</w:t>
      </w:r>
      <w:r>
        <w:rPr>
          <w:rFonts w:eastAsia="宋体"/>
          <w:lang w:val="en-US" w:eastAsia="zh-CN"/>
        </w:rPr>
        <w:t xml:space="preserve"> </w:t>
      </w:r>
      <w:r>
        <w:rPr>
          <w:rFonts w:hint="eastAsia" w:eastAsia="宋体"/>
          <w:lang w:val="en-US" w:eastAsia="zh-CN"/>
        </w:rPr>
        <w:t>MHz</w:t>
      </w:r>
      <w:r>
        <w:rPr>
          <w:rFonts w:eastAsia="宋体"/>
          <w:lang w:val="en-US" w:eastAsia="zh-CN"/>
        </w:rPr>
        <w:t>, it is</w:t>
      </w:r>
      <w:r>
        <w:rPr>
          <w:rFonts w:hint="eastAsia" w:eastAsia="宋体"/>
          <w:lang w:val="en-US" w:eastAsia="zh-CN"/>
        </w:rPr>
        <w:t xml:space="preserve"> 105</w:t>
      </w:r>
      <w:r>
        <w:rPr>
          <w:rFonts w:eastAsia="宋体"/>
          <w:lang w:val="en-US" w:eastAsia="zh-CN"/>
        </w:rPr>
        <w:t xml:space="preserve"> </w:t>
      </w:r>
      <w:r>
        <w:rPr>
          <w:rFonts w:hint="eastAsia" w:eastAsia="宋体"/>
          <w:lang w:val="en-US" w:eastAsia="zh-CN"/>
        </w:rPr>
        <w:t>Hz.</w:t>
      </w:r>
      <w:r>
        <w:rPr>
          <w:rFonts w:eastAsia="宋体"/>
          <w:lang w:val="en-US" w:eastAsia="zh-CN"/>
        </w:rPr>
        <w:t xml:space="preserve"> </w:t>
      </w:r>
      <w:r>
        <w:rPr>
          <w:rFonts w:hint="eastAsia" w:eastAsia="宋体"/>
          <w:lang w:val="en-US" w:eastAsia="zh-CN"/>
        </w:rPr>
        <w:t>F</w:t>
      </w:r>
      <w:r>
        <w:rPr>
          <w:rFonts w:eastAsia="宋体"/>
          <w:lang w:val="en-US" w:eastAsia="zh-CN"/>
        </w:rPr>
        <w:t>or ATG system, UE velocity can be reach up 900</w:t>
      </w:r>
      <w:r>
        <w:rPr>
          <w:rFonts w:hint="eastAsia" w:eastAsia="宋体"/>
          <w:lang w:val="en-US" w:eastAsia="zh-CN"/>
        </w:rPr>
        <w:t>-</w:t>
      </w:r>
      <w:r>
        <w:rPr>
          <w:rFonts w:eastAsia="宋体"/>
          <w:lang w:val="en-US" w:eastAsia="zh-CN"/>
        </w:rPr>
        <w:t>1200km</w:t>
      </w:r>
      <w:r>
        <w:rPr>
          <w:rFonts w:hint="eastAsia" w:eastAsia="宋体"/>
          <w:lang w:val="en-US" w:eastAsia="zh-CN"/>
        </w:rPr>
        <w:t>/</w:t>
      </w:r>
      <w:r>
        <w:rPr>
          <w:rFonts w:eastAsia="宋体"/>
          <w:lang w:val="en-US" w:eastAsia="zh-CN"/>
        </w:rPr>
        <w:t>h at cruising speed</w:t>
      </w:r>
      <w:r>
        <w:rPr>
          <w:lang w:eastAsia="zh-CN"/>
        </w:rPr>
        <w:t>, it can be seen that the more serious frequency offset is caused by the Doppler effect. The 0.05 ppm frequency offset has little impact on the system performance.</w:t>
      </w:r>
    </w:p>
    <w:p>
      <w:pPr>
        <w:keepLines/>
        <w:rPr>
          <w:rFonts w:ascii="宋体" w:hAnsi="宋体" w:eastAsia="宋体"/>
          <w:b/>
          <w:bCs/>
          <w:lang w:val="en-US" w:eastAsia="zh-CN"/>
        </w:rPr>
      </w:pPr>
      <w:r>
        <w:rPr>
          <w:rFonts w:eastAsia="MS Mincho"/>
          <w:b/>
          <w:bCs/>
          <w:lang w:val="en-US" w:eastAsia="zh-CN"/>
        </w:rPr>
        <w:t>Time alignment error</w:t>
      </w:r>
    </w:p>
    <w:p>
      <w:r>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Pr>
          <w:i/>
        </w:rPr>
        <w:t>TAB connectors</w:t>
      </w:r>
      <w:r>
        <w:t xml:space="preserve"> (for 1-H type NR BS).</w:t>
      </w:r>
    </w:p>
    <w:p>
      <w:r>
        <w:t>TAE is only applicable for NR BS transmitting from multiple antennas via MIMO, CA, or combination of them.</w:t>
      </w:r>
    </w:p>
    <w:p>
      <w:r>
        <w:t xml:space="preserve">However, in ATG system, </w:t>
      </w:r>
      <w:r>
        <w:rPr>
          <w:rFonts w:eastAsia="宋体"/>
          <w:szCs w:val="24"/>
        </w:rPr>
        <w:t>BS transmits signals from the ground to the air. Generally, these are only the main path signals, and few multipath signals. Thus, it’s unnecessary to specify the MIMO TAE requirements for ATG BS. In addition, CA is not supported for ATG in Rel-</w:t>
      </w:r>
      <w:r>
        <w:rPr>
          <w:rFonts w:hint="eastAsia" w:eastAsia="宋体"/>
          <w:szCs w:val="24"/>
          <w:lang w:val="en-US" w:eastAsia="zh-CN"/>
        </w:rPr>
        <w:t>18</w:t>
      </w:r>
      <w:r>
        <w:rPr>
          <w:rFonts w:eastAsia="宋体"/>
          <w:szCs w:val="24"/>
        </w:rPr>
        <w:t>.</w:t>
      </w:r>
      <w:r>
        <w:t xml:space="preserve"> As a result, no TAE requirements need to be developed for ATG BS.</w:t>
      </w:r>
    </w:p>
    <w:p>
      <w:pPr>
        <w:keepLines/>
        <w:rPr>
          <w:rFonts w:eastAsia="MS Mincho"/>
          <w:b/>
          <w:bCs/>
          <w:lang w:val="en-US" w:eastAsia="zh-CN"/>
        </w:rPr>
      </w:pPr>
      <w:r>
        <w:rPr>
          <w:rFonts w:hint="eastAsia" w:eastAsia="MS Mincho"/>
          <w:b/>
          <w:bCs/>
          <w:lang w:val="en-US" w:eastAsia="zh-CN"/>
        </w:rPr>
        <w:t>Modulation quality</w:t>
      </w:r>
    </w:p>
    <w:p>
      <w:pPr>
        <w:rPr>
          <w:rFonts w:eastAsia="宋体"/>
          <w:lang w:val="en-US" w:eastAsia="zh-CN"/>
        </w:rPr>
      </w:pPr>
      <w:r>
        <w:t>I</w:t>
      </w:r>
      <w:r>
        <w:rPr>
          <w:rFonts w:hint="eastAsia"/>
        </w:rPr>
        <w:t xml:space="preserve">t is agreed to </w:t>
      </w:r>
      <w:r>
        <w:rPr>
          <w:rFonts w:hint="eastAsia" w:eastAsia="宋体"/>
          <w:lang w:val="en-US" w:eastAsia="zh-CN"/>
        </w:rPr>
        <w:t>specify</w:t>
      </w:r>
      <w:r>
        <w:rPr>
          <w:rFonts w:hint="eastAsia"/>
        </w:rPr>
        <w:t xml:space="preserve"> QPSK</w:t>
      </w:r>
      <w:r>
        <w:t xml:space="preserve">, 16QAM, 64QAM </w:t>
      </w:r>
      <w:r>
        <w:rPr>
          <w:rFonts w:hint="eastAsia"/>
        </w:rPr>
        <w:t xml:space="preserve">and </w:t>
      </w:r>
      <w:r>
        <w:t>256</w:t>
      </w:r>
      <w:r>
        <w:rPr>
          <w:rFonts w:hint="eastAsia"/>
        </w:rPr>
        <w:t>QAM for ATG</w:t>
      </w:r>
      <w:r>
        <w:rPr>
          <w:rFonts w:hint="eastAsia" w:eastAsia="宋体"/>
          <w:lang w:val="en-US" w:eastAsia="zh-CN"/>
        </w:rPr>
        <w:t>, for the supported modulation order is up to the vendor</w:t>
      </w:r>
      <w:r>
        <w:rPr>
          <w:rFonts w:eastAsia="宋体"/>
          <w:lang w:val="en-US" w:eastAsia="zh-CN"/>
        </w:rPr>
        <w:t>’</w:t>
      </w:r>
      <w:r>
        <w:rPr>
          <w:rFonts w:hint="eastAsia" w:eastAsia="宋体"/>
          <w:lang w:val="en-US" w:eastAsia="zh-CN"/>
        </w:rPr>
        <w:t>s declaration.</w:t>
      </w:r>
    </w:p>
    <w:p>
      <w:r>
        <w:rPr>
          <w:lang w:val="en-US"/>
        </w:rPr>
        <w:t xml:space="preserve">For ATG BS, </w:t>
      </w:r>
      <w:r>
        <w:t xml:space="preserve">the EVM value </w:t>
      </w:r>
      <w:r>
        <w:rPr>
          <w:lang w:val="en-US"/>
        </w:rPr>
        <w:t xml:space="preserve">of </w:t>
      </w:r>
      <w:r>
        <w:t>each carrier for different modulation schemes on PDSCH</w:t>
      </w:r>
      <w:r>
        <w:rPr>
          <w:lang w:val="en-US"/>
        </w:rPr>
        <w:t xml:space="preserve"> in TS 38.104 [5] </w:t>
      </w:r>
      <w:r>
        <w:t>shall be met</w:t>
      </w:r>
      <w:r>
        <w:rPr>
          <w:rFonts w:hint="eastAsia"/>
        </w:rPr>
        <w:t>.</w:t>
      </w:r>
    </w:p>
    <w:p>
      <w:pPr>
        <w:tabs>
          <w:tab w:val="left" w:pos="397"/>
          <w:tab w:val="left" w:pos="680"/>
          <w:tab w:val="left" w:pos="1100"/>
          <w:tab w:val="left" w:pos="1299"/>
        </w:tabs>
        <w:spacing w:before="120" w:beforeAutospacing="1" w:after="312" w:afterLines="100"/>
        <w:ind w:left="899" w:right="200" w:rightChars="100" w:hanging="879"/>
        <w:outlineLvl w:val="3"/>
        <w:rPr>
          <w:rFonts w:ascii="Arial" w:hAnsi="Arial" w:eastAsia="Arial"/>
          <w:sz w:val="24"/>
          <w:lang w:val="en-US" w:eastAsia="zh-CN"/>
        </w:rPr>
      </w:pPr>
      <w:r>
        <w:rPr>
          <w:rFonts w:ascii="Arial" w:hAnsi="Arial" w:eastAsia="Arial"/>
          <w:sz w:val="24"/>
        </w:rPr>
        <w:t xml:space="preserve">7.2.2.3 </w:t>
      </w:r>
      <w:r>
        <w:rPr>
          <w:rFonts w:ascii="Arial" w:hAnsi="Arial" w:eastAsia="Arial"/>
          <w:sz w:val="24"/>
          <w:lang w:val="en-US" w:eastAsia="zh-CN"/>
        </w:rPr>
        <w:t>Un</w:t>
      </w:r>
      <w:r>
        <w:rPr>
          <w:rFonts w:hint="eastAsia" w:ascii="Arial" w:hAnsi="Arial" w:eastAsia="Arial"/>
          <w:sz w:val="24"/>
          <w:lang w:val="en-US" w:eastAsia="zh-CN"/>
        </w:rPr>
        <w:t>wanted emission requirements</w:t>
      </w:r>
    </w:p>
    <w:p>
      <w:pPr>
        <w:keepLines/>
        <w:rPr>
          <w:rFonts w:eastAsia="MS Mincho"/>
          <w:b/>
          <w:bCs/>
          <w:lang w:val="en-US" w:eastAsia="zh-CN"/>
        </w:rPr>
      </w:pPr>
      <w:r>
        <w:rPr>
          <w:rFonts w:hint="eastAsia" w:eastAsia="MS Mincho"/>
          <w:b/>
          <w:bCs/>
          <w:lang w:val="en-US" w:eastAsia="zh-CN"/>
        </w:rPr>
        <w:t>Occupied bandwidth</w:t>
      </w:r>
    </w:p>
    <w:p>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rPr>
          <w:rFonts w:cs="v4.2.0"/>
        </w:rPr>
        <w:t>/2</w:t>
      </w:r>
      <w:r>
        <w:t xml:space="preserve"> (=0.5%) of the total mean transmitted power. For ATG BS, it is agreed</w:t>
      </w:r>
      <w:r>
        <w:rPr>
          <w:lang w:val="en-US" w:eastAsia="zh-CN"/>
        </w:rPr>
        <w:t xml:space="preserve"> to</w:t>
      </w:r>
      <w:r>
        <w:rPr>
          <w:rFonts w:hint="eastAsia"/>
          <w:lang w:val="en-US" w:eastAsia="zh-CN"/>
        </w:rPr>
        <w:t xml:space="preserve"> reuse the same requirement defined in TS38.104 </w:t>
      </w:r>
      <w:r>
        <w:rPr>
          <w:lang w:val="en-US" w:eastAsia="zh-CN"/>
        </w:rPr>
        <w:t xml:space="preserve">[5] </w:t>
      </w:r>
      <w:r>
        <w:rPr>
          <w:rFonts w:hint="eastAsia"/>
          <w:lang w:val="en-US" w:eastAsia="zh-CN"/>
        </w:rPr>
        <w:t>which is following</w:t>
      </w:r>
      <w:r>
        <w:t xml:space="preserve"> Recommendation ITU-R SM.328.</w:t>
      </w:r>
    </w:p>
    <w:p>
      <w:pPr>
        <w:keepLines/>
        <w:rPr>
          <w:rFonts w:eastAsia="MS Mincho"/>
          <w:b/>
          <w:bCs/>
          <w:lang w:val="en-US" w:eastAsia="zh-CN"/>
        </w:rPr>
      </w:pPr>
      <w:r>
        <w:rPr>
          <w:rFonts w:eastAsia="MS Mincho"/>
          <w:b/>
          <w:bCs/>
          <w:lang w:val="en-US" w:eastAsia="zh-CN"/>
        </w:rPr>
        <w:t>Adjacent Channel Leakage Power Ratio (ACLR)</w:t>
      </w:r>
    </w:p>
    <w:p>
      <w:pPr>
        <w:tabs>
          <w:tab w:val="left" w:pos="2127"/>
        </w:tabs>
        <w:rPr>
          <w:rFonts w:hint="eastAsia" w:eastAsia="宋体"/>
          <w:lang w:val="en-US" w:eastAsia="zh-CN"/>
        </w:rPr>
      </w:pPr>
      <w:r>
        <w:t>B</w:t>
      </w:r>
      <w:r>
        <w:rPr>
          <w:rFonts w:hint="eastAsia"/>
        </w:rPr>
        <w:t>ased on the coexistence simulation results</w:t>
      </w:r>
      <w:r>
        <w:t>,</w:t>
      </w:r>
      <w:r>
        <w:rPr>
          <w:rFonts w:hint="eastAsia"/>
        </w:rPr>
        <w:t xml:space="preserve"> it </w:t>
      </w:r>
      <w:r>
        <w:t xml:space="preserve">is </w:t>
      </w:r>
      <w:r>
        <w:rPr>
          <w:rFonts w:hint="eastAsia"/>
        </w:rPr>
        <w:t>sufficient to reuse the legacy FR1 ACLR 45dBc requirement for ATG BS.</w:t>
      </w:r>
      <w:r>
        <w:rPr>
          <w:rFonts w:hint="eastAsia" w:eastAsia="宋体"/>
          <w:lang w:val="en-US" w:eastAsia="zh-CN"/>
        </w:rPr>
        <w:t>.</w:t>
      </w:r>
    </w:p>
    <w:p>
      <w:pPr>
        <w:keepLines/>
        <w:rPr>
          <w:rFonts w:eastAsia="MS Mincho"/>
          <w:b/>
          <w:bCs/>
          <w:lang w:val="en-US" w:eastAsia="zh-CN"/>
        </w:rPr>
      </w:pPr>
      <w:r>
        <w:rPr>
          <w:rFonts w:eastAsia="MS Mincho"/>
          <w:b/>
          <w:bCs/>
          <w:lang w:val="en-US" w:eastAsia="zh-CN"/>
        </w:rPr>
        <w:t>Operating band unwanted emissions</w:t>
      </w:r>
    </w:p>
    <w:p>
      <w:pPr>
        <w:rPr>
          <w:lang w:val="en-US"/>
        </w:rPr>
      </w:pPr>
      <w:r>
        <w:rPr>
          <w:lang w:val="en-US"/>
        </w:rPr>
        <w:t xml:space="preserve">ATG BS can follow Wide Area BS, that the UEM level in the spurious domain is aligned with ITU-R recommendation SM.329. </w:t>
      </w:r>
      <w:bookmarkEnd w:id="81"/>
    </w:p>
    <w:bookmarkEnd w:id="82"/>
    <w:p/>
    <w:p>
      <w:pPr>
        <w:pStyle w:val="5"/>
      </w:pPr>
      <w:bookmarkStart w:id="83" w:name="_Toc133498169"/>
      <w:r>
        <w:t>7.2.2.4 Transmitter spurious emissions</w:t>
      </w:r>
      <w:bookmarkEnd w:id="83"/>
    </w:p>
    <w:p>
      <w:pPr>
        <w:rPr>
          <w:lang w:eastAsia="zh-CN"/>
        </w:rPr>
      </w:pPr>
      <w:r>
        <w:rPr>
          <w:lang w:eastAsia="zh-CN"/>
        </w:rPr>
        <w:t>Since transmitter spurious emissions for</w:t>
      </w:r>
      <w:r>
        <w:t xml:space="preserve"> </w:t>
      </w:r>
      <w:r>
        <w:rPr>
          <w:lang w:eastAsia="zh-CN"/>
        </w:rPr>
        <w:t>TN BS should meet the requirements of ITU-R SM329,</w:t>
      </w:r>
      <w:r>
        <w:rPr>
          <w:rFonts w:hint="eastAsia"/>
          <w:lang w:eastAsia="zh-CN"/>
        </w:rPr>
        <w:t xml:space="preserve"> </w:t>
      </w:r>
      <w:r>
        <w:rPr>
          <w:lang w:eastAsia="zh-CN"/>
        </w:rPr>
        <w:t>CEPT,</w:t>
      </w:r>
      <w:r>
        <w:rPr>
          <w:rFonts w:hint="eastAsia"/>
          <w:lang w:eastAsia="zh-CN"/>
        </w:rPr>
        <w:t xml:space="preserve"> and </w:t>
      </w:r>
      <w:r>
        <w:rPr>
          <w:lang w:eastAsia="zh-CN"/>
        </w:rPr>
        <w:t>FCC etc., the spurious emission requirement defined in TS 38.104 [5]</w:t>
      </w:r>
      <w:r>
        <w:t xml:space="preserve"> </w:t>
      </w:r>
      <w:r>
        <w:rPr>
          <w:lang w:eastAsia="zh-CN"/>
        </w:rPr>
        <w:t>for TN BS is sufficient for ATG.</w:t>
      </w:r>
    </w:p>
    <w:p>
      <w:pPr>
        <w:rPr>
          <w:lang w:eastAsia="zh-CN"/>
        </w:rPr>
      </w:pPr>
      <w:r>
        <w:rPr>
          <w:rFonts w:hint="eastAsia"/>
          <w:lang w:eastAsia="zh-CN"/>
        </w:rPr>
        <w:t>T</w:t>
      </w:r>
      <w:r>
        <w:rPr>
          <w:lang w:eastAsia="zh-CN"/>
        </w:rPr>
        <w:t>he same spurious emission requirement defined in TS 38.104</w:t>
      </w:r>
      <w:r>
        <w:t xml:space="preserve"> [5] </w:t>
      </w:r>
      <w:r>
        <w:rPr>
          <w:lang w:eastAsia="zh-CN"/>
        </w:rPr>
        <w:t>for TN BS can be reused.</w:t>
      </w:r>
    </w:p>
    <w:p>
      <w:pPr>
        <w:pStyle w:val="5"/>
      </w:pPr>
      <w:bookmarkStart w:id="84" w:name="_Toc133498170"/>
      <w:r>
        <w:t>7.2.2.5 Transmitter intermodulation</w:t>
      </w:r>
      <w:bookmarkEnd w:id="84"/>
    </w:p>
    <w:p>
      <w:pPr>
        <w:rPr>
          <w:lang w:eastAsia="zh-CN"/>
        </w:rPr>
      </w:pPr>
      <w:r>
        <w:rPr>
          <w:rFonts w:hint="eastAsia"/>
          <w:lang w:eastAsia="zh-CN"/>
        </w:rPr>
        <w:t>In the standard discussion, i</w:t>
      </w:r>
      <w:r>
        <w:rPr>
          <w:lang w:eastAsia="zh-CN"/>
        </w:rPr>
        <w:t xml:space="preserve">t's supposed </w:t>
      </w:r>
      <w:r>
        <w:rPr>
          <w:rFonts w:hint="eastAsia"/>
          <w:lang w:eastAsia="zh-CN"/>
        </w:rPr>
        <w:t>that there</w:t>
      </w:r>
      <w:r>
        <w:rPr>
          <w:lang w:eastAsia="zh-CN"/>
        </w:rPr>
        <w:t>’</w:t>
      </w:r>
      <w:r>
        <w:rPr>
          <w:rFonts w:hint="eastAsia"/>
          <w:lang w:eastAsia="zh-CN"/>
        </w:rPr>
        <w:t xml:space="preserve">s </w:t>
      </w:r>
      <w:r>
        <w:rPr>
          <w:lang w:eastAsia="zh-CN"/>
        </w:rPr>
        <w:t xml:space="preserve">no surrounding interfering </w:t>
      </w:r>
      <w:r>
        <w:rPr>
          <w:rFonts w:hint="eastAsia"/>
          <w:lang w:eastAsia="zh-CN"/>
        </w:rPr>
        <w:t>BS</w:t>
      </w:r>
      <w:r>
        <w:rPr>
          <w:rFonts w:hint="eastAsia"/>
          <w:lang w:val="en-US" w:eastAsia="zh-CN"/>
        </w:rPr>
        <w:t xml:space="preserve"> with same bands</w:t>
      </w:r>
      <w:r>
        <w:rPr>
          <w:rFonts w:hint="eastAsia"/>
          <w:lang w:eastAsia="zh-CN"/>
        </w:rPr>
        <w:t xml:space="preserve"> existing for </w:t>
      </w:r>
      <w:r>
        <w:rPr>
          <w:lang w:eastAsia="zh-CN"/>
        </w:rPr>
        <w:t>ATG</w:t>
      </w:r>
      <w:r>
        <w:rPr>
          <w:rFonts w:hint="eastAsia"/>
          <w:lang w:eastAsia="zh-CN"/>
        </w:rPr>
        <w:t xml:space="preserve"> BS. B</w:t>
      </w:r>
      <w:r>
        <w:rPr>
          <w:lang w:eastAsia="zh-CN"/>
        </w:rPr>
        <w:t xml:space="preserve">ut </w:t>
      </w:r>
      <w:r>
        <w:rPr>
          <w:rFonts w:hint="eastAsia"/>
          <w:lang w:eastAsia="zh-CN"/>
        </w:rPr>
        <w:t xml:space="preserve">some other </w:t>
      </w:r>
      <w:r>
        <w:rPr>
          <w:lang w:eastAsia="zh-CN"/>
        </w:rPr>
        <w:t>scenarios</w:t>
      </w:r>
      <w:r>
        <w:rPr>
          <w:rFonts w:hint="eastAsia"/>
          <w:lang w:eastAsia="zh-CN"/>
        </w:rPr>
        <w:t xml:space="preserve"> were identified, for example,</w:t>
      </w:r>
      <w:r>
        <w:rPr>
          <w:lang w:eastAsia="zh-CN"/>
        </w:rPr>
        <w:t xml:space="preserve"> interfering signals from other bands or other asynchronous BS, also temporary interferers could occur close to the</w:t>
      </w:r>
      <w:r>
        <w:rPr>
          <w:rFonts w:hint="eastAsia"/>
          <w:lang w:val="en-US" w:eastAsia="zh-CN"/>
        </w:rPr>
        <w:t xml:space="preserve"> ATG</w:t>
      </w:r>
      <w:r>
        <w:rPr>
          <w:lang w:eastAsia="zh-CN"/>
        </w:rPr>
        <w:t xml:space="preserve"> BS. </w:t>
      </w:r>
      <w:r>
        <w:rPr>
          <w:rFonts w:hint="eastAsia"/>
          <w:lang w:eastAsia="zh-CN"/>
        </w:rPr>
        <w:t>Therefore, it was agreed that i</w:t>
      </w:r>
      <w:r>
        <w:rPr>
          <w:lang w:eastAsia="zh-CN"/>
        </w:rPr>
        <w:t>t is important to verify that the ATG BS will</w:t>
      </w:r>
      <w:r>
        <w:rPr>
          <w:rFonts w:hint="eastAsia"/>
          <w:lang w:val="en-US" w:eastAsia="zh-CN"/>
        </w:rPr>
        <w:t xml:space="preserve"> still</w:t>
      </w:r>
      <w:r>
        <w:rPr>
          <w:lang w:eastAsia="zh-CN"/>
        </w:rPr>
        <w:t xml:space="preserve"> meet all emissions requirements, including regulatory requirements robustly.</w:t>
      </w:r>
    </w:p>
    <w:p>
      <w:pPr>
        <w:rPr>
          <w:lang w:eastAsia="zh-CN"/>
        </w:rPr>
      </w:pPr>
      <w:r>
        <w:rPr>
          <w:rFonts w:hint="eastAsia"/>
          <w:lang w:eastAsia="zh-CN"/>
        </w:rPr>
        <w:t xml:space="preserve">It was agreed that the </w:t>
      </w:r>
      <w:r>
        <w:rPr>
          <w:lang w:eastAsia="zh-CN"/>
        </w:rPr>
        <w:t xml:space="preserve">Tx IM requirement in TS 38.104 [5] </w:t>
      </w:r>
      <w:r>
        <w:rPr>
          <w:rFonts w:hint="eastAsia"/>
          <w:lang w:eastAsia="zh-CN"/>
        </w:rPr>
        <w:t>can be reused</w:t>
      </w:r>
      <w:r>
        <w:rPr>
          <w:lang w:eastAsia="zh-CN"/>
        </w:rPr>
        <w:t xml:space="preserve"> to guarantee the performance of the ATG BS.</w:t>
      </w:r>
    </w:p>
    <w:p/>
    <w:p>
      <w:pPr>
        <w:pStyle w:val="4"/>
        <w:rPr>
          <w:lang w:eastAsia="zh-CN"/>
        </w:rPr>
      </w:pPr>
      <w:bookmarkStart w:id="85" w:name="_Toc133498171"/>
      <w:r>
        <w:rPr>
          <w:rFonts w:hint="eastAsia"/>
        </w:rPr>
        <w:t>7.2.</w:t>
      </w:r>
      <w:r>
        <w:rPr>
          <w:rFonts w:hint="eastAsia"/>
          <w:lang w:eastAsia="zh-CN"/>
        </w:rPr>
        <w:t>3</w:t>
      </w:r>
      <w:r>
        <w:rPr>
          <w:rFonts w:hint="eastAsia"/>
        </w:rPr>
        <w:t xml:space="preserve"> </w:t>
      </w:r>
      <w:r>
        <w:rPr>
          <w:rFonts w:hint="eastAsia"/>
          <w:lang w:eastAsia="zh-CN"/>
        </w:rPr>
        <w:t>Rx requirements</w:t>
      </w:r>
      <w:bookmarkEnd w:id="85"/>
    </w:p>
    <w:p>
      <w:pPr>
        <w:keepNext/>
        <w:keepLines/>
        <w:spacing w:before="120" w:after="240"/>
        <w:outlineLvl w:val="3"/>
        <w:rPr>
          <w:rFonts w:ascii="Arial" w:hAnsi="Arial" w:eastAsia="宋体"/>
          <w:sz w:val="24"/>
        </w:rPr>
      </w:pPr>
      <w:r>
        <w:rPr>
          <w:rFonts w:ascii="Arial" w:hAnsi="Arial" w:eastAsia="宋体"/>
          <w:sz w:val="24"/>
        </w:rPr>
        <w:t xml:space="preserve">7.2.3.1 </w:t>
      </w:r>
      <w:bookmarkStart w:id="86" w:name="_Hlk131952176"/>
      <w:r>
        <w:rPr>
          <w:rFonts w:ascii="Arial" w:hAnsi="Arial" w:eastAsia="宋体"/>
          <w:sz w:val="24"/>
        </w:rPr>
        <w:t>Reference sensitivity level</w:t>
      </w:r>
      <w:bookmarkEnd w:id="86"/>
    </w:p>
    <w:p>
      <w:pPr>
        <w:rPr>
          <w:rFonts w:eastAsia="宋体"/>
        </w:rPr>
      </w:pPr>
      <w:r>
        <w:rPr>
          <w:rFonts w:eastAsia="宋体"/>
        </w:rPr>
        <w:t>For reference sensitivity level because it is expected that the BS technology will be the same and hence the noise factor the same. The existing requirements specified in clause 7.2 of TS 38.104[5] can be reused for ATG BS type1-C, 1-H, and clause 10.3 of TS 38.104[5] can be reused for ATG BS type1-O.</w:t>
      </w:r>
    </w:p>
    <w:p>
      <w:pPr>
        <w:keepNext/>
        <w:keepLines/>
        <w:spacing w:before="120" w:after="240"/>
        <w:outlineLvl w:val="3"/>
        <w:rPr>
          <w:rFonts w:ascii="Arial" w:hAnsi="Arial" w:eastAsia="宋体"/>
          <w:sz w:val="24"/>
        </w:rPr>
      </w:pPr>
      <w:r>
        <w:rPr>
          <w:rFonts w:ascii="Arial" w:hAnsi="Arial" w:eastAsia="宋体"/>
          <w:sz w:val="24"/>
        </w:rPr>
        <w:t>7.2.3.2 Dynamic range</w:t>
      </w:r>
    </w:p>
    <w:p>
      <w:pPr>
        <w:rPr>
          <w:rFonts w:eastAsia="宋体"/>
        </w:rPr>
      </w:pPr>
      <w:r>
        <w:rPr>
          <w:rFonts w:eastAsia="宋体"/>
        </w:rPr>
        <w:t xml:space="preserve">For dynamic range because it is based on assumptions on the maximum interference level around the BS. Detailed investigation has not been made, but since the main difference between an ATG BS and TN BS is the tilt, it is not expected to be greater and may be expected sometimes to be similar to a TN BS. </w:t>
      </w:r>
      <w:bookmarkStart w:id="87" w:name="_Hlk134979679"/>
      <w:r>
        <w:rPr>
          <w:rFonts w:eastAsia="宋体"/>
        </w:rPr>
        <w:t>The existing requirements specified in clause 7.3 of TS 38.104[5] can be reused for ATG BS type1-C, 1-H, and clause 10.4 of TS 38.104[5] can be reused for ATG BS type1-O.</w:t>
      </w:r>
      <w:bookmarkEnd w:id="87"/>
    </w:p>
    <w:p>
      <w:pPr>
        <w:keepNext/>
        <w:keepLines/>
        <w:spacing w:before="120" w:after="240"/>
        <w:outlineLvl w:val="3"/>
        <w:rPr>
          <w:rFonts w:ascii="Arial" w:hAnsi="Arial" w:eastAsia="宋体"/>
          <w:sz w:val="24"/>
        </w:rPr>
      </w:pPr>
      <w:bookmarkStart w:id="88" w:name="_Toc133498172"/>
      <w:r>
        <w:rPr>
          <w:rFonts w:ascii="Arial" w:hAnsi="Arial" w:eastAsia="宋体"/>
          <w:sz w:val="24"/>
        </w:rPr>
        <w:t>7.2.3.3 ACS</w:t>
      </w:r>
      <w:bookmarkEnd w:id="88"/>
    </w:p>
    <w:p>
      <w:r>
        <w:t>The co-existence simulations demonstrate that if 46dBc ACS is applied for BS in ATG scenarios then the cross operator interference is acceptable (&lt;5% degradation) in all scenarios. It is desirable to apply the same ACS as TN BS to maximize compatibility with BS hardware platforms. Thus, based on the simulation results, the ATG adjacent channel selectivity (ACS) reuse the existing FR1 ACS (i.e. 46dBc) requirement applied for TN BS. The existing requirements specified in clause 7.4 of TS 38.104[5] can be reused for ATG BS type1-C, 1-H, and clause 10.5 of TS 38.104[5] can be reused for ATG BS type1-O.</w:t>
      </w:r>
    </w:p>
    <w:p>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7.2.3.4 In-band blocking</w:t>
      </w:r>
    </w:p>
    <w:p>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power level of in-band blocking would be also lower than that for the legacy TN BS with beam steering down towards to provide the service on the ground. In addition, considering that it</w:t>
      </w:r>
      <w:r>
        <w:rPr>
          <w:lang w:val="en-US" w:eastAsia="zh-CN"/>
        </w:rPr>
        <w:t>’</w:t>
      </w:r>
      <w:r>
        <w:rPr>
          <w:rFonts w:hint="eastAsia"/>
          <w:lang w:val="en-US" w:eastAsia="zh-CN"/>
        </w:rPr>
        <w:t>s agreed to reuse the FR1 BS ACS requirement [46dBc] for ATG BS, therefore it is also reasonable to reuse the in-band blocking requirement for FR1 WA BS for ATG BS.</w:t>
      </w:r>
    </w:p>
    <w:p>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7.2.3.5 Receiver intermodulation</w:t>
      </w:r>
    </w:p>
    <w:p>
      <w:pPr>
        <w:overflowPunct/>
        <w:autoSpaceDE/>
        <w:autoSpaceDN/>
        <w:adjustRightInd/>
        <w:textAlignment w:val="auto"/>
        <w:rPr>
          <w:rFonts w:eastAsia="宋体"/>
          <w:lang w:val="en-US" w:eastAsia="zh-CN"/>
        </w:rPr>
      </w:pPr>
      <w:r>
        <w:rPr>
          <w:rFonts w:eastAsia="宋体"/>
          <w:lang w:val="en-US" w:eastAsia="zh-CN"/>
        </w:rPr>
        <w:t xml:space="preserve">Regarding the Rx intermodulation,  although it is not likely to have the coexistence scenario in which ATG BS is subject to intermodulation interferers with the </w:t>
      </w:r>
      <w:r>
        <w:rPr>
          <w:rFonts w:hint="eastAsia" w:eastAsia="宋体"/>
          <w:lang w:val="en-US" w:eastAsia="zh-CN"/>
        </w:rPr>
        <w:t xml:space="preserve">power </w:t>
      </w:r>
      <w:r>
        <w:rPr>
          <w:rFonts w:eastAsia="宋体"/>
          <w:lang w:val="en-US" w:eastAsia="zh-CN"/>
        </w:rPr>
        <w:t>levels defined in FR1 WA Rx intermodulation requirement, Rx intermodulation still dimension some aspects of receiver design (e.g. receiver linearity to minimize the interfering signal intermodulation fall into the wanted signal). Therefore, it’ s still useful to keep the receiver intermodulation requirements</w:t>
      </w:r>
      <w:r>
        <w:rPr>
          <w:rFonts w:hint="eastAsia" w:eastAsia="宋体"/>
          <w:lang w:val="en-US" w:eastAsia="zh-CN"/>
        </w:rPr>
        <w:t xml:space="preserve"> and it is agreed to reuse </w:t>
      </w:r>
      <w:r>
        <w:rPr>
          <w:rFonts w:eastAsia="宋体"/>
          <w:lang w:val="en-US" w:eastAsia="zh-CN"/>
        </w:rPr>
        <w:t xml:space="preserve">the </w:t>
      </w:r>
      <w:r>
        <w:rPr>
          <w:rFonts w:hint="eastAsia" w:eastAsia="宋体"/>
          <w:lang w:val="en-US" w:eastAsia="zh-CN"/>
        </w:rPr>
        <w:t>Rx IM requirement for FR1 WA BS for ATG BS.</w:t>
      </w:r>
    </w:p>
    <w:p>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7.2.3.6 Out of band blocking</w:t>
      </w:r>
      <w:r>
        <w:rPr>
          <w:rFonts w:ascii="Arial" w:hAnsi="Arial"/>
          <w:sz w:val="24"/>
          <w:lang w:eastAsia="en-US"/>
        </w:rPr>
        <w:tab/>
      </w:r>
    </w:p>
    <w:p>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OOBB power level would be also lower than that for the legacy TN BS with beam steering down towards to provide the service on the ground, then it</w:t>
      </w:r>
      <w:r>
        <w:rPr>
          <w:lang w:val="en-US" w:eastAsia="zh-CN"/>
        </w:rPr>
        <w:t>’</w:t>
      </w:r>
      <w:r>
        <w:rPr>
          <w:rFonts w:hint="eastAsia"/>
          <w:lang w:val="en-US" w:eastAsia="zh-CN"/>
        </w:rPr>
        <w:t>s sufficient to reuse the existing OOBB requirement defined for Wide Area BS in TS38.104.</w:t>
      </w:r>
    </w:p>
    <w:p>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7.2.3.7 In-channel selectivity</w:t>
      </w:r>
    </w:p>
    <w:p>
      <w:pPr>
        <w:overflowPunct/>
        <w:autoSpaceDE/>
        <w:autoSpaceDN/>
        <w:adjustRightInd/>
        <w:textAlignment w:val="auto"/>
        <w:rPr>
          <w:rFonts w:eastAsia="宋体"/>
          <w:lang w:val="en-US" w:eastAsia="en-US"/>
        </w:rPr>
      </w:pPr>
      <w:r>
        <w:rPr>
          <w:rFonts w:hint="eastAsia"/>
          <w:lang w:val="en-US" w:eastAsia="zh-CN"/>
        </w:rPr>
        <w:t>Since the IoT level of ATG BS is supposed to quite low compared with IoT level of the legacy TN BS. In addition, considering that noise figure for WA BS and FRC could be reused for ATG BS, then  it</w:t>
      </w:r>
      <w:r>
        <w:rPr>
          <w:lang w:val="en-US" w:eastAsia="zh-CN"/>
        </w:rPr>
        <w:t>’</w:t>
      </w:r>
      <w:r>
        <w:rPr>
          <w:rFonts w:hint="eastAsia"/>
          <w:lang w:val="en-US" w:eastAsia="zh-CN"/>
        </w:rPr>
        <w:t>s sufficient to reuse the existing requirement for Wide Area BS defined in TS 38.104.</w:t>
      </w:r>
    </w:p>
    <w:p>
      <w:pPr>
        <w:rPr>
          <w:lang w:val="en-US"/>
        </w:rPr>
      </w:pPr>
    </w:p>
    <w:p>
      <w:pPr>
        <w:pStyle w:val="2"/>
        <w:rPr>
          <w:lang w:val="sv-SE" w:eastAsia="zh-CN"/>
        </w:rPr>
      </w:pPr>
      <w:bookmarkStart w:id="89" w:name="_Toc133498177"/>
      <w:r>
        <w:rPr>
          <w:rFonts w:hint="eastAsia"/>
          <w:lang w:val="sv-SE" w:eastAsia="zh-CN"/>
        </w:rPr>
        <w:t>8</w:t>
      </w:r>
      <w:r>
        <w:rPr>
          <w:lang w:val="sv-SE"/>
        </w:rPr>
        <w:tab/>
      </w:r>
      <w:r>
        <w:rPr>
          <w:rFonts w:hint="eastAsia"/>
          <w:lang w:val="sv-SE" w:eastAsia="zh-CN"/>
        </w:rPr>
        <w:t>RRM requirements</w:t>
      </w:r>
      <w:bookmarkEnd w:id="89"/>
    </w:p>
    <w:p>
      <w:pPr>
        <w:keepNext/>
        <w:keepLines/>
        <w:spacing w:before="120"/>
        <w:ind w:left="1134" w:hanging="1134"/>
        <w:outlineLvl w:val="2"/>
        <w:rPr>
          <w:rFonts w:ascii="Arial" w:hAnsi="Arial" w:eastAsia="宋体"/>
          <w:sz w:val="28"/>
        </w:rPr>
      </w:pPr>
      <w:r>
        <w:rPr>
          <w:rFonts w:ascii="Arial" w:hAnsi="Arial" w:eastAsia="宋体"/>
          <w:sz w:val="28"/>
        </w:rPr>
        <w:t>8.1 General</w:t>
      </w:r>
    </w:p>
    <w:p>
      <w:pPr>
        <w:overflowPunct/>
        <w:autoSpaceDE/>
        <w:autoSpaceDN/>
        <w:adjustRightInd/>
        <w:spacing w:after="0"/>
        <w:jc w:val="both"/>
        <w:textAlignment w:val="auto"/>
        <w:rPr>
          <w:rFonts w:eastAsia="宋体" w:cs="Courier New"/>
          <w:szCs w:val="24"/>
          <w:lang w:val="en-US" w:eastAsia="zh-CN"/>
        </w:rPr>
      </w:pPr>
      <w:r>
        <w:rPr>
          <w:rFonts w:hint="eastAsia" w:eastAsia="宋体" w:cs="Courier New"/>
          <w:szCs w:val="24"/>
          <w:lang w:val="en-US" w:eastAsia="zh-CN"/>
        </w:rPr>
        <w:t>I</w:t>
      </w:r>
      <w:r>
        <w:rPr>
          <w:rFonts w:eastAsia="宋体" w:cs="Courier New"/>
          <w:szCs w:val="24"/>
          <w:lang w:val="en-US" w:eastAsia="zh-CN"/>
        </w:rPr>
        <w:t>n R18, the WI on ATG doesn’t consider FR2, CA/DC and inter-RAT measurement scenario, the corresponding requirements are not applicable for R18 ATG. In light of ATG characteristics (e.g. ISD assumption of [14]-200km, maximum UE speed of 1200km/h, maximum distance between UE and BS is greater than [200]km), some RRM requirements are different from legacy ground-based network requirements, as listed in table 8-1.</w:t>
      </w:r>
    </w:p>
    <w:p>
      <w:pPr>
        <w:overflowPunct/>
        <w:autoSpaceDE/>
        <w:autoSpaceDN/>
        <w:adjustRightInd/>
        <w:spacing w:after="0"/>
        <w:jc w:val="both"/>
        <w:textAlignment w:val="auto"/>
        <w:rPr>
          <w:rFonts w:eastAsia="宋体" w:cs="Courier New"/>
          <w:szCs w:val="24"/>
          <w:lang w:val="en-US" w:eastAsia="zh-CN"/>
        </w:rPr>
      </w:pPr>
      <w:r>
        <w:rPr>
          <w:rFonts w:eastAsia="宋体" w:cs="Courier New"/>
          <w:szCs w:val="24"/>
          <w:lang w:val="en-US" w:eastAsia="zh-CN"/>
        </w:rPr>
        <w:t xml:space="preserve">&lt;Editor’s </w:t>
      </w:r>
      <w:r>
        <w:rPr>
          <w:rFonts w:hint="eastAsia" w:eastAsia="宋体" w:cs="Courier New"/>
          <w:szCs w:val="24"/>
          <w:lang w:val="en-US" w:eastAsia="zh-CN"/>
        </w:rPr>
        <w:t>N</w:t>
      </w:r>
      <w:r>
        <w:rPr>
          <w:rFonts w:eastAsia="宋体" w:cs="Courier New"/>
          <w:szCs w:val="24"/>
          <w:lang w:val="en-US" w:eastAsia="zh-CN"/>
        </w:rPr>
        <w:t>ote: In table 8-1, the RRM requirements with square brackets are still under discussion, which may be updated according to the latest agreements. &gt;</w:t>
      </w:r>
    </w:p>
    <w:p>
      <w:pPr>
        <w:overflowPunct/>
        <w:autoSpaceDE/>
        <w:autoSpaceDN/>
        <w:adjustRightInd/>
        <w:spacing w:after="0"/>
        <w:jc w:val="center"/>
        <w:textAlignment w:val="auto"/>
        <w:rPr>
          <w:rFonts w:eastAsia="宋体" w:cs="Courier New"/>
          <w:b/>
          <w:bCs/>
          <w:szCs w:val="24"/>
          <w:lang w:val="en-US" w:eastAsia="zh-CN"/>
        </w:rPr>
      </w:pPr>
      <w:r>
        <w:rPr>
          <w:rFonts w:hint="eastAsia" w:eastAsia="宋体" w:cs="Courier New"/>
          <w:b/>
          <w:bCs/>
          <w:szCs w:val="24"/>
          <w:lang w:val="en-US" w:eastAsia="zh-CN"/>
        </w:rPr>
        <w:t>T</w:t>
      </w:r>
      <w:r>
        <w:rPr>
          <w:rFonts w:eastAsia="宋体" w:cs="Courier New"/>
          <w:b/>
          <w:bCs/>
          <w:szCs w:val="24"/>
          <w:lang w:val="en-US" w:eastAsia="zh-CN"/>
        </w:rPr>
        <w:t>able 8-1: RRM requirements for R18 ATG which are different from legacy ground-based network requirements</w:t>
      </w:r>
    </w:p>
    <w:tbl>
      <w:tblPr>
        <w:tblStyle w:val="13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3119"/>
        <w:gridCol w:w="31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trHeight w:val="315" w:hRule="atLeast"/>
          <w:jc w:val="center"/>
        </w:trPr>
        <w:tc>
          <w:tcPr>
            <w:tcW w:w="1838" w:type="dxa"/>
            <w:vAlign w:val="center"/>
          </w:tcPr>
          <w:p>
            <w:pPr>
              <w:overflowPunct/>
              <w:autoSpaceDE/>
              <w:autoSpaceDN/>
              <w:adjustRightInd/>
              <w:spacing w:after="0"/>
              <w:textAlignment w:val="auto"/>
              <w:rPr>
                <w:rFonts w:eastAsia="宋体" w:cs="Courier New"/>
                <w:szCs w:val="24"/>
                <w:lang w:val="en-US" w:eastAsia="zh-CN"/>
              </w:rPr>
            </w:pPr>
            <w:r>
              <w:rPr>
                <w:rFonts w:eastAsia="宋体" w:cs="Arial"/>
                <w:szCs w:val="24"/>
                <w:lang w:val="en-US" w:eastAsia="zh-CN"/>
              </w:rPr>
              <w:t>Requirement</w:t>
            </w:r>
          </w:p>
        </w:tc>
        <w:tc>
          <w:tcPr>
            <w:tcW w:w="3119" w:type="dxa"/>
          </w:tcPr>
          <w:p>
            <w:pPr>
              <w:overflowPunct/>
              <w:autoSpaceDE/>
              <w:autoSpaceDN/>
              <w:adjustRightInd/>
              <w:spacing w:after="0"/>
              <w:textAlignment w:val="auto"/>
              <w:rPr>
                <w:rFonts w:eastAsia="宋体" w:cs="Arial"/>
                <w:szCs w:val="24"/>
                <w:lang w:val="en-US" w:eastAsia="zh-CN"/>
              </w:rPr>
            </w:pPr>
            <w:r>
              <w:rPr>
                <w:rFonts w:hint="eastAsia" w:eastAsia="宋体" w:cs="Arial"/>
                <w:szCs w:val="24"/>
                <w:lang w:val="en-US" w:eastAsia="zh-CN"/>
              </w:rPr>
              <w:t>I</w:t>
            </w:r>
            <w:r>
              <w:rPr>
                <w:rFonts w:eastAsia="宋体" w:cs="Arial"/>
                <w:szCs w:val="24"/>
                <w:lang w:val="en-US" w:eastAsia="zh-CN"/>
              </w:rPr>
              <w:t>tem</w:t>
            </w:r>
          </w:p>
        </w:tc>
        <w:tc>
          <w:tcPr>
            <w:tcW w:w="3118" w:type="dxa"/>
            <w:vAlign w:val="center"/>
          </w:tcPr>
          <w:p>
            <w:pPr>
              <w:overflowPunct/>
              <w:autoSpaceDE/>
              <w:autoSpaceDN/>
              <w:adjustRightInd/>
              <w:spacing w:after="0"/>
              <w:textAlignment w:val="auto"/>
              <w:rPr>
                <w:rFonts w:eastAsia="宋体" w:cs="Courier New"/>
                <w:szCs w:val="24"/>
                <w:lang w:val="en-US" w:eastAsia="zh-CN"/>
              </w:rPr>
            </w:pPr>
            <w:r>
              <w:rPr>
                <w:rFonts w:eastAsia="宋体" w:cs="Arial"/>
                <w:szCs w:val="24"/>
                <w:lang w:val="en-US" w:eastAsia="zh-CN"/>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restart"/>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Cell re-selection</w:t>
            </w:r>
          </w:p>
        </w:tc>
        <w:tc>
          <w:tcPr>
            <w:tcW w:w="3119" w:type="dxa"/>
          </w:tcPr>
          <w:p>
            <w:pPr>
              <w:overflowPunct/>
              <w:autoSpaceDE/>
              <w:autoSpaceDN/>
              <w:adjustRightInd/>
              <w:spacing w:after="0"/>
              <w:textAlignment w:val="auto"/>
              <w:rPr>
                <w:rFonts w:eastAsia="宋体" w:cs="Courier New"/>
                <w:szCs w:val="24"/>
                <w:lang w:val="en-US" w:eastAsia="zh-CN"/>
              </w:rPr>
            </w:pPr>
          </w:p>
        </w:tc>
        <w:tc>
          <w:tcPr>
            <w:tcW w:w="3118" w:type="dxa"/>
          </w:tcPr>
          <w:p>
            <w:pPr>
              <w:overflowPunct/>
              <w:autoSpaceDE/>
              <w:autoSpaceDN/>
              <w:adjustRightInd/>
              <w:spacing w:after="0"/>
              <w:textAlignment w:val="auto"/>
              <w:rPr>
                <w:rFonts w:eastAsia="宋体" w:cs="Courier New"/>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hint="default" w:cs="Courier New"/>
                <w:szCs w:val="24"/>
                <w:lang w:val="en-US" w:eastAsia="zh-CN"/>
              </w:rPr>
            </w:pPr>
            <w:r>
              <w:rPr>
                <w:rFonts w:cs="Courier New"/>
                <w:szCs w:val="24"/>
                <w:lang w:val="en-US" w:eastAsia="zh-CN"/>
              </w:rPr>
              <w:t>Cell re-selection measurement requirements for int</w:t>
            </w:r>
            <w:r>
              <w:rPr>
                <w:rFonts w:hint="eastAsia" w:cs="Courier New"/>
                <w:szCs w:val="24"/>
                <w:lang w:val="en-US" w:eastAsia="zh-CN"/>
              </w:rPr>
              <w:t>ra</w:t>
            </w:r>
            <w:r>
              <w:rPr>
                <w:rFonts w:cs="Courier New"/>
                <w:szCs w:val="24"/>
                <w:lang w:val="en-US" w:eastAsia="zh-CN"/>
              </w:rPr>
              <w:t>-frequency measurement</w:t>
            </w:r>
          </w:p>
        </w:tc>
        <w:tc>
          <w:tcPr>
            <w:tcW w:w="3118" w:type="dxa"/>
          </w:tcPr>
          <w:p>
            <w:pPr>
              <w:pStyle w:val="105"/>
              <w:numPr>
                <w:ilvl w:val="-1"/>
                <w:numId w:val="0"/>
              </w:numPr>
              <w:spacing w:after="180"/>
              <w:ind w:left="0" w:firstLine="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lang w:eastAsia="ja-JP"/>
              </w:rPr>
              <w:t xml:space="preserve">Introduce </w:t>
            </w:r>
            <w:r>
              <w:rPr>
                <w:rFonts w:hint="eastAsia" w:ascii="Times New Roman" w:hAnsi="Times New Roman" w:eastAsia="宋体" w:cs="Times New Roman"/>
                <w:sz w:val="20"/>
                <w:szCs w:val="20"/>
              </w:rPr>
              <w:t>scaling factor N for L3 measurements for ATG UEs with [antenna arrays]</w:t>
            </w:r>
          </w:p>
          <w:p>
            <w:pPr>
              <w:pStyle w:val="105"/>
              <w:numPr>
                <w:ilvl w:val="0"/>
                <w:numId w:val="5"/>
              </w:numPr>
              <w:spacing w:after="180"/>
              <w:ind w:left="816" w:leftChars="0" w:hanging="36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rPr>
              <w:t xml:space="preserve">N = </w:t>
            </w:r>
            <w:r>
              <w:rPr>
                <w:rFonts w:hint="eastAsia" w:ascii="Times New Roman" w:hAnsi="Times New Roman" w:eastAsia="宋体" w:cs="Times New Roman"/>
                <w:sz w:val="20"/>
                <w:szCs w:val="20"/>
                <w:lang w:val="en-US" w:eastAsia="zh-CN"/>
              </w:rPr>
              <w:t>3</w:t>
            </w:r>
            <w:r>
              <w:rPr>
                <w:rFonts w:hint="eastAsia" w:ascii="Times New Roman" w:hAnsi="Times New Roman" w:eastAsia="宋体" w:cs="Times New Roman"/>
                <w:sz w:val="20"/>
                <w:szCs w:val="20"/>
              </w:rPr>
              <w:t xml:space="preserve"> for the case when network assistance on ATG cells reference locations is provided</w:t>
            </w:r>
          </w:p>
          <w:p>
            <w:pPr>
              <w:pStyle w:val="105"/>
              <w:numPr>
                <w:ilvl w:val="0"/>
                <w:numId w:val="5"/>
              </w:numPr>
              <w:spacing w:after="180"/>
              <w:ind w:left="816" w:leftChars="0" w:hanging="36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rPr>
              <w:t>N = 4 otherwise</w:t>
            </w:r>
          </w:p>
          <w:p>
            <w:pPr>
              <w:numPr>
                <w:ilvl w:val="0"/>
                <w:numId w:val="0"/>
              </w:numPr>
              <w:overflowPunct/>
              <w:autoSpaceDE/>
              <w:autoSpaceDN/>
              <w:adjustRightInd/>
              <w:spacing w:after="0"/>
              <w:textAlignment w:val="auto"/>
              <w:rPr>
                <w:rFonts w:hint="default" w:eastAsia="宋体" w:cs="Courier New"/>
                <w:iCs/>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eastAsia="宋体" w:cs="Courier New"/>
                <w:szCs w:val="24"/>
                <w:lang w:val="en-US" w:eastAsia="zh-CN"/>
              </w:rPr>
            </w:pPr>
            <w:r>
              <w:rPr>
                <w:rFonts w:cs="Courier New"/>
                <w:szCs w:val="24"/>
                <w:lang w:val="en-US" w:eastAsia="zh-CN"/>
              </w:rPr>
              <w:t>Cell re-selection measurement requirements for inter-frequency measurement</w:t>
            </w:r>
          </w:p>
        </w:tc>
        <w:tc>
          <w:tcPr>
            <w:tcW w:w="3118" w:type="dxa"/>
          </w:tcPr>
          <w:p>
            <w:pPr>
              <w:overflowPunct/>
              <w:autoSpaceDE/>
              <w:autoSpaceDN/>
              <w:adjustRightInd/>
              <w:spacing w:after="0"/>
              <w:textAlignment w:val="auto"/>
              <w:rPr>
                <w:rFonts w:eastAsia="宋体" w:cs="Courier New"/>
                <w:szCs w:val="20"/>
                <w:lang w:val="en-US" w:eastAsia="zh-CN"/>
              </w:rPr>
            </w:pPr>
            <w:r>
              <w:rPr>
                <w:rFonts w:eastAsia="宋体" w:cs="Courier New"/>
                <w:iCs/>
                <w:sz w:val="20"/>
                <w:szCs w:val="20"/>
                <w:lang w:val="en-US" w:eastAsia="zh-CN"/>
              </w:rPr>
              <w:t>Define two set of cell detection requirements for ATG</w:t>
            </w:r>
          </w:p>
          <w:p>
            <w:pPr>
              <w:numPr>
                <w:ilvl w:val="0"/>
                <w:numId w:val="6"/>
              </w:numPr>
              <w:overflowPunct/>
              <w:autoSpaceDE/>
              <w:autoSpaceDN/>
              <w:adjustRightInd/>
              <w:spacing w:after="0"/>
              <w:ind w:left="420" w:hanging="420"/>
              <w:textAlignment w:val="auto"/>
              <w:rPr>
                <w:rFonts w:eastAsia="宋体" w:cs="Courier New"/>
                <w:iCs/>
                <w:szCs w:val="24"/>
                <w:lang w:val="en-US" w:eastAsia="zh-CN"/>
              </w:rPr>
            </w:pPr>
            <w:r>
              <w:rPr>
                <w:rFonts w:eastAsia="宋体" w:cs="Courier New"/>
                <w:iCs/>
                <w:szCs w:val="24"/>
                <w:lang w:val="en-US" w:eastAsia="zh-CN"/>
              </w:rPr>
              <w:t xml:space="preserve">Set 1: legacy R15 cell-reselection requirement </w:t>
            </w:r>
          </w:p>
          <w:p>
            <w:pPr>
              <w:numPr>
                <w:ilvl w:val="0"/>
                <w:numId w:val="6"/>
              </w:numPr>
              <w:overflowPunct/>
              <w:autoSpaceDE/>
              <w:autoSpaceDN/>
              <w:adjustRightInd/>
              <w:spacing w:after="0"/>
              <w:ind w:left="420" w:hanging="420"/>
              <w:textAlignment w:val="auto"/>
              <w:rPr>
                <w:rFonts w:hint="default" w:eastAsia="宋体" w:cs="Courier New"/>
                <w:iCs/>
                <w:szCs w:val="24"/>
                <w:lang w:val="en-US" w:eastAsia="zh-CN"/>
              </w:rPr>
            </w:pPr>
            <w:r>
              <w:rPr>
                <w:rFonts w:eastAsia="宋体" w:cs="Courier New"/>
                <w:iCs/>
                <w:szCs w:val="24"/>
                <w:lang w:val="en-US" w:eastAsia="zh-CN"/>
              </w:rPr>
              <w:t>Set 2: R17 HST cell-reselection requirement</w:t>
            </w:r>
          </w:p>
          <w:p>
            <w:pPr>
              <w:numPr>
                <w:ilvl w:val="0"/>
                <w:numId w:val="0"/>
              </w:numPr>
              <w:overflowPunct/>
              <w:autoSpaceDE/>
              <w:autoSpaceDN/>
              <w:adjustRightInd/>
              <w:spacing w:after="0"/>
              <w:textAlignment w:val="auto"/>
              <w:rPr>
                <w:rFonts w:hint="default" w:eastAsia="宋体" w:cs="Courier New"/>
                <w:iCs/>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restart"/>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Conditional handover</w:t>
            </w:r>
          </w:p>
        </w:tc>
        <w:tc>
          <w:tcPr>
            <w:tcW w:w="3119"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Conditional handover mechanism</w:t>
            </w:r>
          </w:p>
        </w:tc>
        <w:tc>
          <w:tcPr>
            <w:tcW w:w="3118"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Introduce location-based CHO for ATG, reusing the procedure in R17 NTN for R18 ATG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restart"/>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UE transmit timing</w:t>
            </w:r>
          </w:p>
        </w:tc>
        <w:tc>
          <w:tcPr>
            <w:tcW w:w="3119"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Initial transmit timing requirements T</w:t>
            </w:r>
            <w:r>
              <w:rPr>
                <w:rFonts w:eastAsia="宋体" w:cs="Courier New"/>
                <w:szCs w:val="24"/>
                <w:vertAlign w:val="subscript"/>
                <w:lang w:val="en-US" w:eastAsia="zh-CN"/>
              </w:rPr>
              <w:t>e</w:t>
            </w:r>
          </w:p>
        </w:tc>
        <w:tc>
          <w:tcPr>
            <w:tcW w:w="3118"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Involve UE pre-compensation timing error</w:t>
            </w:r>
            <w:r>
              <w:rPr>
                <w:rFonts w:hint="eastAsia" w:eastAsia="宋体" w:cs="Courier New"/>
                <w:szCs w:val="24"/>
                <w:lang w:val="en-US" w:eastAsia="zh-CN"/>
              </w:rPr>
              <w:t>,</w:t>
            </w:r>
            <w:r>
              <w:rPr>
                <w:rFonts w:eastAsia="宋体" w:cs="Courier New"/>
                <w:szCs w:val="24"/>
                <w:lang w:val="en-US" w:eastAsia="zh-CN"/>
              </w:rPr>
              <w:t xml:space="preserve"> GNSS error=40m is assumed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T</w:t>
            </w:r>
            <w:r>
              <w:rPr>
                <w:rFonts w:eastAsia="宋体" w:cs="Courier New"/>
                <w:szCs w:val="24"/>
                <w:lang w:val="en-US" w:eastAsia="zh-CN"/>
              </w:rPr>
              <w:t>iming advance adjustment delay requirement</w:t>
            </w:r>
          </w:p>
        </w:tc>
        <w:tc>
          <w:tcPr>
            <w:tcW w:w="3118"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Introduce the mechanism of K</w:t>
            </w:r>
            <w:r>
              <w:rPr>
                <w:rFonts w:eastAsia="宋体" w:cs="Courier New"/>
                <w:szCs w:val="24"/>
                <w:vertAlign w:val="subscript"/>
                <w:lang w:val="en-US" w:eastAsia="zh-CN"/>
              </w:rPr>
              <w:t>offset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restart"/>
          </w:tcPr>
          <w:p>
            <w:pPr>
              <w:overflowPunct/>
              <w:autoSpaceDE/>
              <w:autoSpaceDN/>
              <w:adjustRightInd/>
              <w:spacing w:after="0"/>
              <w:textAlignment w:val="auto"/>
              <w:rPr>
                <w:rFonts w:hint="eastAsia" w:eastAsia="宋体" w:cs="Courier New"/>
                <w:szCs w:val="24"/>
                <w:lang w:val="en-US" w:eastAsia="zh-CN"/>
              </w:rPr>
            </w:pPr>
            <w:r>
              <w:t>Signalling characteristics</w:t>
            </w:r>
          </w:p>
        </w:tc>
        <w:tc>
          <w:tcPr>
            <w:tcW w:w="3119" w:type="dxa"/>
          </w:tcPr>
          <w:p>
            <w:pPr>
              <w:numPr>
                <w:ilvl w:val="-1"/>
                <w:numId w:val="0"/>
              </w:numPr>
              <w:spacing w:before="0" w:after="180"/>
              <w:ind w:left="0" w:leftChars="0" w:firstLine="0" w:firstLineChars="0"/>
              <w:jc w:val="left"/>
              <w:rPr>
                <w:rFonts w:hint="default" w:eastAsia="宋体" w:cs="Courier New"/>
                <w:b w:val="0"/>
                <w:bCs w:val="0"/>
                <w:i w:val="0"/>
                <w:iCs w:val="0"/>
                <w:sz w:val="20"/>
                <w:szCs w:val="24"/>
                <w:u w:val="none"/>
                <w:lang w:val="en-US" w:eastAsia="zh-CN"/>
              </w:rPr>
            </w:pPr>
            <w:r>
              <w:rPr>
                <w:rFonts w:hint="eastAsia" w:eastAsia="宋体" w:cs="Courier New"/>
                <w:b w:val="0"/>
                <w:bCs w:val="0"/>
                <w:i w:val="0"/>
                <w:iCs w:val="0"/>
                <w:sz w:val="20"/>
                <w:szCs w:val="24"/>
                <w:u w:val="none"/>
                <w:lang w:val="en-US" w:eastAsia="zh-CN"/>
              </w:rPr>
              <w:t>Radio link monitoring</w:t>
            </w:r>
          </w:p>
          <w:p>
            <w:pPr>
              <w:overflowPunct/>
              <w:autoSpaceDE/>
              <w:autoSpaceDN/>
              <w:adjustRightInd/>
              <w:spacing w:after="0"/>
              <w:textAlignment w:val="auto"/>
              <w:rPr>
                <w:rFonts w:hint="eastAsia" w:eastAsia="宋体" w:cs="Courier New"/>
                <w:szCs w:val="24"/>
                <w:lang w:val="en-US" w:eastAsia="zh-CN"/>
              </w:rPr>
            </w:pPr>
          </w:p>
        </w:tc>
        <w:tc>
          <w:tcPr>
            <w:tcW w:w="3118" w:type="dxa"/>
          </w:tcPr>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ascii="Times New Roman" w:hAnsi="Times New Roman" w:eastAsia="宋体" w:cs="Times New Roman"/>
                <w:sz w:val="20"/>
                <w:szCs w:val="20"/>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numPr>
                <w:ilvl w:val="0"/>
                <w:numId w:val="0"/>
              </w:numPr>
              <w:overflowPunct/>
              <w:autoSpaceDE/>
              <w:autoSpaceDN/>
              <w:adjustRightInd/>
              <w:spacing w:before="0" w:after="0"/>
              <w:jc w:val="left"/>
              <w:textAlignment w:val="auto"/>
              <w:rPr>
                <w:rFonts w:hint="default" w:eastAsia="宋体" w:cs="Courier New"/>
                <w:szCs w:val="24"/>
                <w:lang w:val="en-US" w:eastAsia="zh-CN"/>
              </w:rPr>
            </w:pPr>
            <w:r>
              <w:rPr>
                <w:rFonts w:hint="eastAsia" w:eastAsia="宋体" w:cs="Courier New"/>
                <w:b w:val="0"/>
                <w:bCs w:val="0"/>
                <w:i w:val="0"/>
                <w:iCs w:val="0"/>
                <w:sz w:val="20"/>
                <w:szCs w:val="24"/>
                <w:u w:val="none"/>
                <w:lang w:val="en-US" w:eastAsia="zh-CN"/>
              </w:rPr>
              <w:t>Link recovery procedures</w:t>
            </w:r>
          </w:p>
        </w:tc>
        <w:tc>
          <w:tcPr>
            <w:tcW w:w="3118"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ascii="Times New Roman" w:hAnsi="Times New Roman" w:eastAsia="宋体" w:cs="Times New Roman"/>
                <w:sz w:val="20"/>
                <w:szCs w:val="20"/>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restart"/>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Measurement procedure and requirements</w:t>
            </w:r>
          </w:p>
        </w:tc>
        <w:tc>
          <w:tcPr>
            <w:tcW w:w="3119" w:type="dxa"/>
          </w:tcPr>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NR intra-frequency measurements</w:t>
            </w:r>
          </w:p>
        </w:tc>
        <w:tc>
          <w:tcPr>
            <w:tcW w:w="3118"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For ATG TDD deployment, ‘deriveSSB-IndexFromCell’ is not always applicable for NR intra-frequency measurement.</w:t>
            </w:r>
          </w:p>
          <w:p>
            <w:pPr>
              <w:pStyle w:val="105"/>
              <w:numPr>
                <w:ilvl w:val="-1"/>
                <w:numId w:val="0"/>
              </w:numPr>
              <w:spacing w:after="180"/>
              <w:ind w:left="0" w:firstLine="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lang w:val="en-US" w:eastAsia="zh-CN"/>
              </w:rPr>
              <w:t xml:space="preserve">For intra-frequency measurements without gap, </w:t>
            </w:r>
            <w:r>
              <w:rPr>
                <w:rFonts w:hint="eastAsia" w:ascii="Times New Roman" w:hAnsi="Times New Roman" w:eastAsia="宋体" w:cs="Times New Roman"/>
                <w:sz w:val="20"/>
                <w:szCs w:val="20"/>
                <w:lang w:eastAsia="ja-JP"/>
              </w:rPr>
              <w:t xml:space="preserve">Introduce </w:t>
            </w:r>
            <w:r>
              <w:rPr>
                <w:rFonts w:hint="eastAsia" w:ascii="Times New Roman" w:hAnsi="Times New Roman" w:eastAsia="宋体" w:cs="Times New Roman"/>
                <w:sz w:val="20"/>
                <w:szCs w:val="20"/>
              </w:rPr>
              <w:t>scaling factor N for L3 measurements for ATG UEs with [antenna arrays]</w:t>
            </w:r>
          </w:p>
          <w:p>
            <w:pPr>
              <w:pStyle w:val="105"/>
              <w:numPr>
                <w:ilvl w:val="0"/>
                <w:numId w:val="5"/>
              </w:numPr>
              <w:spacing w:after="180"/>
              <w:ind w:left="816" w:leftChars="0" w:hanging="36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rPr>
              <w:t xml:space="preserve">N = </w:t>
            </w:r>
            <w:r>
              <w:rPr>
                <w:rFonts w:hint="eastAsia" w:ascii="Times New Roman" w:hAnsi="Times New Roman" w:eastAsia="宋体" w:cs="Times New Roman"/>
                <w:sz w:val="20"/>
                <w:szCs w:val="20"/>
                <w:lang w:val="en-US" w:eastAsia="zh-CN"/>
              </w:rPr>
              <w:t>3</w:t>
            </w:r>
            <w:r>
              <w:rPr>
                <w:rFonts w:hint="eastAsia" w:ascii="Times New Roman" w:hAnsi="Times New Roman" w:eastAsia="宋体" w:cs="Times New Roman"/>
                <w:sz w:val="20"/>
                <w:szCs w:val="20"/>
              </w:rPr>
              <w:t xml:space="preserve"> for the case when network assistance on ATG cells reference locations is provided</w:t>
            </w:r>
          </w:p>
          <w:p>
            <w:pPr>
              <w:pStyle w:val="105"/>
              <w:numPr>
                <w:ilvl w:val="0"/>
                <w:numId w:val="5"/>
              </w:numPr>
              <w:spacing w:after="180"/>
              <w:ind w:left="816" w:leftChars="0" w:hanging="36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rPr>
              <w:t>N = 4 otherwise</w:t>
            </w:r>
          </w:p>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ascii="Times New Roman" w:hAnsi="Times New Roman" w:eastAsia="宋体" w:cs="Times New Roman"/>
                <w:sz w:val="20"/>
                <w:szCs w:val="20"/>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Inter-frequency measurements without measurement gap</w:t>
            </w:r>
          </w:p>
        </w:tc>
        <w:tc>
          <w:tcPr>
            <w:tcW w:w="3118" w:type="dxa"/>
          </w:tcPr>
          <w:p>
            <w:pPr>
              <w:pStyle w:val="105"/>
              <w:numPr>
                <w:ilvl w:val="-1"/>
                <w:numId w:val="0"/>
              </w:numPr>
              <w:spacing w:after="180"/>
              <w:ind w:left="0" w:firstLine="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lang w:eastAsia="ja-JP"/>
              </w:rPr>
              <w:t xml:space="preserve">Introduce </w:t>
            </w:r>
            <w:r>
              <w:rPr>
                <w:rFonts w:hint="eastAsia" w:ascii="Times New Roman" w:hAnsi="Times New Roman" w:eastAsia="宋体" w:cs="Times New Roman"/>
                <w:sz w:val="20"/>
                <w:szCs w:val="20"/>
              </w:rPr>
              <w:t>scaling factor N for L3 measurements for ATG UEs with [antenna arrays]</w:t>
            </w:r>
          </w:p>
          <w:p>
            <w:pPr>
              <w:pStyle w:val="105"/>
              <w:numPr>
                <w:ilvl w:val="0"/>
                <w:numId w:val="5"/>
              </w:numPr>
              <w:spacing w:after="180"/>
              <w:ind w:left="816" w:leftChars="0" w:hanging="36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rPr>
              <w:t xml:space="preserve">N = </w:t>
            </w:r>
            <w:r>
              <w:rPr>
                <w:rFonts w:hint="eastAsia" w:ascii="Times New Roman" w:hAnsi="Times New Roman" w:eastAsia="宋体" w:cs="Times New Roman"/>
                <w:sz w:val="20"/>
                <w:szCs w:val="20"/>
                <w:lang w:val="en-US" w:eastAsia="zh-CN"/>
              </w:rPr>
              <w:t>3</w:t>
            </w:r>
            <w:r>
              <w:rPr>
                <w:rFonts w:hint="eastAsia" w:ascii="Times New Roman" w:hAnsi="Times New Roman" w:eastAsia="宋体" w:cs="Times New Roman"/>
                <w:sz w:val="20"/>
                <w:szCs w:val="20"/>
              </w:rPr>
              <w:t xml:space="preserve"> for the case when network assistance on ATG cells reference locations is provided</w:t>
            </w:r>
          </w:p>
          <w:p>
            <w:pPr>
              <w:pStyle w:val="105"/>
              <w:numPr>
                <w:ilvl w:val="0"/>
                <w:numId w:val="5"/>
              </w:numPr>
              <w:spacing w:after="180"/>
              <w:ind w:left="816" w:leftChars="0" w:hanging="36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rPr>
              <w:t>N = 4 otherwise</w:t>
            </w:r>
          </w:p>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ascii="Times New Roman" w:hAnsi="Times New Roman" w:eastAsia="宋体" w:cs="Times New Roman"/>
                <w:sz w:val="20"/>
                <w:szCs w:val="20"/>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CSI-RS based intra-frequency measurements</w:t>
            </w:r>
          </w:p>
        </w:tc>
        <w:tc>
          <w:tcPr>
            <w:tcW w:w="3118"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 xml:space="preserve">For ATG TDD deployment, ‘deriveSSB-IndexFromCell’ is not always applicable for </w:t>
            </w:r>
            <w:r>
              <w:rPr>
                <w:rFonts w:hint="eastAsia" w:eastAsia="宋体" w:cs="Courier New"/>
                <w:szCs w:val="24"/>
                <w:lang w:val="en-US" w:eastAsia="zh-CN"/>
              </w:rPr>
              <w:t xml:space="preserve">CSI-RS based </w:t>
            </w:r>
            <w:r>
              <w:rPr>
                <w:rFonts w:eastAsia="宋体" w:cs="Courier New"/>
                <w:szCs w:val="24"/>
                <w:lang w:val="en-US" w:eastAsia="zh-CN"/>
              </w:rPr>
              <w:t>intra-frequency measurement.</w:t>
            </w:r>
          </w:p>
          <w:p>
            <w:pPr>
              <w:pStyle w:val="105"/>
              <w:numPr>
                <w:ilvl w:val="-1"/>
                <w:numId w:val="0"/>
              </w:numPr>
              <w:spacing w:after="180"/>
              <w:ind w:left="0" w:firstLine="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lang w:val="en-US" w:eastAsia="zh-CN"/>
              </w:rPr>
              <w:t xml:space="preserve">For intra-frequency measurements without gap, </w:t>
            </w:r>
            <w:r>
              <w:rPr>
                <w:rFonts w:hint="eastAsia" w:ascii="Times New Roman" w:hAnsi="Times New Roman" w:eastAsia="宋体" w:cs="Times New Roman"/>
                <w:sz w:val="20"/>
                <w:szCs w:val="20"/>
                <w:lang w:eastAsia="ja-JP"/>
              </w:rPr>
              <w:t xml:space="preserve">Introduce </w:t>
            </w:r>
            <w:r>
              <w:rPr>
                <w:rFonts w:hint="eastAsia" w:ascii="Times New Roman" w:hAnsi="Times New Roman" w:eastAsia="宋体" w:cs="Times New Roman"/>
                <w:sz w:val="20"/>
                <w:szCs w:val="20"/>
              </w:rPr>
              <w:t>scaling factor N for L3 measurements for ATG UEs with [antenna arrays]</w:t>
            </w:r>
          </w:p>
          <w:p>
            <w:pPr>
              <w:pStyle w:val="105"/>
              <w:numPr>
                <w:ilvl w:val="0"/>
                <w:numId w:val="5"/>
              </w:numPr>
              <w:spacing w:after="180"/>
              <w:ind w:left="816" w:leftChars="0" w:hanging="36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rPr>
              <w:t xml:space="preserve">N = </w:t>
            </w:r>
            <w:r>
              <w:rPr>
                <w:rFonts w:hint="eastAsia" w:ascii="Times New Roman" w:hAnsi="Times New Roman" w:eastAsia="宋体" w:cs="Times New Roman"/>
                <w:sz w:val="20"/>
                <w:szCs w:val="20"/>
                <w:lang w:val="en-US" w:eastAsia="zh-CN"/>
              </w:rPr>
              <w:t>3</w:t>
            </w:r>
            <w:r>
              <w:rPr>
                <w:rFonts w:hint="eastAsia" w:ascii="Times New Roman" w:hAnsi="Times New Roman" w:eastAsia="宋体" w:cs="Times New Roman"/>
                <w:sz w:val="20"/>
                <w:szCs w:val="20"/>
              </w:rPr>
              <w:t xml:space="preserve"> for the case when network assistance on ATG cells reference locations is provided</w:t>
            </w:r>
          </w:p>
          <w:p>
            <w:pPr>
              <w:pStyle w:val="105"/>
              <w:numPr>
                <w:ilvl w:val="0"/>
                <w:numId w:val="5"/>
              </w:numPr>
              <w:spacing w:after="180"/>
              <w:ind w:left="816" w:leftChars="0" w:hanging="360" w:firstLineChars="0"/>
              <w:rPr>
                <w:rFonts w:hint="eastAsia" w:ascii="Times New Roman" w:hAnsi="Times New Roman" w:eastAsia="宋体" w:cs="Times New Roman"/>
                <w:sz w:val="20"/>
                <w:szCs w:val="20"/>
                <w:lang w:eastAsia="ja-JP"/>
              </w:rPr>
            </w:pPr>
            <w:r>
              <w:rPr>
                <w:rFonts w:hint="eastAsia" w:ascii="Times New Roman" w:hAnsi="Times New Roman" w:eastAsia="宋体" w:cs="Times New Roman"/>
                <w:sz w:val="20"/>
                <w:szCs w:val="20"/>
              </w:rPr>
              <w:t>N = 4 otherwise</w:t>
            </w:r>
          </w:p>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ascii="Times New Roman" w:hAnsi="Times New Roman" w:eastAsia="宋体" w:cs="Times New Roman"/>
                <w:sz w:val="20"/>
                <w:szCs w:val="20"/>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numPr>
                <w:ilvl w:val="0"/>
                <w:numId w:val="0"/>
              </w:numPr>
              <w:overflowPunct/>
              <w:autoSpaceDE/>
              <w:autoSpaceDN/>
              <w:adjustRightInd/>
              <w:spacing w:before="60" w:after="180"/>
              <w:jc w:val="both"/>
              <w:textAlignment w:val="auto"/>
              <w:rPr>
                <w:rFonts w:hint="default" w:eastAsia="宋体" w:cs="Courier New"/>
                <w:szCs w:val="24"/>
                <w:lang w:val="en-US" w:eastAsia="zh-CN"/>
              </w:rPr>
            </w:pPr>
            <w:r>
              <w:rPr>
                <w:rFonts w:hint="eastAsia"/>
                <w:bCs/>
                <w:sz w:val="20"/>
                <w:szCs w:val="20"/>
                <w:lang w:val="en-US" w:eastAsia="zh-CN"/>
              </w:rPr>
              <w:t>L1-RSRP/SINR measurements for Reporting</w:t>
            </w:r>
          </w:p>
        </w:tc>
        <w:tc>
          <w:tcPr>
            <w:tcW w:w="3118"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ascii="Times New Roman" w:hAnsi="Times New Roman" w:eastAsia="宋体" w:cs="Times New Roman"/>
                <w:sz w:val="20"/>
                <w:szCs w:val="20"/>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91" w:type="dxa"/>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hint="eastAsia" w:eastAsia="宋体" w:cs="Courier New"/>
                <w:szCs w:val="24"/>
                <w:lang w:val="en-US" w:eastAsia="zh-CN"/>
              </w:rPr>
            </w:pPr>
            <w:r>
              <w:rPr>
                <w:rFonts w:eastAsia="宋体" w:cs="Courier New"/>
                <w:szCs w:val="24"/>
                <w:lang w:val="en-US" w:eastAsia="zh-CN"/>
              </w:rPr>
              <w:t>Scheduling restrictions of UE performing measurements</w:t>
            </w:r>
          </w:p>
        </w:tc>
        <w:tc>
          <w:tcPr>
            <w:tcW w:w="3118" w:type="dxa"/>
          </w:tcPr>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 xml:space="preserve">Introduce additional scheduling restriction for </w:t>
            </w:r>
            <w:r>
              <w:rPr>
                <w:rFonts w:hint="eastAsia" w:ascii="Times New Roman" w:hAnsi="Times New Roman" w:eastAsia="宋体" w:cs="Times New Roman"/>
                <w:sz w:val="20"/>
                <w:szCs w:val="20"/>
              </w:rPr>
              <w:t>ATG UEs with [antenna arrays]</w:t>
            </w:r>
          </w:p>
        </w:tc>
      </w:tr>
    </w:tbl>
    <w:p>
      <w:pPr>
        <w:overflowPunct/>
        <w:autoSpaceDE/>
        <w:autoSpaceDN/>
        <w:adjustRightInd/>
        <w:spacing w:after="0"/>
        <w:jc w:val="center"/>
        <w:textAlignment w:val="auto"/>
        <w:rPr>
          <w:rFonts w:eastAsia="宋体" w:cs="Courier New"/>
          <w:b/>
          <w:bCs/>
          <w:szCs w:val="24"/>
          <w:lang w:val="en-US" w:eastAsia="zh-CN"/>
        </w:rPr>
      </w:pPr>
    </w:p>
    <w:p>
      <w:pPr>
        <w:overflowPunct/>
        <w:autoSpaceDE/>
        <w:autoSpaceDN/>
        <w:adjustRightInd/>
        <w:spacing w:before="120" w:after="0"/>
        <w:jc w:val="both"/>
        <w:textAlignment w:val="auto"/>
        <w:rPr>
          <w:rFonts w:eastAsia="宋体" w:cs="Courier New"/>
          <w:szCs w:val="24"/>
          <w:lang w:val="en-US" w:eastAsia="zh-CN"/>
        </w:rPr>
      </w:pPr>
      <w:r>
        <w:rPr>
          <w:rFonts w:hint="eastAsia" w:eastAsia="宋体" w:cs="Courier New"/>
          <w:szCs w:val="24"/>
          <w:lang w:val="en-US" w:eastAsia="zh-CN"/>
        </w:rPr>
        <w:t>F</w:t>
      </w:r>
      <w:r>
        <w:rPr>
          <w:rFonts w:eastAsia="宋体" w:cs="Courier New"/>
          <w:szCs w:val="24"/>
          <w:lang w:val="en-US" w:eastAsia="zh-CN"/>
        </w:rPr>
        <w:t>or other RRM requirements, no new ATG specific requirements will be defined in R18.</w:t>
      </w:r>
      <w:r>
        <w:rPr>
          <w:rFonts w:hint="eastAsia" w:eastAsia="宋体" w:cs="Courier New"/>
          <w:szCs w:val="24"/>
          <w:lang w:val="en-US" w:eastAsia="zh-CN"/>
        </w:rPr>
        <w:t xml:space="preserve"> </w:t>
      </w:r>
    </w:p>
    <w:p>
      <w:pPr>
        <w:spacing w:before="120"/>
        <w:jc w:val="both"/>
        <w:rPr>
          <w:rFonts w:eastAsiaTheme="minorEastAsia"/>
        </w:rPr>
      </w:pPr>
      <w:r>
        <w:rPr>
          <w:rFonts w:hint="eastAsia" w:eastAsiaTheme="minorEastAsia"/>
        </w:rPr>
        <w:t xml:space="preserve"> </w:t>
      </w:r>
    </w:p>
    <w:p>
      <w:pPr>
        <w:rPr>
          <w:rFonts w:eastAsiaTheme="minorEastAsia"/>
          <w:i/>
          <w:iCs/>
        </w:rPr>
      </w:pPr>
      <w:r>
        <w:rPr>
          <w:rFonts w:hint="eastAsia" w:eastAsiaTheme="minorEastAsia"/>
          <w:i/>
          <w:iCs/>
        </w:rPr>
        <w:t>&lt;</w:t>
      </w:r>
      <w:r>
        <w:rPr>
          <w:rFonts w:eastAsiaTheme="minorEastAsia"/>
          <w:i/>
          <w:iCs/>
        </w:rPr>
        <w:t>Other text to be added&gt;</w:t>
      </w:r>
    </w:p>
    <w:p>
      <w:pPr>
        <w:pStyle w:val="2"/>
        <w:rPr>
          <w:lang w:eastAsia="zh-CN"/>
        </w:rPr>
      </w:pPr>
      <w:bookmarkStart w:id="90" w:name="_Toc473554002"/>
      <w:bookmarkStart w:id="91" w:name="_Toc133498178"/>
      <w:r>
        <w:rPr>
          <w:rFonts w:hint="eastAsia"/>
          <w:lang w:eastAsia="zh-CN"/>
        </w:rPr>
        <w:t>9</w:t>
      </w:r>
      <w:r>
        <w:tab/>
      </w:r>
      <w:bookmarkEnd w:id="90"/>
      <w:bookmarkStart w:id="92" w:name="_Toc473554023"/>
      <w:r>
        <w:rPr>
          <w:rFonts w:hint="eastAsia"/>
          <w:lang w:eastAsia="zh-CN"/>
        </w:rPr>
        <w:t>Conclusion</w:t>
      </w:r>
      <w:bookmarkEnd w:id="91"/>
    </w:p>
    <w:p>
      <w:pPr>
        <w:pStyle w:val="99"/>
        <w:rPr>
          <w:color w:val="auto"/>
          <w:lang w:eastAsia="zh-CN"/>
        </w:rPr>
      </w:pPr>
      <w:r>
        <w:rPr>
          <w:color w:val="auto"/>
        </w:rPr>
        <w:t>&lt;Text to be added&gt;</w:t>
      </w:r>
    </w:p>
    <w:bookmarkEnd w:id="92"/>
    <w:p>
      <w:pPr>
        <w:pStyle w:val="2"/>
        <w:ind w:left="0" w:firstLine="0"/>
        <w:rPr>
          <w:lang w:eastAsia="zh-CN"/>
        </w:rPr>
      </w:pPr>
      <w:bookmarkStart w:id="93" w:name="_Toc473554024"/>
      <w:bookmarkStart w:id="94" w:name="_Toc133498179"/>
      <w:r>
        <w:rPr>
          <w:rFonts w:hint="eastAsia"/>
          <w:lang w:eastAsia="zh-CN"/>
        </w:rPr>
        <w:t>1</w:t>
      </w:r>
      <w:r>
        <w:rPr>
          <w:rFonts w:hint="eastAsia"/>
        </w:rPr>
        <w:t>0</w:t>
      </w:r>
      <w:r>
        <w:tab/>
      </w:r>
      <w:r>
        <w:t>Required changes to NR</w:t>
      </w:r>
      <w:bookmarkEnd w:id="93"/>
      <w:r>
        <w:rPr>
          <w:rFonts w:hint="eastAsia"/>
        </w:rPr>
        <w:t xml:space="preserve">, </w:t>
      </w:r>
      <w:r>
        <w:t>E-UTRA, UTRA and MSR specifications</w:t>
      </w:r>
      <w:bookmarkEnd w:id="94"/>
    </w:p>
    <w:p>
      <w:r>
        <w:t xml:space="preserve">The required changes to the 3GPP specifications for the </w:t>
      </w:r>
      <w:r>
        <w:rPr>
          <w:rFonts w:hint="eastAsia"/>
          <w:lang w:eastAsia="zh-CN"/>
        </w:rPr>
        <w:t xml:space="preserve">ATG </w:t>
      </w:r>
      <w:r>
        <w:t xml:space="preserve">are summarised in a Table </w:t>
      </w:r>
      <w:r>
        <w:rPr>
          <w:rFonts w:hint="eastAsia"/>
          <w:lang w:eastAsia="zh-CN"/>
        </w:rPr>
        <w:t>10</w:t>
      </w:r>
      <w:r>
        <w:t>-1.</w:t>
      </w:r>
    </w:p>
    <w:p>
      <w:pPr>
        <w:pStyle w:val="75"/>
      </w:pPr>
      <w:r>
        <w:t xml:space="preserve">Table </w:t>
      </w:r>
      <w:r>
        <w:rPr>
          <w:rFonts w:hint="eastAsia"/>
          <w:lang w:eastAsia="zh-CN"/>
        </w:rPr>
        <w:t>10</w:t>
      </w:r>
      <w:r>
        <w:t>-1: Overview of 3GPP specifications with required changes</w:t>
      </w:r>
    </w:p>
    <w:tbl>
      <w:tblPr>
        <w:tblStyle w:val="49"/>
        <w:tblW w:w="0" w:type="auto"/>
        <w:tblInd w:w="80" w:type="dxa"/>
        <w:tblLayout w:type="autofit"/>
        <w:tblCellMar>
          <w:top w:w="0" w:type="dxa"/>
          <w:left w:w="0" w:type="dxa"/>
          <w:bottom w:w="0" w:type="dxa"/>
          <w:right w:w="0" w:type="dxa"/>
        </w:tblCellMar>
      </w:tblPr>
      <w:tblGrid>
        <w:gridCol w:w="1021"/>
        <w:gridCol w:w="5448"/>
        <w:gridCol w:w="1134"/>
        <w:gridCol w:w="1639"/>
      </w:tblGrid>
      <w:tr>
        <w:tblPrEx>
          <w:tblCellMar>
            <w:top w:w="0" w:type="dxa"/>
            <w:left w:w="0" w:type="dxa"/>
            <w:bottom w:w="0" w:type="dxa"/>
            <w:right w:w="0" w:type="dxa"/>
          </w:tblCellMar>
        </w:tblPrEx>
        <w:trPr>
          <w:cantSplit/>
        </w:trPr>
        <w:tc>
          <w:tcPr>
            <w:tcW w:w="9242" w:type="dxa"/>
            <w:gridSpan w:val="4"/>
            <w:tcBorders>
              <w:top w:val="single" w:color="auto" w:sz="8" w:space="0"/>
              <w:left w:val="single" w:color="auto" w:sz="8" w:space="0"/>
              <w:bottom w:val="single" w:color="auto" w:sz="8" w:space="0"/>
              <w:right w:val="single" w:color="auto" w:sz="8" w:space="0"/>
            </w:tcBorders>
            <w:tcMar>
              <w:top w:w="0" w:type="dxa"/>
              <w:left w:w="28" w:type="dxa"/>
              <w:bottom w:w="0" w:type="dxa"/>
              <w:right w:w="28" w:type="dxa"/>
            </w:tcMar>
          </w:tcPr>
          <w:p>
            <w:pPr>
              <w:pStyle w:val="66"/>
            </w:pPr>
            <w:r>
              <w:t>Affected existing specifications</w:t>
            </w: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shd w:val="clear" w:color="auto" w:fill="E0E0E0"/>
            <w:tcMar>
              <w:top w:w="0" w:type="dxa"/>
              <w:left w:w="28" w:type="dxa"/>
              <w:bottom w:w="0" w:type="dxa"/>
              <w:right w:w="28" w:type="dxa"/>
            </w:tcMar>
            <w:vAlign w:val="center"/>
          </w:tcPr>
          <w:p>
            <w:pPr>
              <w:pStyle w:val="66"/>
            </w:pPr>
            <w:r>
              <w:t>Spec No.</w:t>
            </w:r>
          </w:p>
        </w:tc>
        <w:tc>
          <w:tcPr>
            <w:tcW w:w="5448" w:type="dxa"/>
            <w:tcBorders>
              <w:top w:val="nil"/>
              <w:left w:val="nil"/>
              <w:bottom w:val="single" w:color="auto" w:sz="8" w:space="0"/>
              <w:right w:val="single" w:color="auto" w:sz="8" w:space="0"/>
            </w:tcBorders>
            <w:shd w:val="clear" w:color="auto" w:fill="E0E0E0"/>
            <w:tcMar>
              <w:top w:w="0" w:type="dxa"/>
              <w:left w:w="28" w:type="dxa"/>
              <w:bottom w:w="0" w:type="dxa"/>
              <w:right w:w="28" w:type="dxa"/>
            </w:tcMar>
            <w:vAlign w:val="center"/>
          </w:tcPr>
          <w:p>
            <w:pPr>
              <w:pStyle w:val="66"/>
            </w:pPr>
            <w:r>
              <w:t>Subject of the CR</w:t>
            </w:r>
          </w:p>
        </w:tc>
        <w:tc>
          <w:tcPr>
            <w:tcW w:w="1134" w:type="dxa"/>
            <w:tcBorders>
              <w:top w:val="nil"/>
              <w:left w:val="nil"/>
              <w:bottom w:val="single" w:color="auto" w:sz="8" w:space="0"/>
              <w:right w:val="single" w:color="auto" w:sz="8" w:space="0"/>
            </w:tcBorders>
            <w:shd w:val="clear" w:color="auto" w:fill="D9D9D9"/>
            <w:tcMar>
              <w:top w:w="0" w:type="dxa"/>
              <w:left w:w="28" w:type="dxa"/>
              <w:bottom w:w="0" w:type="dxa"/>
              <w:right w:w="28" w:type="dxa"/>
            </w:tcMar>
            <w:vAlign w:val="center"/>
          </w:tcPr>
          <w:p>
            <w:pPr>
              <w:pStyle w:val="66"/>
            </w:pPr>
            <w:r>
              <w:t>Comments</w:t>
            </w:r>
          </w:p>
        </w:tc>
        <w:tc>
          <w:tcPr>
            <w:tcW w:w="1639" w:type="dxa"/>
            <w:tcBorders>
              <w:top w:val="nil"/>
              <w:left w:val="nil"/>
              <w:bottom w:val="single" w:color="auto" w:sz="8" w:space="0"/>
              <w:right w:val="single" w:color="auto" w:sz="8" w:space="0"/>
            </w:tcBorders>
            <w:shd w:val="clear" w:color="auto" w:fill="D9D9D9"/>
            <w:tcMar>
              <w:top w:w="0" w:type="dxa"/>
              <w:left w:w="28" w:type="dxa"/>
              <w:bottom w:w="0" w:type="dxa"/>
              <w:right w:w="28" w:type="dxa"/>
            </w:tcMar>
          </w:tcPr>
          <w:p>
            <w:pPr>
              <w:pStyle w:val="66"/>
            </w:pPr>
            <w:r>
              <w:t>CR/TP (Tdoc)</w:t>
            </w: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Height w:val="100" w:hRule="atLeas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single" w:color="auto" w:sz="8" w:space="0"/>
              <w:left w:val="nil"/>
              <w:bottom w:val="single" w:color="auto" w:sz="8" w:space="0"/>
              <w:right w:val="single" w:color="auto" w:sz="8" w:space="0"/>
            </w:tcBorders>
            <w:tcMar>
              <w:top w:w="0" w:type="dxa"/>
              <w:left w:w="28" w:type="dxa"/>
              <w:bottom w:w="0" w:type="dxa"/>
              <w:right w:w="28" w:type="dxa"/>
            </w:tcMar>
            <w:vAlign w:val="center"/>
          </w:tcPr>
          <w:p>
            <w:pPr>
              <w:pStyle w:val="65"/>
              <w:rPr>
                <w:rFonts w:cs="Arial"/>
                <w:snapToGrid w:val="0"/>
                <w:sz w:val="16"/>
                <w:szCs w:val="16"/>
              </w:rPr>
            </w:pPr>
          </w:p>
        </w:tc>
        <w:tc>
          <w:tcPr>
            <w:tcW w:w="1134" w:type="dxa"/>
            <w:tcBorders>
              <w:top w:val="single" w:color="auto" w:sz="8" w:space="0"/>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single" w:color="auto" w:sz="8" w:space="0"/>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5"/>
              <w:jc w:val="center"/>
              <w:rPr>
                <w:rFonts w:cs="Arial"/>
                <w:sz w:val="16"/>
                <w:szCs w:val="16"/>
              </w:rPr>
            </w:pPr>
          </w:p>
        </w:tc>
      </w:tr>
    </w:tbl>
    <w:p/>
    <w:p>
      <w:pPr>
        <w:pStyle w:val="10"/>
        <w:rPr>
          <w:rFonts w:eastAsia="宋体"/>
        </w:rPr>
      </w:pPr>
      <w:bookmarkStart w:id="95" w:name="_Toc482961395"/>
      <w:bookmarkStart w:id="96" w:name="_Toc117668904"/>
      <w:r>
        <w:rPr>
          <w:rFonts w:eastAsia="宋体"/>
        </w:rPr>
        <w:t>Annex</w:t>
      </w:r>
      <w:r>
        <w:rPr>
          <w:rFonts w:eastAsia="宋体"/>
        </w:rPr>
        <w:tab/>
      </w:r>
      <w:r>
        <w:rPr>
          <w:rFonts w:eastAsia="宋体"/>
        </w:rPr>
        <w:t>A:</w:t>
      </w:r>
      <w:r>
        <w:rPr>
          <w:rFonts w:eastAsia="宋体"/>
        </w:rPr>
        <w:tab/>
      </w:r>
      <w:r>
        <w:rPr>
          <w:rFonts w:eastAsia="宋体"/>
        </w:rPr>
        <w:t>Calibration results of ATG components</w:t>
      </w:r>
      <w:bookmarkEnd w:id="95"/>
      <w:bookmarkEnd w:id="96"/>
    </w:p>
    <w:p>
      <w:pPr>
        <w:rPr>
          <w:rFonts w:eastAsia="宋体"/>
        </w:rPr>
      </w:pPr>
      <w:bookmarkStart w:id="97" w:name="_Toc106127750"/>
      <w:bookmarkStart w:id="98" w:name="_Toc115088044"/>
      <w:bookmarkStart w:id="99" w:name="_Toc87889312"/>
      <w:bookmarkStart w:id="100" w:name="_Toc130321879"/>
      <w:bookmarkStart w:id="101" w:name="_Toc130321725"/>
      <w:bookmarkStart w:id="102" w:name="_Toc104210278"/>
      <w:bookmarkStart w:id="103" w:name="_Toc130321571"/>
      <w:bookmarkStart w:id="104" w:name="_Toc104122472"/>
      <w:bookmarkStart w:id="105" w:name="_Toc130322246"/>
      <w:bookmarkStart w:id="106" w:name="_Toc104502990"/>
      <w:bookmarkStart w:id="107" w:name="_Toc115088200"/>
      <w:bookmarkStart w:id="108" w:name="_Toc94170438"/>
    </w:p>
    <w:p>
      <w:pPr>
        <w:pStyle w:val="3"/>
      </w:pPr>
      <w:r>
        <w:t>A.1</w:t>
      </w:r>
      <w:r>
        <w:tab/>
      </w:r>
      <w:r>
        <w:t>Calibration assumptions</w:t>
      </w:r>
      <w:bookmarkEnd w:id="97"/>
      <w:bookmarkEnd w:id="98"/>
      <w:bookmarkEnd w:id="99"/>
      <w:bookmarkEnd w:id="100"/>
      <w:bookmarkEnd w:id="101"/>
      <w:bookmarkEnd w:id="102"/>
      <w:bookmarkEnd w:id="103"/>
      <w:bookmarkEnd w:id="104"/>
      <w:bookmarkEnd w:id="105"/>
      <w:bookmarkEnd w:id="106"/>
      <w:bookmarkEnd w:id="107"/>
      <w:bookmarkEnd w:id="108"/>
    </w:p>
    <w:p>
      <w:pPr>
        <w:rPr>
          <w:rFonts w:eastAsia="宋体"/>
          <w:lang w:eastAsia="zh-CN"/>
        </w:rPr>
      </w:pPr>
    </w:p>
    <w:p>
      <w:pPr>
        <w:pStyle w:val="3"/>
      </w:pPr>
      <w:bookmarkStart w:id="109" w:name="_Toc87889313"/>
      <w:bookmarkStart w:id="110" w:name="_Toc94170439"/>
      <w:bookmarkStart w:id="111" w:name="_Toc115088201"/>
      <w:bookmarkStart w:id="112" w:name="_Toc106127751"/>
      <w:bookmarkStart w:id="113" w:name="_Toc104502991"/>
      <w:bookmarkStart w:id="114" w:name="_Toc115088045"/>
      <w:bookmarkStart w:id="115" w:name="_Toc130321572"/>
      <w:bookmarkStart w:id="116" w:name="_Toc130321726"/>
      <w:bookmarkStart w:id="117" w:name="_Toc104210279"/>
      <w:bookmarkStart w:id="118" w:name="_Toc104122473"/>
      <w:bookmarkStart w:id="119" w:name="_Toc130321880"/>
      <w:bookmarkStart w:id="120" w:name="_Toc130322247"/>
      <w:r>
        <w:t>A.2</w:t>
      </w:r>
      <w:r>
        <w:tab/>
      </w:r>
      <w:r>
        <w:t>Calibration results</w:t>
      </w:r>
      <w:bookmarkEnd w:id="109"/>
      <w:bookmarkEnd w:id="110"/>
      <w:r>
        <w:t xml:space="preserve"> at 2GHz</w:t>
      </w:r>
      <w:bookmarkEnd w:id="111"/>
      <w:bookmarkEnd w:id="112"/>
      <w:bookmarkEnd w:id="113"/>
      <w:bookmarkEnd w:id="114"/>
      <w:bookmarkEnd w:id="115"/>
      <w:bookmarkEnd w:id="116"/>
      <w:bookmarkEnd w:id="117"/>
      <w:bookmarkEnd w:id="118"/>
      <w:bookmarkEnd w:id="119"/>
      <w:bookmarkEnd w:id="120"/>
    </w:p>
    <w:p>
      <w:pPr>
        <w:pStyle w:val="3"/>
        <w:rPr>
          <w:lang w:eastAsia="zh-CN"/>
        </w:rPr>
      </w:pPr>
    </w:p>
    <w:p>
      <w:pPr>
        <w:pStyle w:val="3"/>
      </w:pPr>
      <w:r>
        <w:t>A.3</w:t>
      </w:r>
      <w:r>
        <w:tab/>
      </w:r>
      <w:r>
        <w:t>Calibration results at 4GHz</w:t>
      </w:r>
    </w:p>
    <w:p>
      <w:pPr>
        <w:rPr>
          <w:rFonts w:eastAsia="宋体"/>
          <w:lang w:eastAsia="zh-CN"/>
        </w:rPr>
      </w:pPr>
    </w:p>
    <w:p>
      <w:pPr>
        <w:pStyle w:val="10"/>
        <w:rPr>
          <w:rFonts w:eastAsia="宋体"/>
        </w:rPr>
      </w:pPr>
      <w:bookmarkStart w:id="121" w:name="_Toc115088046"/>
      <w:bookmarkStart w:id="122" w:name="_Toc94170440"/>
      <w:bookmarkStart w:id="123" w:name="_Toc115088202"/>
      <w:bookmarkStart w:id="124" w:name="_Toc104502992"/>
      <w:bookmarkStart w:id="125" w:name="_Toc130321727"/>
      <w:bookmarkStart w:id="126" w:name="_Toc87889314"/>
      <w:bookmarkStart w:id="127" w:name="_Toc130322248"/>
      <w:bookmarkStart w:id="128" w:name="_Toc104210280"/>
      <w:bookmarkStart w:id="129" w:name="_Toc106127752"/>
      <w:bookmarkStart w:id="130" w:name="_Toc104122474"/>
      <w:bookmarkStart w:id="131" w:name="_Toc130321573"/>
      <w:bookmarkStart w:id="132" w:name="_Toc130321881"/>
      <w:r>
        <w:rPr>
          <w:rFonts w:eastAsia="宋体"/>
        </w:rPr>
        <w:t>Annex B:</w:t>
      </w:r>
      <w:r>
        <w:rPr>
          <w:rFonts w:eastAsia="宋体"/>
        </w:rPr>
        <w:tab/>
      </w:r>
      <w:r>
        <w:rPr>
          <w:rFonts w:eastAsia="宋体"/>
          <w:lang w:eastAsia="zh-CN"/>
        </w:rPr>
        <w:t>Calibration</w:t>
      </w:r>
      <w:r>
        <w:rPr>
          <w:rFonts w:eastAsia="宋体"/>
        </w:rPr>
        <w:t xml:space="preserve"> results of TN components</w:t>
      </w:r>
      <w:bookmarkEnd w:id="121"/>
      <w:bookmarkEnd w:id="122"/>
      <w:bookmarkEnd w:id="123"/>
      <w:bookmarkEnd w:id="124"/>
      <w:bookmarkEnd w:id="125"/>
      <w:bookmarkEnd w:id="126"/>
      <w:bookmarkEnd w:id="127"/>
      <w:bookmarkEnd w:id="128"/>
      <w:bookmarkEnd w:id="129"/>
      <w:bookmarkEnd w:id="130"/>
      <w:bookmarkEnd w:id="131"/>
      <w:bookmarkEnd w:id="132"/>
    </w:p>
    <w:p>
      <w:pPr>
        <w:rPr>
          <w:rFonts w:eastAsia="宋体"/>
          <w:lang w:eastAsia="zh-CN"/>
        </w:rPr>
      </w:pPr>
    </w:p>
    <w:p>
      <w:pPr>
        <w:pStyle w:val="3"/>
      </w:pPr>
      <w:bookmarkStart w:id="133" w:name="_Toc130321728"/>
      <w:bookmarkStart w:id="134" w:name="_Toc94170441"/>
      <w:bookmarkStart w:id="135" w:name="_Toc130321574"/>
      <w:bookmarkStart w:id="136" w:name="_Toc104210281"/>
      <w:bookmarkStart w:id="137" w:name="_Toc106127753"/>
      <w:bookmarkStart w:id="138" w:name="_Toc104502993"/>
      <w:bookmarkStart w:id="139" w:name="_Toc130321882"/>
      <w:bookmarkStart w:id="140" w:name="_Toc104122475"/>
      <w:bookmarkStart w:id="141" w:name="_Toc87889315"/>
      <w:bookmarkStart w:id="142" w:name="_Toc115088047"/>
      <w:bookmarkStart w:id="143" w:name="_Toc115088203"/>
      <w:bookmarkStart w:id="144" w:name="_Toc130322249"/>
      <w:r>
        <w:t>B.1</w:t>
      </w:r>
      <w:r>
        <w:tab/>
      </w:r>
      <w:r>
        <w:t>Calibration assumptions</w:t>
      </w:r>
      <w:bookmarkEnd w:id="133"/>
      <w:bookmarkEnd w:id="134"/>
      <w:bookmarkEnd w:id="135"/>
      <w:bookmarkEnd w:id="136"/>
      <w:bookmarkEnd w:id="137"/>
      <w:bookmarkEnd w:id="138"/>
      <w:bookmarkEnd w:id="139"/>
      <w:bookmarkEnd w:id="140"/>
      <w:bookmarkEnd w:id="141"/>
      <w:bookmarkEnd w:id="142"/>
      <w:bookmarkEnd w:id="143"/>
      <w:bookmarkEnd w:id="144"/>
    </w:p>
    <w:p>
      <w:pPr>
        <w:pStyle w:val="3"/>
      </w:pPr>
    </w:p>
    <w:p>
      <w:pPr>
        <w:pStyle w:val="3"/>
      </w:pPr>
      <w:bookmarkStart w:id="145" w:name="_Toc130321729"/>
      <w:bookmarkStart w:id="146" w:name="_Toc130322250"/>
      <w:bookmarkStart w:id="147" w:name="_Toc104502994"/>
      <w:bookmarkStart w:id="148" w:name="_Toc106127754"/>
      <w:bookmarkStart w:id="149" w:name="_Toc115088048"/>
      <w:bookmarkStart w:id="150" w:name="_Toc104122476"/>
      <w:bookmarkStart w:id="151" w:name="_Toc115088204"/>
      <w:bookmarkStart w:id="152" w:name="_Toc104210282"/>
      <w:bookmarkStart w:id="153" w:name="_Toc130321883"/>
      <w:bookmarkStart w:id="154" w:name="_Toc130321575"/>
      <w:r>
        <w:t>B.2</w:t>
      </w:r>
      <w:r>
        <w:tab/>
      </w:r>
      <w:r>
        <w:t>Calibration results at 2GHz</w:t>
      </w:r>
      <w:bookmarkEnd w:id="145"/>
      <w:bookmarkEnd w:id="146"/>
      <w:bookmarkEnd w:id="147"/>
      <w:bookmarkEnd w:id="148"/>
      <w:bookmarkEnd w:id="149"/>
      <w:bookmarkEnd w:id="150"/>
      <w:bookmarkEnd w:id="151"/>
      <w:bookmarkEnd w:id="152"/>
      <w:bookmarkEnd w:id="153"/>
      <w:bookmarkEnd w:id="154"/>
    </w:p>
    <w:p>
      <w:pPr>
        <w:pStyle w:val="3"/>
      </w:pPr>
    </w:p>
    <w:p>
      <w:pPr>
        <w:pStyle w:val="3"/>
      </w:pPr>
      <w:r>
        <w:t>B.3</w:t>
      </w:r>
      <w:r>
        <w:tab/>
      </w:r>
      <w:r>
        <w:t>Calibration results at 4GHz</w:t>
      </w:r>
    </w:p>
    <w:p/>
    <w:p>
      <w:pPr>
        <w:pStyle w:val="10"/>
        <w:jc w:val="both"/>
        <w:rPr>
          <w:rStyle w:val="51"/>
          <w:rFonts w:ascii="Arial" w:hAnsi="Arial" w:eastAsia="宋体" w:cs="Times New Roman"/>
          <w:sz w:val="36"/>
        </w:rPr>
      </w:pPr>
      <w:r>
        <w:rPr>
          <w:rStyle w:val="51"/>
          <w:rFonts w:ascii="Arial" w:hAnsi="Arial" w:eastAsia="宋体" w:cs="Times New Roman"/>
          <w:b w:val="0"/>
          <w:bCs w:val="0"/>
          <w:sz w:val="36"/>
        </w:rPr>
        <w:t xml:space="preserve"> Annex: C</w:t>
      </w:r>
      <w:r>
        <w:rPr>
          <w:rStyle w:val="51"/>
          <w:rFonts w:ascii="Arial" w:hAnsi="Arial" w:eastAsia="宋体" w:cs="Times New Roman"/>
          <w:sz w:val="36"/>
        </w:rPr>
        <w:t xml:space="preserve"> Co-existence scenarios simulation data</w:t>
      </w:r>
    </w:p>
    <w:p>
      <w:pPr>
        <w:jc w:val="both"/>
        <w:rPr>
          <w:rFonts w:cs="Arial"/>
          <w:lang w:val="en-GB" w:eastAsia="ja-JP"/>
        </w:rPr>
      </w:pPr>
    </w:p>
    <w:p>
      <w:pPr>
        <w:pStyle w:val="3"/>
        <w:jc w:val="both"/>
      </w:pPr>
      <w:r>
        <w:t>C.1. Synchronized scenarios</w:t>
      </w:r>
    </w:p>
    <w:p>
      <w:pPr>
        <w:jc w:val="both"/>
        <w:rPr>
          <w:rFonts w:cs="Arial"/>
        </w:rPr>
      </w:pPr>
    </w:p>
    <w:p>
      <w:pPr>
        <w:jc w:val="both"/>
        <w:rPr>
          <w:rFonts w:cs="Arial"/>
          <w:lang w:eastAsia="ja-JP"/>
        </w:rPr>
      </w:pPr>
      <w:r>
        <w:rPr>
          <w:rFonts w:cs="Arial"/>
        </w:rPr>
        <w:t>The below linked sheet captures the data of co-existence simulation study for all synchronized scenarios. More details on the assumptions can be found in the Cover page of the sheet.</w:t>
      </w:r>
    </w:p>
    <w:p>
      <w:pPr>
        <w:jc w:val="both"/>
        <w:rPr>
          <w:rFonts w:cs="Arial"/>
          <w:lang w:eastAsia="ja-JP"/>
        </w:rPr>
      </w:pPr>
      <w:r>
        <w:rPr>
          <w:rFonts w:cs="Arial"/>
          <w:lang w:eastAsia="ja-JP"/>
        </w:rPr>
        <w:object>
          <v:shape id="_x0000_i1091" o:spt="75" type="#_x0000_t75" style="height:58.5pt;width:90.1pt;" o:ole="t" filled="f" o:preferrelative="t" stroked="f" coordsize="21600,21600">
            <v:path/>
            <v:fill on="f" focussize="0,0"/>
            <v:stroke on="f" joinstyle="miter"/>
            <v:imagedata r:id="rId219" o:title=""/>
            <o:lock v:ext="edit" aspectratio="t"/>
            <w10:wrap type="none"/>
            <w10:anchorlock/>
          </v:shape>
          <o:OLEObject Type="Embed" ProgID="Excel.Sheet.12" ShapeID="_x0000_i1091" DrawAspect="Icon" ObjectID="_1468075791" r:id="rId218">
            <o:LockedField>false</o:LockedField>
          </o:OLEObject>
        </w:object>
      </w:r>
    </w:p>
    <w:p>
      <w:pPr>
        <w:jc w:val="both"/>
        <w:rPr>
          <w:rFonts w:cs="Arial"/>
          <w:lang w:eastAsia="ja-JP"/>
        </w:rPr>
      </w:pPr>
    </w:p>
    <w:p>
      <w:pPr>
        <w:pStyle w:val="3"/>
        <w:jc w:val="both"/>
      </w:pPr>
      <w:r>
        <w:t>C.2. Non-Synchronized scenarios</w:t>
      </w:r>
    </w:p>
    <w:p>
      <w:pPr>
        <w:ind w:firstLine="720"/>
        <w:jc w:val="both"/>
        <w:rPr>
          <w:rFonts w:cs="Arial"/>
          <w:lang w:eastAsia="ja-JP"/>
        </w:rPr>
      </w:pPr>
      <w:r>
        <w:rPr>
          <w:rFonts w:cs="Arial"/>
          <w:lang w:eastAsia="ja-JP"/>
        </w:rPr>
        <w:t>(To be added later)</w:t>
      </w:r>
    </w:p>
    <w:p>
      <w:pPr>
        <w:jc w:val="both"/>
        <w:rPr>
          <w:rFonts w:cs="Arial"/>
          <w:lang w:eastAsia="ja-JP"/>
        </w:rPr>
      </w:pPr>
    </w:p>
    <w:p>
      <w:pPr>
        <w:pStyle w:val="2"/>
        <w:ind w:left="0"/>
        <w:jc w:val="both"/>
      </w:pPr>
      <w:r>
        <w:t>Annex: D Supplementary simulation results for co-existence synchronized scenarios</w:t>
      </w:r>
    </w:p>
    <w:p>
      <w:pPr>
        <w:jc w:val="both"/>
        <w:rPr>
          <w:rFonts w:cs="Arial"/>
          <w:lang w:val="en-GB" w:eastAsia="ja-JP"/>
        </w:rPr>
      </w:pPr>
    </w:p>
    <w:p>
      <w:pPr>
        <w:jc w:val="both"/>
        <w:rPr>
          <w:rFonts w:cs="Arial"/>
          <w:lang w:val="en-GB" w:eastAsia="ja-JP"/>
        </w:rPr>
      </w:pPr>
      <w:r>
        <w:rPr>
          <w:rFonts w:cs="Arial"/>
          <w:lang w:val="en-GB" w:eastAsia="ja-JP"/>
        </w:rPr>
        <w:t xml:space="preserve">This section comprises the additional simulation results captured during the early discussions for extra robustness of the ATG system. The simulation parameters are changed to check the influence on the simulation results. </w:t>
      </w:r>
    </w:p>
    <w:p>
      <w:pPr>
        <w:jc w:val="both"/>
        <w:rPr>
          <w:rFonts w:cs="Arial"/>
          <w:lang w:val="en-GB" w:eastAsia="ja-JP"/>
        </w:rPr>
      </w:pPr>
    </w:p>
    <w:p>
      <w:pPr>
        <w:pStyle w:val="3"/>
        <w:jc w:val="both"/>
        <w:rPr>
          <w:lang w:val="en-GB" w:eastAsia="ja-JP"/>
        </w:rPr>
      </w:pPr>
      <w:r>
        <w:rPr>
          <w:lang w:val="en-GB" w:eastAsia="ja-JP"/>
        </w:rPr>
        <w:t>D.1. Synchronized scenarios</w:t>
      </w:r>
    </w:p>
    <w:p>
      <w:pPr>
        <w:pStyle w:val="3"/>
        <w:rPr>
          <w:lang w:eastAsia="ja-JP"/>
        </w:rPr>
      </w:pPr>
    </w:p>
    <w:p>
      <w:pPr>
        <w:pStyle w:val="4"/>
        <w:jc w:val="both"/>
        <w:rPr>
          <w:lang w:eastAsia="ja-JP"/>
        </w:rPr>
      </w:pPr>
      <w:r>
        <w:rPr>
          <w:lang w:val="en-IN" w:eastAsia="ja-JP"/>
        </w:rPr>
        <w:t xml:space="preserve">D.1.1.  </w:t>
      </w:r>
      <w:r>
        <w:rPr>
          <w:lang w:eastAsia="ja-JP"/>
        </w:rPr>
        <w:t>Impact of the number of TN BS columns</w:t>
      </w:r>
    </w:p>
    <w:p>
      <w:pPr>
        <w:jc w:val="both"/>
        <w:rPr>
          <w:rFonts w:cs="Arial"/>
          <w:lang w:eastAsia="ja-JP"/>
        </w:rPr>
      </w:pPr>
    </w:p>
    <w:p>
      <w:pPr>
        <w:jc w:val="both"/>
        <w:rPr>
          <w:rFonts w:cs="Arial"/>
          <w:lang w:val="en-IN" w:eastAsia="ja-JP"/>
        </w:rPr>
      </w:pPr>
      <w:r>
        <w:rPr>
          <w:rFonts w:cs="Arial"/>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p>
    <w:p>
      <w:pPr>
        <w:jc w:val="both"/>
        <w:rPr>
          <w:rFonts w:cs="Arial"/>
          <w:lang w:val="en-IN" w:eastAsia="ja-JP"/>
        </w:rPr>
      </w:pPr>
      <w:r>
        <w:rPr>
          <w:rFonts w:cs="Arial"/>
          <w:lang w:val="en-IN" w:eastAsia="ja-JP"/>
        </w:rPr>
        <w:t xml:space="preserve">The linked excel sheet   </w:t>
      </w:r>
      <w:r>
        <w:rPr>
          <w:rFonts w:cs="Arial"/>
          <w:lang w:val="en-IN" w:eastAsia="ja-JP"/>
        </w:rPr>
        <w:object>
          <v:shape id="_x0000_i1092" o:spt="75" type="#_x0000_t75" style="height:53.15pt;width:81.65pt;" o:ole="t" filled="f" o:preferrelative="t" stroked="f" coordsize="21600,21600">
            <v:path/>
            <v:fill on="f" focussize="0,0"/>
            <v:stroke on="f" joinstyle="miter"/>
            <v:imagedata r:id="rId221" o:title=""/>
            <o:lock v:ext="edit" aspectratio="t"/>
            <w10:wrap type="none"/>
            <w10:anchorlock/>
          </v:shape>
          <o:OLEObject Type="Embed" ProgID="Excel.Sheet.12" ShapeID="_x0000_i1092" DrawAspect="Icon" ObjectID="_1468075792" r:id="rId220">
            <o:LockedField>false</o:LockedField>
          </o:OLEObject>
        </w:object>
      </w:r>
      <w:r>
        <w:rPr>
          <w:rFonts w:cs="Arial"/>
          <w:lang w:val="en-IN" w:eastAsia="ja-JP"/>
        </w:rPr>
        <w:t xml:space="preserve">  provides detailed plots for the Scenarios 9-12. </w:t>
      </w:r>
    </w:p>
    <w:p>
      <w:pPr>
        <w:jc w:val="both"/>
        <w:rPr>
          <w:rFonts w:cs="Arial"/>
          <w:lang w:val="en-IN" w:eastAsia="ja-JP"/>
        </w:rPr>
      </w:pPr>
    </w:p>
    <w:p>
      <w:pPr>
        <w:jc w:val="both"/>
        <w:rPr>
          <w:lang w:val="en-IN" w:eastAsia="ja-JP"/>
        </w:rPr>
      </w:pPr>
      <w:r>
        <w:rPr>
          <w:lang w:val="en-IN" w:eastAsia="ja-JP"/>
        </w:rPr>
        <w:t>Highlight:</w:t>
      </w:r>
    </w:p>
    <w:p>
      <w:pPr>
        <w:jc w:val="both"/>
        <w:rPr>
          <w:rFonts w:cs="Arial"/>
          <w:lang w:val="en-IN" w:eastAsia="ja-JP"/>
        </w:rPr>
      </w:pPr>
      <w:r>
        <w:rPr>
          <w:rFonts w:cs="Arial"/>
          <w:lang w:val="en-IN" w:eastAsia="ja-JP"/>
        </w:rPr>
        <w:t xml:space="preserve">The number of TN BS columns study adopts the acceptable ACLR/ ACS values for all the scenarios. The 8-column cases seem to be the worst ones. The simulations results show varied degradation in some cases, but the variations don’t make a large difference from the agreed requirements. Overall, the one and eight column antennas still follow the acceptable ACLR/ ACS requirements. </w:t>
      </w:r>
    </w:p>
    <w:p>
      <w:pPr>
        <w:jc w:val="both"/>
        <w:rPr>
          <w:rFonts w:cs="Arial"/>
          <w:lang w:val="en-IN" w:eastAsia="ja-JP"/>
        </w:rPr>
      </w:pPr>
    </w:p>
    <w:p>
      <w:pPr>
        <w:pStyle w:val="4"/>
        <w:jc w:val="both"/>
        <w:rPr>
          <w:lang w:eastAsia="ja-JP"/>
        </w:rPr>
      </w:pPr>
      <w:r>
        <w:rPr>
          <w:lang w:val="en-IN" w:eastAsia="ja-JP"/>
        </w:rPr>
        <w:t xml:space="preserve">D.1.2.  </w:t>
      </w:r>
      <w:r>
        <w:rPr>
          <w:lang w:eastAsia="ja-JP"/>
        </w:rPr>
        <w:t>Impact of ATG UE antenna type</w:t>
      </w:r>
    </w:p>
    <w:p>
      <w:pPr>
        <w:jc w:val="both"/>
        <w:rPr>
          <w:rFonts w:cs="Arial"/>
          <w:lang w:eastAsia="ja-JP"/>
        </w:rPr>
      </w:pPr>
    </w:p>
    <w:p>
      <w:pPr>
        <w:jc w:val="both"/>
        <w:rPr>
          <w:rFonts w:cs="Arial"/>
          <w:lang w:val="en-IN" w:eastAsia="ja-JP"/>
        </w:rPr>
      </w:pPr>
      <w:r>
        <w:rPr>
          <w:rFonts w:cs="Arial"/>
          <w:lang w:val="en-IN" w:eastAsia="ja-JP"/>
        </w:rPr>
        <w:t>This subsection points out the impact of the number of antenna array at the ATG UEs for 4 GHz frequency. The results captured are for scenarios 1-4, where 16x1 and 8x2 antenna array are compared.</w:t>
      </w:r>
    </w:p>
    <w:p>
      <w:pPr>
        <w:jc w:val="both"/>
        <w:rPr>
          <w:rFonts w:cs="Arial"/>
          <w:lang w:val="en-IN" w:eastAsia="ja-JP"/>
        </w:rPr>
      </w:pPr>
      <w:r>
        <w:rPr>
          <w:rFonts w:cs="Arial"/>
          <w:lang w:val="en-IN" w:eastAsia="ja-JP"/>
        </w:rPr>
        <w:t xml:space="preserve">The linked excel </w:t>
      </w:r>
      <w:r>
        <w:rPr>
          <w:rFonts w:cs="Arial"/>
          <w:lang w:val="en-IN" w:eastAsia="ja-JP"/>
        </w:rPr>
        <w:object>
          <v:shape id="_x0000_i1093" o:spt="75" type="#_x0000_t75" style="height:53.15pt;width:81.65pt;" o:ole="t" filled="f" o:preferrelative="t" stroked="f" coordsize="21600,21600">
            <v:path/>
            <v:fill on="f" focussize="0,0"/>
            <v:stroke on="f" joinstyle="miter"/>
            <v:imagedata r:id="rId223" o:title=""/>
            <o:lock v:ext="edit" aspectratio="t"/>
            <w10:wrap type="none"/>
            <w10:anchorlock/>
          </v:shape>
          <o:OLEObject Type="Embed" ProgID="Excel.Sheet.12" ShapeID="_x0000_i1093" DrawAspect="Icon" ObjectID="_1468075793" r:id="rId222">
            <o:LockedField>false</o:LockedField>
          </o:OLEObject>
        </w:object>
      </w:r>
      <w:r>
        <w:rPr>
          <w:rFonts w:cs="Arial"/>
          <w:lang w:val="en-IN" w:eastAsia="ja-JP"/>
        </w:rPr>
        <w:t xml:space="preserve">sheet     provides detailed plots for the Scenarios 1-4. </w:t>
      </w:r>
    </w:p>
    <w:p>
      <w:pPr>
        <w:jc w:val="both"/>
        <w:rPr>
          <w:rFonts w:cs="Arial"/>
          <w:lang w:val="en-IN" w:eastAsia="ja-JP"/>
        </w:rPr>
      </w:pPr>
    </w:p>
    <w:p>
      <w:pPr>
        <w:jc w:val="both"/>
        <w:rPr>
          <w:lang w:val="en-IN" w:eastAsia="ja-JP"/>
        </w:rPr>
      </w:pPr>
      <w:r>
        <w:rPr>
          <w:lang w:val="en-IN" w:eastAsia="ja-JP"/>
        </w:rPr>
        <w:t>Highlight:</w:t>
      </w:r>
    </w:p>
    <w:p>
      <w:pPr>
        <w:jc w:val="both"/>
        <w:rPr>
          <w:rFonts w:cs="Arial"/>
          <w:lang w:val="en-IN" w:eastAsia="ja-JP"/>
        </w:rPr>
      </w:pPr>
      <w:r>
        <w:rPr>
          <w:rFonts w:cs="Arial"/>
          <w:lang w:val="en-IN" w:eastAsia="ja-JP"/>
        </w:rPr>
        <w:t xml:space="preserve">The ATG UE antenna type study adopts the acceptable ACLR/ ACS values for all the scenarios The 16x1 and 8x2 antenna array options have minimal differences in Scenarios 1,2 and 4 for 4 GHz frequency. However, in Scenario 3, 16x1 antenna array seems to be the worst case for 5% throughput loss level. Though the differences are not that significant that would impact any of the acceptable ACLR/ ACS requirements as per the agreements. </w:t>
      </w:r>
    </w:p>
    <w:p>
      <w:pPr>
        <w:jc w:val="both"/>
        <w:rPr>
          <w:rFonts w:cs="Arial"/>
          <w:lang w:val="en-IN" w:eastAsia="ja-JP"/>
        </w:rPr>
      </w:pPr>
    </w:p>
    <w:p>
      <w:pPr>
        <w:keepNext/>
        <w:jc w:val="both"/>
      </w:pPr>
      <w:r>
        <w:rPr>
          <w:rFonts w:cs="Arial"/>
        </w:rPr>
        <w:drawing>
          <wp:inline distT="0" distB="0" distL="0" distR="0">
            <wp:extent cx="6120765" cy="3047365"/>
            <wp:effectExtent l="4445" t="4445" r="8890" b="8890"/>
            <wp:docPr id="5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4"/>
              </a:graphicData>
            </a:graphic>
          </wp:inline>
        </w:drawing>
      </w:r>
    </w:p>
    <w:p>
      <w:pPr>
        <w:pStyle w:val="28"/>
        <w:jc w:val="center"/>
        <w:rPr>
          <w:rFonts w:cs="Arial"/>
          <w:color w:val="auto"/>
          <w:lang w:val="en-IN" w:eastAsia="ja-JP"/>
        </w:rPr>
      </w:pPr>
      <w:r>
        <w:rPr>
          <w:color w:val="auto"/>
        </w:rPr>
        <w:t>Figure D.1.2-1: Simulation results for Throughput Loss - 5% of users in the whole network</w:t>
      </w:r>
    </w:p>
    <w:p>
      <w:pPr>
        <w:jc w:val="both"/>
        <w:rPr>
          <w:rFonts w:cs="Arial"/>
          <w:lang w:val="en-IN" w:eastAsia="ja-JP"/>
        </w:rPr>
      </w:pPr>
    </w:p>
    <w:p>
      <w:pPr>
        <w:jc w:val="both"/>
        <w:rPr>
          <w:rFonts w:cs="Arial"/>
          <w:lang w:val="en-IN" w:eastAsia="ja-JP"/>
        </w:rPr>
      </w:pPr>
    </w:p>
    <w:p>
      <w:pPr>
        <w:pStyle w:val="4"/>
        <w:jc w:val="both"/>
        <w:rPr>
          <w:lang w:eastAsia="ja-JP"/>
        </w:rPr>
      </w:pPr>
      <w:r>
        <w:rPr>
          <w:lang w:val="en-IN" w:eastAsia="ja-JP"/>
        </w:rPr>
        <w:t xml:space="preserve">D.1.3.  </w:t>
      </w:r>
      <w:r>
        <w:rPr>
          <w:lang w:eastAsia="ja-JP"/>
        </w:rPr>
        <w:t>Impact of ATG-TN BS antennas collocation</w:t>
      </w:r>
    </w:p>
    <w:p>
      <w:pPr>
        <w:jc w:val="both"/>
        <w:rPr>
          <w:rFonts w:cs="Arial"/>
          <w:lang w:eastAsia="ja-JP"/>
        </w:rPr>
      </w:pPr>
    </w:p>
    <w:p>
      <w:pPr>
        <w:jc w:val="both"/>
        <w:rPr>
          <w:rFonts w:cs="Arial"/>
          <w:lang w:val="en-IN" w:eastAsia="ja-JP"/>
        </w:rPr>
      </w:pPr>
      <w:r>
        <w:rPr>
          <w:rFonts w:cs="Arial"/>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p>
    <w:p>
      <w:pPr>
        <w:jc w:val="both"/>
        <w:rPr>
          <w:rFonts w:cs="Arial"/>
          <w:lang w:val="en-IN" w:eastAsia="ja-JP"/>
        </w:rPr>
      </w:pPr>
      <w:r>
        <w:rPr>
          <w:rFonts w:cs="Arial"/>
          <w:lang w:val="en-IN" w:eastAsia="ja-JP"/>
        </w:rPr>
        <w:t xml:space="preserve">The linked excel sheet  </w:t>
      </w:r>
      <w:r>
        <w:rPr>
          <w:rFonts w:cs="Arial"/>
          <w:lang w:val="en-IN" w:eastAsia="ja-JP"/>
        </w:rPr>
        <w:object>
          <v:shape id="_x0000_i1094" o:spt="75" type="#_x0000_t75" style="height:53.15pt;width:81.65pt;" o:ole="t" filled="f" o:preferrelative="t" stroked="f" coordsize="21600,21600">
            <v:path/>
            <v:fill on="f" focussize="0,0"/>
            <v:stroke on="f" joinstyle="miter"/>
            <v:imagedata r:id="rId226" o:title=""/>
            <o:lock v:ext="edit" aspectratio="t"/>
            <w10:wrap type="none"/>
            <w10:anchorlock/>
          </v:shape>
          <o:OLEObject Type="Embed" ProgID="Excel.Sheet.12" ShapeID="_x0000_i1094" DrawAspect="Icon" ObjectID="_1468075794" r:id="rId225">
            <o:LockedField>false</o:LockedField>
          </o:OLEObject>
        </w:object>
      </w:r>
      <w:r>
        <w:rPr>
          <w:rFonts w:cs="Arial"/>
          <w:lang w:val="en-IN" w:eastAsia="ja-JP"/>
        </w:rPr>
        <w:t xml:space="preserve">   provides detailed plots for the Scenarios 2,3,10 and 11. </w:t>
      </w:r>
    </w:p>
    <w:p>
      <w:pPr>
        <w:jc w:val="both"/>
        <w:rPr>
          <w:rFonts w:cs="Arial"/>
          <w:lang w:val="en-IN" w:eastAsia="ja-JP"/>
        </w:rPr>
      </w:pPr>
    </w:p>
    <w:p>
      <w:pPr>
        <w:jc w:val="both"/>
        <w:rPr>
          <w:lang w:val="en-IN" w:eastAsia="ja-JP"/>
        </w:rPr>
      </w:pPr>
      <w:r>
        <w:rPr>
          <w:lang w:val="en-IN" w:eastAsia="ja-JP"/>
        </w:rPr>
        <w:t>Highlight:</w:t>
      </w:r>
    </w:p>
    <w:p>
      <w:pPr>
        <w:jc w:val="both"/>
        <w:rPr>
          <w:rFonts w:cs="Arial"/>
          <w:lang w:val="en-IN" w:eastAsia="ja-JP"/>
        </w:rPr>
      </w:pPr>
      <w:r>
        <w:rPr>
          <w:rFonts w:cs="Arial"/>
          <w:lang w:val="en-IN" w:eastAsia="ja-JP"/>
        </w:rPr>
        <w:t xml:space="preserve">The ATG-TN BS collocation study adopts the acceptable ACLR/ ACS values with the non-collocated deployment option as the worst case for most of the scenarios. In scenarios where it is observed the other way round, the differences are not that significant that would impact any of the acceptable ACLR/ ACS requirements as per the agreements. </w:t>
      </w:r>
    </w:p>
    <w:p>
      <w:pPr>
        <w:pStyle w:val="5"/>
        <w:jc w:val="both"/>
        <w:rPr>
          <w:rFonts w:ascii="Arial" w:hAnsi="Arial" w:cs="Arial"/>
          <w:b/>
          <w:bCs/>
          <w:i w:val="0"/>
          <w:iCs w:val="0"/>
          <w:color w:val="auto"/>
          <w:lang w:val="en-IN" w:eastAsia="ja-JP"/>
        </w:rPr>
      </w:pPr>
    </w:p>
    <w:p>
      <w:pPr>
        <w:pStyle w:val="4"/>
        <w:jc w:val="both"/>
        <w:rPr>
          <w:lang w:eastAsia="ja-JP"/>
        </w:rPr>
      </w:pPr>
      <w:r>
        <w:rPr>
          <w:lang w:val="en-IN" w:eastAsia="ja-JP"/>
        </w:rPr>
        <w:t xml:space="preserve">D.1.4.  </w:t>
      </w:r>
      <w:r>
        <w:rPr>
          <w:lang w:eastAsia="ja-JP"/>
        </w:rPr>
        <w:t>Impact of ATG UE height distribution</w:t>
      </w:r>
    </w:p>
    <w:p>
      <w:pPr>
        <w:jc w:val="both"/>
        <w:rPr>
          <w:rFonts w:cs="Arial"/>
          <w:lang w:eastAsia="ja-JP"/>
        </w:rPr>
      </w:pPr>
    </w:p>
    <w:p>
      <w:pPr>
        <w:jc w:val="both"/>
        <w:rPr>
          <w:rFonts w:cs="Arial"/>
          <w:lang w:val="en-IN" w:eastAsia="ja-JP"/>
        </w:rPr>
      </w:pPr>
      <w:r>
        <w:rPr>
          <w:rFonts w:cs="Arial"/>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p>
    <w:p>
      <w:pPr>
        <w:jc w:val="both"/>
        <w:rPr>
          <w:rFonts w:cs="Arial"/>
          <w:lang w:val="en-IN" w:eastAsia="ja-JP"/>
        </w:rPr>
      </w:pPr>
    </w:p>
    <w:p>
      <w:pPr>
        <w:jc w:val="both"/>
        <w:rPr>
          <w:rFonts w:cs="Arial"/>
          <w:lang w:val="en-IN" w:eastAsia="ja-JP"/>
        </w:rPr>
      </w:pPr>
      <w:r>
        <w:rPr>
          <w:rFonts w:cs="Arial"/>
          <w:lang w:val="en-IN" w:eastAsia="ja-JP"/>
        </w:rPr>
        <w:t xml:space="preserve">The linked excel sheet  </w:t>
      </w:r>
      <w:r>
        <w:rPr>
          <w:rFonts w:cs="Arial"/>
          <w:lang w:val="en-IN" w:eastAsia="ja-JP"/>
        </w:rPr>
        <w:object>
          <v:shape id="_x0000_i1095" o:spt="75" type="#_x0000_t75" style="height:53.15pt;width:81.65pt;" o:ole="t" filled="f" o:preferrelative="t" stroked="f" coordsize="21600,21600">
            <v:path/>
            <v:fill on="f" focussize="0,0"/>
            <v:stroke on="f" joinstyle="miter"/>
            <v:imagedata r:id="rId228" o:title=""/>
            <o:lock v:ext="edit" aspectratio="t"/>
            <w10:wrap type="none"/>
            <w10:anchorlock/>
          </v:shape>
          <o:OLEObject Type="Embed" ProgID="Excel.Sheet.12" ShapeID="_x0000_i1095" DrawAspect="Icon" ObjectID="_1468075795" r:id="rId227">
            <o:LockedField>false</o:LockedField>
          </o:OLEObject>
        </w:object>
      </w:r>
      <w:r>
        <w:rPr>
          <w:rFonts w:cs="Arial"/>
          <w:lang w:val="en-IN" w:eastAsia="ja-JP"/>
        </w:rPr>
        <w:t xml:space="preserve">   provides detailed plots for the Scenarios 1-4 and 9-12. </w:t>
      </w:r>
    </w:p>
    <w:p>
      <w:pPr>
        <w:jc w:val="both"/>
        <w:rPr>
          <w:rFonts w:cs="Arial"/>
          <w:lang w:val="en-IN" w:eastAsia="ja-JP"/>
        </w:rPr>
      </w:pPr>
    </w:p>
    <w:p>
      <w:pPr>
        <w:jc w:val="both"/>
        <w:rPr>
          <w:lang w:val="en-IN" w:eastAsia="ja-JP"/>
        </w:rPr>
      </w:pPr>
      <w:r>
        <w:rPr>
          <w:lang w:val="en-IN" w:eastAsia="ja-JP"/>
        </w:rPr>
        <w:t>Highlight:</w:t>
      </w:r>
    </w:p>
    <w:p>
      <w:pPr>
        <w:jc w:val="both"/>
        <w:rPr>
          <w:rFonts w:cs="Arial"/>
          <w:lang w:val="en-IN" w:eastAsia="ja-JP"/>
        </w:rPr>
      </w:pPr>
      <w:r>
        <w:rPr>
          <w:rFonts w:cs="Arial"/>
          <w:lang w:val="en-IN" w:eastAsia="ja-JP"/>
        </w:rPr>
        <w:t>The ATG height distribution studied adopts the acceptable ATG ACLR/ ACS requirements in most of the scenarios. However, in scenarios 3 and 11 (as shown below), 3 km is the worst case, and the ATG UE ACS level is way above the accepted level of 33 dB.</w:t>
      </w:r>
    </w:p>
    <w:p>
      <w:pPr>
        <w:jc w:val="both"/>
        <w:rPr>
          <w:rFonts w:cs="Arial"/>
          <w:lang w:val="en-IN" w:eastAsia="ja-JP"/>
        </w:rPr>
      </w:pPr>
      <w:r>
        <w:rPr>
          <w:rFonts w:cs="Arial"/>
        </w:rPr>
        <w:drawing>
          <wp:inline distT="0" distB="0" distL="0" distR="0">
            <wp:extent cx="6120765" cy="3103880"/>
            <wp:effectExtent l="4445" t="4445" r="8890" b="15875"/>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9"/>
              </a:graphicData>
            </a:graphic>
          </wp:inline>
        </w:drawing>
      </w:r>
    </w:p>
    <w:p>
      <w:pPr>
        <w:pStyle w:val="28"/>
        <w:jc w:val="center"/>
        <w:rPr>
          <w:rFonts w:cs="Arial"/>
          <w:color w:val="auto"/>
          <w:lang w:val="en-IN" w:eastAsia="ja-JP"/>
        </w:rPr>
      </w:pPr>
      <w:r>
        <w:rPr>
          <w:color w:val="auto"/>
        </w:rPr>
        <w:t>Figure D.1.4-1: Simulation results for Throughput Loss - 5% of users in the whole network</w:t>
      </w:r>
    </w:p>
    <w:p>
      <w:pPr>
        <w:jc w:val="both"/>
        <w:rPr>
          <w:rFonts w:cs="Arial"/>
          <w:lang w:val="en-IN" w:eastAsia="ja-JP"/>
        </w:rPr>
      </w:pPr>
    </w:p>
    <w:p>
      <w:pPr>
        <w:jc w:val="both"/>
        <w:rPr>
          <w:rFonts w:cs="Arial"/>
          <w:lang w:val="en-IN" w:eastAsia="ja-JP"/>
        </w:rPr>
      </w:pPr>
    </w:p>
    <w:p>
      <w:pPr>
        <w:jc w:val="both"/>
        <w:rPr>
          <w:rFonts w:cs="Arial"/>
          <w:lang w:val="en-IN" w:eastAsia="ja-JP"/>
        </w:rPr>
      </w:pPr>
      <w:r>
        <w:rPr>
          <w:rFonts w:cs="Arial"/>
        </w:rPr>
        <w:drawing>
          <wp:inline distT="0" distB="0" distL="0" distR="0">
            <wp:extent cx="6120765" cy="3103880"/>
            <wp:effectExtent l="4445" t="4445" r="8890" b="15875"/>
            <wp:docPr id="9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0"/>
              </a:graphicData>
            </a:graphic>
          </wp:inline>
        </w:drawing>
      </w:r>
    </w:p>
    <w:p>
      <w:pPr>
        <w:pStyle w:val="28"/>
        <w:jc w:val="center"/>
        <w:rPr>
          <w:rFonts w:cs="Arial"/>
          <w:color w:val="auto"/>
          <w:lang w:val="en-IN" w:eastAsia="ja-JP"/>
        </w:rPr>
      </w:pPr>
      <w:r>
        <w:rPr>
          <w:color w:val="auto"/>
        </w:rPr>
        <w:t>Figure D.1.4-2: Simulation results for Throughput Loss - 5% of users in the whole network</w:t>
      </w:r>
    </w:p>
    <w:p>
      <w:pPr>
        <w:jc w:val="both"/>
        <w:rPr>
          <w:rFonts w:cs="Arial"/>
          <w:lang w:val="en-IN" w:eastAsia="ja-JP"/>
        </w:rPr>
      </w:pPr>
    </w:p>
    <w:p>
      <w:pPr>
        <w:jc w:val="both"/>
        <w:rPr>
          <w:rFonts w:cs="Arial"/>
          <w:lang w:val="en-IN" w:eastAsia="ja-JP"/>
        </w:rPr>
      </w:pPr>
      <w:r>
        <w:rPr>
          <w:rFonts w:cs="Arial"/>
          <w:lang w:val="en-IN" w:eastAsia="ja-JP"/>
        </w:rPr>
        <w:t>It is possible that ATG UE suffers degradation during take-off and landing i.e., at 3 km. A certain throughput loss higher than 5% maybe be acceptable, as far as the ATG network doesn’t break off when ATG UEs are at a height of 3 km.</w:t>
      </w:r>
    </w:p>
    <w:p>
      <w:pPr>
        <w:jc w:val="both"/>
        <w:rPr>
          <w:rFonts w:cs="Arial"/>
          <w:lang w:val="en-IN" w:eastAsia="ja-JP"/>
        </w:rPr>
      </w:pPr>
    </w:p>
    <w:p>
      <w:pPr>
        <w:pStyle w:val="3"/>
        <w:jc w:val="both"/>
        <w:rPr>
          <w:lang w:val="en-GB" w:eastAsia="ja-JP"/>
        </w:rPr>
      </w:pPr>
      <w:r>
        <w:rPr>
          <w:lang w:val="en-GB" w:eastAsia="ja-JP"/>
        </w:rPr>
        <w:t>D.2. Non-Synchronized scenarios</w:t>
      </w:r>
    </w:p>
    <w:p>
      <w:pPr>
        <w:jc w:val="both"/>
        <w:rPr>
          <w:rFonts w:cs="Arial"/>
          <w:lang w:eastAsia="ja-JP"/>
        </w:rPr>
      </w:pPr>
    </w:p>
    <w:p>
      <w:pPr>
        <w:jc w:val="both"/>
        <w:rPr>
          <w:rFonts w:cs="Arial"/>
          <w:lang w:eastAsia="ja-JP"/>
        </w:rPr>
      </w:pPr>
      <w:r>
        <w:rPr>
          <w:rFonts w:cs="Arial"/>
          <w:lang w:eastAsia="ja-JP"/>
        </w:rPr>
        <w:t>(To be added later)</w:t>
      </w:r>
    </w:p>
    <w:p>
      <w:pPr>
        <w:spacing w:after="0"/>
        <w:rPr>
          <w:rFonts w:eastAsia="宋体"/>
          <w:i/>
          <w:lang w:eastAsia="zh-CN"/>
        </w:rPr>
      </w:pPr>
      <w:r>
        <w:rPr>
          <w:rFonts w:eastAsia="宋体"/>
        </w:rPr>
        <w:br w:type="page"/>
      </w:r>
    </w:p>
    <w:p>
      <w:pPr>
        <w:pStyle w:val="10"/>
        <w:rPr>
          <w:rFonts w:eastAsia="宋体"/>
        </w:rPr>
      </w:pPr>
      <w:bookmarkStart w:id="155" w:name="_Toc117668905"/>
      <w:bookmarkStart w:id="156" w:name="historyclause"/>
      <w:r>
        <w:rPr>
          <w:rFonts w:eastAsia="宋体"/>
        </w:rPr>
        <w:t xml:space="preserve">Annex </w:t>
      </w:r>
      <w:r>
        <w:rPr>
          <w:rFonts w:hint="eastAsia" w:eastAsia="宋体"/>
          <w:lang w:val="en-US" w:eastAsia="zh-CN"/>
        </w:rPr>
        <w:t>E</w:t>
      </w:r>
      <w:r>
        <w:rPr>
          <w:rFonts w:eastAsia="宋体"/>
        </w:rPr>
        <w:t xml:space="preserve">: </w:t>
      </w:r>
      <w:r>
        <w:rPr>
          <w:rFonts w:hint="eastAsia" w:eastAsia="宋体"/>
        </w:rPr>
        <w:t>Change history</w:t>
      </w:r>
      <w:bookmarkEnd w:id="155"/>
      <w:bookmarkEnd w:id="156"/>
    </w:p>
    <w:tbl>
      <w:tblPr>
        <w:tblStyle w:val="49"/>
        <w:tblW w:w="9923"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85"/>
        <w:gridCol w:w="1134"/>
        <w:gridCol w:w="375"/>
        <w:gridCol w:w="428"/>
        <w:gridCol w:w="4583"/>
        <w:gridCol w:w="709"/>
        <w:gridCol w:w="70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Pr>
        <w:tc>
          <w:tcPr>
            <w:tcW w:w="9923" w:type="dxa"/>
            <w:gridSpan w:val="8"/>
            <w:tcBorders>
              <w:bottom w:val="nil"/>
            </w:tcBorders>
            <w:shd w:val="solid" w:color="FFFFFF" w:fill="auto"/>
          </w:tcPr>
          <w:p>
            <w:pPr>
              <w:keepNext/>
              <w:keepLines/>
              <w:spacing w:after="0"/>
              <w:jc w:val="center"/>
              <w:rPr>
                <w:rFonts w:ascii="Arial" w:hAnsi="Arial" w:eastAsia="宋体"/>
                <w:b/>
                <w:sz w:val="16"/>
              </w:rPr>
            </w:pPr>
            <w:r>
              <w:rPr>
                <w:rFonts w:ascii="Arial" w:hAnsi="Arial" w:eastAsia="宋体"/>
                <w:b/>
                <w:sz w:val="18"/>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keepNext/>
              <w:keepLines/>
              <w:spacing w:after="0"/>
              <w:rPr>
                <w:rFonts w:ascii="Arial" w:hAnsi="Arial" w:eastAsia="宋体"/>
                <w:b/>
                <w:sz w:val="16"/>
              </w:rPr>
            </w:pPr>
            <w:r>
              <w:rPr>
                <w:rFonts w:ascii="Arial" w:hAnsi="Arial" w:eastAsia="宋体"/>
                <w:b/>
                <w:sz w:val="16"/>
              </w:rPr>
              <w:t>Date</w:t>
            </w:r>
          </w:p>
        </w:tc>
        <w:tc>
          <w:tcPr>
            <w:tcW w:w="1185" w:type="dxa"/>
            <w:shd w:val="pct10" w:color="auto" w:fill="FFFFFF"/>
          </w:tcPr>
          <w:p>
            <w:pPr>
              <w:keepNext/>
              <w:keepLines/>
              <w:spacing w:after="0"/>
              <w:rPr>
                <w:rFonts w:ascii="Arial" w:hAnsi="Arial" w:eastAsia="宋体"/>
                <w:b/>
                <w:sz w:val="16"/>
              </w:rPr>
            </w:pPr>
            <w:r>
              <w:rPr>
                <w:rFonts w:ascii="Arial" w:hAnsi="Arial" w:eastAsia="宋体"/>
                <w:b/>
                <w:sz w:val="16"/>
              </w:rPr>
              <w:t>TSG #</w:t>
            </w:r>
          </w:p>
        </w:tc>
        <w:tc>
          <w:tcPr>
            <w:tcW w:w="1134" w:type="dxa"/>
            <w:shd w:val="pct10" w:color="auto" w:fill="FFFFFF"/>
          </w:tcPr>
          <w:p>
            <w:pPr>
              <w:keepNext/>
              <w:keepLines/>
              <w:spacing w:after="0"/>
              <w:rPr>
                <w:rFonts w:ascii="Arial" w:hAnsi="Arial" w:eastAsia="宋体"/>
                <w:b/>
                <w:sz w:val="16"/>
              </w:rPr>
            </w:pPr>
            <w:r>
              <w:rPr>
                <w:rFonts w:ascii="Arial" w:hAnsi="Arial" w:eastAsia="宋体"/>
                <w:b/>
                <w:sz w:val="16"/>
              </w:rPr>
              <w:t>TSG Doc.</w:t>
            </w:r>
          </w:p>
        </w:tc>
        <w:tc>
          <w:tcPr>
            <w:tcW w:w="375" w:type="dxa"/>
            <w:shd w:val="pct10" w:color="auto" w:fill="FFFFFF"/>
          </w:tcPr>
          <w:p>
            <w:pPr>
              <w:keepNext/>
              <w:keepLines/>
              <w:spacing w:after="0"/>
              <w:rPr>
                <w:rFonts w:ascii="Arial" w:hAnsi="Arial" w:eastAsia="宋体"/>
                <w:b/>
                <w:sz w:val="16"/>
              </w:rPr>
            </w:pPr>
            <w:r>
              <w:rPr>
                <w:rFonts w:ascii="Arial" w:hAnsi="Arial" w:eastAsia="宋体"/>
                <w:b/>
                <w:sz w:val="16"/>
              </w:rPr>
              <w:t>CR</w:t>
            </w:r>
          </w:p>
        </w:tc>
        <w:tc>
          <w:tcPr>
            <w:tcW w:w="428" w:type="dxa"/>
            <w:shd w:val="pct10" w:color="auto" w:fill="FFFFFF"/>
          </w:tcPr>
          <w:p>
            <w:pPr>
              <w:keepNext/>
              <w:keepLines/>
              <w:spacing w:after="0"/>
              <w:rPr>
                <w:rFonts w:ascii="Arial" w:hAnsi="Arial" w:eastAsia="宋体"/>
                <w:b/>
                <w:sz w:val="16"/>
              </w:rPr>
            </w:pPr>
            <w:r>
              <w:rPr>
                <w:rFonts w:ascii="Arial" w:hAnsi="Arial" w:eastAsia="宋体"/>
                <w:b/>
                <w:sz w:val="16"/>
              </w:rPr>
              <w:t>Rev</w:t>
            </w:r>
          </w:p>
        </w:tc>
        <w:tc>
          <w:tcPr>
            <w:tcW w:w="4583" w:type="dxa"/>
            <w:shd w:val="pct10" w:color="auto" w:fill="FFFFFF"/>
          </w:tcPr>
          <w:p>
            <w:pPr>
              <w:keepNext/>
              <w:keepLines/>
              <w:spacing w:after="0"/>
              <w:rPr>
                <w:rFonts w:ascii="Arial" w:hAnsi="Arial" w:eastAsia="宋体"/>
                <w:b/>
                <w:sz w:val="16"/>
              </w:rPr>
            </w:pPr>
            <w:r>
              <w:rPr>
                <w:rFonts w:ascii="Arial" w:hAnsi="Arial" w:eastAsia="宋体"/>
                <w:b/>
                <w:sz w:val="16"/>
              </w:rPr>
              <w:t>Subject/Comment</w:t>
            </w:r>
          </w:p>
        </w:tc>
        <w:tc>
          <w:tcPr>
            <w:tcW w:w="709" w:type="dxa"/>
            <w:shd w:val="pct10" w:color="auto" w:fill="FFFFFF"/>
          </w:tcPr>
          <w:p>
            <w:pPr>
              <w:keepNext/>
              <w:keepLines/>
              <w:spacing w:after="0"/>
              <w:rPr>
                <w:rFonts w:ascii="Arial" w:hAnsi="Arial" w:eastAsia="宋体"/>
                <w:b/>
                <w:sz w:val="16"/>
              </w:rPr>
            </w:pPr>
            <w:r>
              <w:rPr>
                <w:rFonts w:ascii="Arial" w:hAnsi="Arial" w:eastAsia="宋体"/>
                <w:b/>
                <w:sz w:val="16"/>
              </w:rPr>
              <w:t>Old</w:t>
            </w:r>
          </w:p>
        </w:tc>
        <w:tc>
          <w:tcPr>
            <w:tcW w:w="709" w:type="dxa"/>
            <w:shd w:val="pct10" w:color="auto" w:fill="FFFFFF"/>
          </w:tcPr>
          <w:p>
            <w:pPr>
              <w:keepNext/>
              <w:keepLines/>
              <w:spacing w:after="0"/>
              <w:rPr>
                <w:rFonts w:ascii="Arial" w:hAnsi="Arial" w:eastAsia="宋体"/>
                <w:b/>
                <w:sz w:val="16"/>
              </w:rPr>
            </w:pPr>
            <w:r>
              <w:rPr>
                <w:rFonts w:ascii="Arial" w:hAnsi="Arial" w:eastAsia="宋体"/>
                <w:b/>
                <w:sz w:val="16"/>
              </w:rPr>
              <w:t>New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宋体"/>
                <w:snapToGrid w:val="0"/>
                <w:sz w:val="18"/>
                <w:szCs w:val="18"/>
                <w:lang w:val="en-AU" w:eastAsia="zh-CN"/>
              </w:rPr>
            </w:pPr>
            <w:r>
              <w:rPr>
                <w:rFonts w:ascii="Arial" w:hAnsi="Arial" w:eastAsia="宋体"/>
                <w:sz w:val="18"/>
                <w:szCs w:val="18"/>
              </w:rPr>
              <w:t>0</w:t>
            </w:r>
            <w:r>
              <w:rPr>
                <w:rFonts w:hint="eastAsia" w:ascii="Arial" w:hAnsi="Arial" w:eastAsia="宋体"/>
                <w:sz w:val="18"/>
                <w:szCs w:val="18"/>
                <w:lang w:eastAsia="zh-CN"/>
              </w:rPr>
              <w:t>8</w:t>
            </w:r>
            <w:r>
              <w:rPr>
                <w:rFonts w:ascii="Arial" w:hAnsi="Arial" w:eastAsia="宋体"/>
                <w:sz w:val="18"/>
                <w:szCs w:val="18"/>
              </w:rPr>
              <w:t>/20</w:t>
            </w:r>
            <w:r>
              <w:rPr>
                <w:rFonts w:hint="eastAsia" w:ascii="Arial" w:hAnsi="Arial" w:eastAsia="宋体"/>
                <w:sz w:val="18"/>
                <w:szCs w:val="18"/>
                <w:lang w:eastAsia="zh-CN"/>
              </w:rPr>
              <w:t>22</w:t>
            </w:r>
          </w:p>
        </w:tc>
        <w:tc>
          <w:tcPr>
            <w:tcW w:w="1185" w:type="dxa"/>
            <w:shd w:val="solid" w:color="FFFFFF" w:fill="auto"/>
          </w:tcPr>
          <w:p>
            <w:pPr>
              <w:keepNext/>
              <w:keepLines/>
              <w:spacing w:after="0"/>
              <w:rPr>
                <w:rFonts w:ascii="Arial" w:hAnsi="Arial" w:eastAsia="宋体"/>
                <w:snapToGrid w:val="0"/>
                <w:sz w:val="18"/>
                <w:lang w:val="en-AU" w:eastAsia="zh-CN"/>
              </w:rPr>
            </w:pPr>
            <w:r>
              <w:rPr>
                <w:rFonts w:ascii="Arial" w:hAnsi="Arial" w:eastAsia="宋体"/>
                <w:snapToGrid w:val="0"/>
                <w:sz w:val="18"/>
                <w:lang w:val="en-AU" w:eastAsia="zh-CN"/>
              </w:rPr>
              <w:t>RAN4#</w:t>
            </w:r>
            <w:r>
              <w:rPr>
                <w:rFonts w:hint="eastAsia" w:ascii="Arial" w:hAnsi="Arial" w:eastAsia="宋体"/>
                <w:snapToGrid w:val="0"/>
                <w:sz w:val="18"/>
                <w:lang w:val="en-AU" w:eastAsia="zh-CN"/>
              </w:rPr>
              <w:t>104-e</w:t>
            </w:r>
          </w:p>
        </w:tc>
        <w:tc>
          <w:tcPr>
            <w:tcW w:w="1134" w:type="dxa"/>
            <w:shd w:val="solid" w:color="FFFFFF" w:fill="auto"/>
          </w:tcPr>
          <w:p>
            <w:pPr>
              <w:keepNext/>
              <w:keepLines/>
              <w:spacing w:after="0"/>
              <w:rPr>
                <w:rFonts w:ascii="Arial" w:hAnsi="Arial" w:eastAsia="宋体"/>
                <w:b/>
                <w:snapToGrid w:val="0"/>
                <w:sz w:val="18"/>
                <w:lang w:val="en-AU" w:eastAsia="zh-CN"/>
              </w:rPr>
            </w:pPr>
            <w:r>
              <w:rPr>
                <w:rFonts w:ascii="Arial" w:hAnsi="Arial" w:eastAsia="宋体"/>
                <w:snapToGrid w:val="0"/>
                <w:sz w:val="18"/>
                <w:lang w:val="en-AU" w:eastAsia="zh-CN"/>
              </w:rPr>
              <w:t>R4-2214912</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 xml:space="preserve">TR skeleton </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N/A</w:t>
            </w:r>
          </w:p>
        </w:tc>
        <w:tc>
          <w:tcPr>
            <w:tcW w:w="709"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宋体"/>
                <w:sz w:val="18"/>
                <w:szCs w:val="18"/>
                <w:lang w:eastAsia="zh-CN"/>
              </w:rPr>
            </w:pPr>
            <w:r>
              <w:rPr>
                <w:rFonts w:hint="eastAsia" w:ascii="Arial" w:hAnsi="Arial" w:eastAsia="宋体"/>
                <w:sz w:val="18"/>
                <w:szCs w:val="18"/>
                <w:lang w:eastAsia="zh-CN"/>
              </w:rPr>
              <w:t>11</w:t>
            </w:r>
            <w:r>
              <w:rPr>
                <w:rFonts w:ascii="Arial" w:hAnsi="Arial" w:eastAsia="宋体"/>
                <w:sz w:val="18"/>
                <w:szCs w:val="18"/>
              </w:rPr>
              <w:t>/20</w:t>
            </w:r>
            <w:r>
              <w:rPr>
                <w:rFonts w:hint="eastAsia" w:ascii="Arial" w:hAnsi="Arial" w:eastAsia="宋体"/>
                <w:sz w:val="18"/>
                <w:szCs w:val="18"/>
                <w:lang w:eastAsia="zh-CN"/>
              </w:rPr>
              <w:t>22</w:t>
            </w:r>
          </w:p>
        </w:tc>
        <w:tc>
          <w:tcPr>
            <w:tcW w:w="1185"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eastAsia="zh-CN"/>
              </w:rPr>
              <w:t>RAN4#</w:t>
            </w:r>
            <w:r>
              <w:rPr>
                <w:rFonts w:hint="eastAsia" w:ascii="Arial" w:hAnsi="Arial" w:eastAsia="宋体"/>
                <w:snapToGrid w:val="0"/>
                <w:sz w:val="18"/>
                <w:lang w:val="en-AU" w:eastAsia="zh-CN"/>
              </w:rPr>
              <w:t>105</w:t>
            </w:r>
          </w:p>
        </w:tc>
        <w:tc>
          <w:tcPr>
            <w:tcW w:w="1134" w:type="dxa"/>
            <w:shd w:val="solid" w:color="FFFFFF" w:fill="auto"/>
          </w:tcPr>
          <w:p>
            <w:pPr>
              <w:keepNext/>
              <w:keepLines/>
              <w:spacing w:after="0"/>
              <w:rPr>
                <w:rFonts w:ascii="Arial" w:hAnsi="Arial" w:eastAsia="宋体"/>
                <w:sz w:val="18"/>
                <w:lang w:val="en-US" w:eastAsia="zh-CN"/>
              </w:rPr>
            </w:pPr>
            <w:r>
              <w:rPr>
                <w:rFonts w:ascii="Arial" w:hAnsi="Arial" w:eastAsia="宋体"/>
                <w:sz w:val="18"/>
                <w:lang w:val="en-US"/>
              </w:rPr>
              <w:t>R4-2218030</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ascii="Arial" w:hAnsi="Arial" w:eastAsia="宋体"/>
                <w:snapToGrid w:val="0"/>
                <w:sz w:val="18"/>
                <w:lang w:val="en-AU" w:eastAsia="zh-CN"/>
              </w:rPr>
            </w:pPr>
            <w:r>
              <w:rPr>
                <w:rFonts w:ascii="Arial" w:hAnsi="Arial" w:eastAsia="宋体"/>
                <w:snapToGrid w:val="0"/>
                <w:sz w:val="18"/>
                <w:lang w:val="en-AU"/>
              </w:rPr>
              <w:t>R4-2215335 TP for ATG TR 38.876 skeleton</w:t>
            </w:r>
          </w:p>
          <w:p>
            <w:pPr>
              <w:keepNext/>
              <w:keepLines/>
              <w:spacing w:after="0"/>
              <w:rPr>
                <w:rFonts w:ascii="Arial" w:hAnsi="Arial" w:eastAsia="宋体"/>
                <w:snapToGrid w:val="0"/>
                <w:sz w:val="18"/>
                <w:lang w:val="en-AU" w:eastAsia="zh-CN"/>
              </w:rPr>
            </w:pPr>
            <w:r>
              <w:rPr>
                <w:rFonts w:ascii="Arial" w:hAnsi="Arial" w:eastAsia="宋体"/>
                <w:snapToGrid w:val="0"/>
                <w:sz w:val="18"/>
                <w:lang w:val="en-AU"/>
              </w:rPr>
              <w:t>R4-2217504</w:t>
            </w:r>
            <w:r>
              <w:rPr>
                <w:rFonts w:hint="eastAsia" w:ascii="Arial" w:hAnsi="Arial" w:eastAsia="宋体"/>
                <w:snapToGrid w:val="0"/>
                <w:sz w:val="18"/>
                <w:lang w:val="en-AU"/>
              </w:rPr>
              <w:t xml:space="preserve"> </w:t>
            </w:r>
            <w:r>
              <w:rPr>
                <w:rFonts w:ascii="Arial" w:hAnsi="Arial" w:eastAsia="宋体"/>
                <w:snapToGrid w:val="0"/>
                <w:sz w:val="18"/>
                <w:lang w:val="en-AU"/>
              </w:rPr>
              <w:t>TP for TR 38.876</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0.0.1</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宋体"/>
                <w:sz w:val="18"/>
                <w:szCs w:val="18"/>
                <w:lang w:eastAsia="zh-CN"/>
              </w:rPr>
            </w:pPr>
            <w:r>
              <w:rPr>
                <w:rFonts w:hint="eastAsia" w:ascii="Arial" w:hAnsi="Arial" w:eastAsia="宋体"/>
                <w:sz w:val="18"/>
                <w:szCs w:val="18"/>
                <w:lang w:eastAsia="zh-CN"/>
              </w:rPr>
              <w:t>0</w:t>
            </w:r>
            <w:r>
              <w:rPr>
                <w:rFonts w:ascii="Arial" w:hAnsi="Arial" w:eastAsia="宋体"/>
                <w:sz w:val="18"/>
                <w:szCs w:val="18"/>
                <w:lang w:eastAsia="zh-CN"/>
              </w:rPr>
              <w:t>2/2023</w:t>
            </w:r>
          </w:p>
        </w:tc>
        <w:tc>
          <w:tcPr>
            <w:tcW w:w="1185" w:type="dxa"/>
            <w:shd w:val="solid" w:color="FFFFFF" w:fill="auto"/>
          </w:tcPr>
          <w:p>
            <w:pPr>
              <w:keepNext/>
              <w:keepLines/>
              <w:spacing w:after="0"/>
              <w:rPr>
                <w:rFonts w:ascii="Arial" w:hAnsi="Arial" w:eastAsia="宋体"/>
                <w:snapToGrid w:val="0"/>
                <w:sz w:val="18"/>
                <w:lang w:val="en-AU" w:eastAsia="zh-CN"/>
              </w:rPr>
            </w:pPr>
            <w:r>
              <w:rPr>
                <w:rFonts w:ascii="Arial" w:hAnsi="Arial" w:eastAsia="宋体"/>
                <w:snapToGrid w:val="0"/>
                <w:sz w:val="18"/>
                <w:lang w:val="en-AU" w:eastAsia="zh-CN"/>
              </w:rPr>
              <w:t>RAN4#106</w:t>
            </w:r>
          </w:p>
        </w:tc>
        <w:tc>
          <w:tcPr>
            <w:tcW w:w="1134" w:type="dxa"/>
            <w:shd w:val="solid" w:color="FFFFFF" w:fill="auto"/>
          </w:tcPr>
          <w:p>
            <w:pPr>
              <w:keepNext/>
              <w:keepLines/>
              <w:spacing w:after="0"/>
              <w:rPr>
                <w:rFonts w:ascii="Arial" w:hAnsi="Arial" w:eastAsia="宋体"/>
                <w:sz w:val="18"/>
                <w:lang w:val="en-US" w:eastAsia="zh-CN"/>
              </w:rPr>
            </w:pPr>
            <w:r>
              <w:rPr>
                <w:rFonts w:hint="eastAsia" w:ascii="Arial" w:hAnsi="Arial" w:eastAsia="宋体"/>
                <w:sz w:val="18"/>
                <w:lang w:val="en-US" w:eastAsia="zh-CN"/>
              </w:rPr>
              <w:t>R</w:t>
            </w:r>
            <w:r>
              <w:rPr>
                <w:rFonts w:ascii="Arial" w:hAnsi="Arial" w:eastAsia="宋体"/>
                <w:sz w:val="18"/>
                <w:lang w:val="en-US" w:eastAsia="zh-CN"/>
              </w:rPr>
              <w:t>4-2301861</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R4-2220826 TP for TR 38.876: frequency error</w:t>
            </w:r>
          </w:p>
          <w:p>
            <w:pPr>
              <w:keepNext/>
              <w:keepLines/>
              <w:spacing w:after="0"/>
              <w:rPr>
                <w:rFonts w:ascii="Arial" w:hAnsi="Arial" w:eastAsia="宋体"/>
                <w:snapToGrid w:val="0"/>
                <w:sz w:val="18"/>
                <w:lang w:val="en-AU"/>
              </w:rPr>
            </w:pPr>
            <w:r>
              <w:rPr>
                <w:rFonts w:ascii="Arial" w:hAnsi="Arial" w:eastAsia="宋体"/>
                <w:snapToGrid w:val="0"/>
                <w:sz w:val="18"/>
                <w:lang w:val="en-AU"/>
              </w:rPr>
              <w:t>R4-2220539 TP for TR 38.876 to capture general assumptions</w:t>
            </w:r>
          </w:p>
          <w:p>
            <w:pPr>
              <w:keepNext/>
              <w:keepLines/>
              <w:spacing w:after="0"/>
              <w:rPr>
                <w:rFonts w:ascii="Arial" w:hAnsi="Arial" w:eastAsia="宋体"/>
                <w:snapToGrid w:val="0"/>
                <w:sz w:val="18"/>
                <w:lang w:val="en-AU"/>
              </w:rPr>
            </w:pPr>
            <w:r>
              <w:rPr>
                <w:rFonts w:ascii="Arial" w:hAnsi="Arial" w:eastAsia="宋体"/>
                <w:snapToGrid w:val="0"/>
                <w:sz w:val="18"/>
                <w:lang w:val="en-AU"/>
              </w:rPr>
              <w:t>R4-2220540 TP for TR 38.876 to capture scenarios and network layout</w:t>
            </w:r>
          </w:p>
          <w:p>
            <w:pPr>
              <w:keepNext/>
              <w:keepLines/>
              <w:spacing w:after="0"/>
              <w:rPr>
                <w:rFonts w:ascii="Arial" w:hAnsi="Arial" w:eastAsia="宋体"/>
                <w:snapToGrid w:val="0"/>
                <w:sz w:val="18"/>
                <w:lang w:val="en-AU"/>
              </w:rPr>
            </w:pPr>
            <w:r>
              <w:rPr>
                <w:rFonts w:ascii="Arial" w:hAnsi="Arial" w:eastAsia="宋体"/>
                <w:snapToGrid w:val="0"/>
                <w:sz w:val="18"/>
                <w:lang w:val="en-AU"/>
              </w:rPr>
              <w:t>R4-2220541 TP for TR 38.876 to capture system parameter assumption and antenna modelling</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w:t>
            </w:r>
            <w:r>
              <w:rPr>
                <w:rFonts w:ascii="Arial" w:hAnsi="Arial" w:eastAsia="宋体"/>
                <w:snapToGrid w:val="0"/>
                <w:sz w:val="18"/>
                <w:lang w:val="en-AU" w:eastAsia="zh-CN"/>
              </w:rPr>
              <w:t>.1.0</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w:t>
            </w:r>
            <w:r>
              <w:rPr>
                <w:rFonts w:ascii="Arial" w:hAnsi="Arial" w:eastAsia="宋体"/>
                <w:snapToGrid w:val="0"/>
                <w:sz w:val="18"/>
                <w:lang w:val="en-AU" w:eastAsia="zh-CN"/>
              </w:rPr>
              <w:t>.2.0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宋体"/>
                <w:sz w:val="18"/>
                <w:szCs w:val="18"/>
                <w:lang w:eastAsia="zh-CN"/>
              </w:rPr>
            </w:pPr>
            <w:r>
              <w:rPr>
                <w:rFonts w:hint="eastAsia" w:ascii="Arial" w:hAnsi="Arial" w:eastAsia="宋体"/>
                <w:sz w:val="18"/>
                <w:szCs w:val="18"/>
                <w:lang w:eastAsia="zh-CN"/>
              </w:rPr>
              <w:t>0</w:t>
            </w:r>
            <w:r>
              <w:rPr>
                <w:rFonts w:ascii="Arial" w:hAnsi="Arial" w:eastAsia="宋体"/>
                <w:sz w:val="18"/>
                <w:szCs w:val="18"/>
                <w:lang w:eastAsia="zh-CN"/>
              </w:rPr>
              <w:t>4/2023</w:t>
            </w:r>
          </w:p>
        </w:tc>
        <w:tc>
          <w:tcPr>
            <w:tcW w:w="1185"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R</w:t>
            </w:r>
            <w:r>
              <w:rPr>
                <w:rFonts w:ascii="Arial" w:hAnsi="Arial" w:eastAsia="宋体"/>
                <w:snapToGrid w:val="0"/>
                <w:sz w:val="18"/>
                <w:lang w:val="en-AU" w:eastAsia="zh-CN"/>
              </w:rPr>
              <w:t>AN4#106bis</w:t>
            </w:r>
          </w:p>
        </w:tc>
        <w:tc>
          <w:tcPr>
            <w:tcW w:w="1134" w:type="dxa"/>
            <w:shd w:val="solid" w:color="FFFFFF" w:fill="auto"/>
          </w:tcPr>
          <w:p>
            <w:pPr>
              <w:keepNext/>
              <w:keepLines/>
              <w:spacing w:after="0"/>
              <w:rPr>
                <w:rFonts w:ascii="Arial" w:hAnsi="Arial" w:eastAsia="宋体"/>
                <w:sz w:val="18"/>
                <w:lang w:val="en-US"/>
              </w:rPr>
            </w:pPr>
            <w:r>
              <w:rPr>
                <w:rFonts w:hint="eastAsia" w:ascii="Arial" w:hAnsi="Arial" w:eastAsia="宋体"/>
                <w:sz w:val="18"/>
                <w:lang w:val="en-US" w:eastAsia="zh-CN"/>
              </w:rPr>
              <w:t>R</w:t>
            </w:r>
            <w:r>
              <w:rPr>
                <w:rFonts w:ascii="Arial" w:hAnsi="Arial" w:eastAsia="宋体"/>
                <w:sz w:val="18"/>
                <w:lang w:val="en-US" w:eastAsia="zh-CN"/>
              </w:rPr>
              <w:t>4-2303640</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R4-2302096 TP for TR 38.876 to add some coexistence assumption and methodology</w:t>
            </w:r>
          </w:p>
          <w:p>
            <w:pPr>
              <w:keepNext/>
              <w:keepLines/>
              <w:spacing w:after="0"/>
              <w:rPr>
                <w:rFonts w:ascii="Arial" w:hAnsi="Arial" w:eastAsia="宋体"/>
                <w:snapToGrid w:val="0"/>
                <w:sz w:val="18"/>
                <w:lang w:val="en-AU"/>
              </w:rPr>
            </w:pPr>
            <w:r>
              <w:rPr>
                <w:rFonts w:ascii="Arial" w:hAnsi="Arial" w:eastAsia="宋体"/>
                <w:snapToGrid w:val="0"/>
                <w:sz w:val="18"/>
                <w:lang w:val="en-AU"/>
              </w:rPr>
              <w:t>R4-2303641 TP for TR 38.876 to capture system parameter assumption</w:t>
            </w:r>
          </w:p>
          <w:p>
            <w:pPr>
              <w:keepNext/>
              <w:keepLines/>
              <w:spacing w:after="0"/>
              <w:rPr>
                <w:rFonts w:ascii="Arial" w:hAnsi="Arial" w:eastAsia="宋体"/>
                <w:snapToGrid w:val="0"/>
                <w:sz w:val="18"/>
                <w:lang w:val="en-AU"/>
              </w:rPr>
            </w:pPr>
            <w:r>
              <w:rPr>
                <w:rFonts w:ascii="Arial" w:hAnsi="Arial" w:eastAsia="宋体"/>
                <w:snapToGrid w:val="0"/>
                <w:sz w:val="18"/>
                <w:lang w:val="en-AU"/>
              </w:rPr>
              <w:t>R4-2303642 TP to TR 38.876: Update of simulation assumptions</w:t>
            </w:r>
          </w:p>
          <w:p>
            <w:pPr>
              <w:keepNext/>
              <w:keepLines/>
              <w:spacing w:after="0"/>
              <w:rPr>
                <w:rFonts w:ascii="Arial" w:hAnsi="Arial" w:eastAsia="宋体"/>
                <w:snapToGrid w:val="0"/>
                <w:sz w:val="18"/>
                <w:lang w:val="en-AU"/>
              </w:rPr>
            </w:pPr>
            <w:r>
              <w:rPr>
                <w:rFonts w:ascii="Arial" w:hAnsi="Arial" w:eastAsia="宋体"/>
                <w:snapToGrid w:val="0"/>
                <w:sz w:val="18"/>
                <w:lang w:val="en-AU"/>
              </w:rPr>
              <w:t>R4-2303643 TP for TR 38.876 to introduce ATG UE Tx requirements</w:t>
            </w:r>
          </w:p>
          <w:p>
            <w:pPr>
              <w:keepNext/>
              <w:keepLines/>
              <w:spacing w:after="0"/>
              <w:rPr>
                <w:rFonts w:ascii="Arial" w:hAnsi="Arial" w:eastAsia="宋体"/>
                <w:snapToGrid w:val="0"/>
                <w:sz w:val="18"/>
                <w:lang w:val="en-AU"/>
              </w:rPr>
            </w:pPr>
            <w:r>
              <w:rPr>
                <w:rFonts w:ascii="Arial" w:hAnsi="Arial" w:eastAsia="宋体"/>
                <w:snapToGrid w:val="0"/>
                <w:sz w:val="18"/>
                <w:lang w:val="en-AU"/>
              </w:rPr>
              <w:t>R4-2303644 TP for TR 38.876 to introduce technical analysis for ATG UE Rx requirements.</w:t>
            </w:r>
          </w:p>
          <w:p>
            <w:pPr>
              <w:keepNext/>
              <w:keepLines/>
              <w:spacing w:after="0"/>
              <w:rPr>
                <w:rFonts w:ascii="Arial" w:hAnsi="Arial" w:eastAsia="宋体"/>
                <w:snapToGrid w:val="0"/>
                <w:sz w:val="18"/>
                <w:lang w:val="en-AU"/>
              </w:rPr>
            </w:pPr>
            <w:r>
              <w:rPr>
                <w:rFonts w:ascii="Arial" w:hAnsi="Arial" w:eastAsia="宋体"/>
                <w:snapToGrid w:val="0"/>
                <w:sz w:val="18"/>
                <w:lang w:val="en-AU"/>
              </w:rPr>
              <w:t>R4-2303227 TP to TR 38.876: RRM requirements for ATG network</w:t>
            </w:r>
          </w:p>
          <w:p>
            <w:pPr>
              <w:keepNext/>
              <w:keepLines/>
              <w:spacing w:after="0"/>
              <w:rPr>
                <w:rFonts w:ascii="Arial" w:hAnsi="Arial" w:eastAsia="宋体"/>
                <w:snapToGrid w:val="0"/>
                <w:sz w:val="18"/>
                <w:lang w:val="en-AU"/>
              </w:rPr>
            </w:pPr>
            <w:r>
              <w:rPr>
                <w:rFonts w:ascii="Arial" w:hAnsi="Arial" w:eastAsia="宋体"/>
                <w:snapToGrid w:val="0"/>
                <w:sz w:val="18"/>
                <w:lang w:val="en-AU"/>
              </w:rPr>
              <w:t>R4-2302905 TP for TR 38.876 on BS RF requirements</w:t>
            </w:r>
          </w:p>
        </w:tc>
        <w:tc>
          <w:tcPr>
            <w:tcW w:w="709" w:type="dxa"/>
            <w:shd w:val="solid" w:color="FFFFFF" w:fill="auto"/>
          </w:tcPr>
          <w:p>
            <w:pPr>
              <w:keepNext/>
              <w:keepLines/>
              <w:spacing w:after="0"/>
              <w:rPr>
                <w:rFonts w:ascii="Arial" w:hAnsi="Arial" w:eastAsia="宋体"/>
                <w:snapToGrid w:val="0"/>
                <w:sz w:val="18"/>
                <w:lang w:val="en-AU" w:eastAsia="zh-CN"/>
              </w:rPr>
            </w:pPr>
            <w:r>
              <w:rPr>
                <w:rFonts w:ascii="Arial" w:hAnsi="Arial" w:eastAsia="宋体"/>
                <w:snapToGrid w:val="0"/>
                <w:sz w:val="18"/>
                <w:lang w:val="en-AU" w:eastAsia="zh-CN"/>
              </w:rPr>
              <w:t>0.2.0</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w:t>
            </w:r>
            <w:r>
              <w:rPr>
                <w:rFonts w:ascii="Arial" w:hAnsi="Arial" w:eastAsia="宋体"/>
                <w:snapToGrid w:val="0"/>
                <w:sz w:val="18"/>
                <w:lang w:val="en-AU" w:eastAsia="zh-CN"/>
              </w:rPr>
              <w:t>.3.0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宋体"/>
                <w:sz w:val="18"/>
                <w:szCs w:val="18"/>
                <w:lang w:eastAsia="zh-CN"/>
              </w:rPr>
            </w:pPr>
            <w:r>
              <w:rPr>
                <w:rFonts w:hint="eastAsia" w:ascii="Arial" w:hAnsi="Arial" w:eastAsia="宋体"/>
                <w:sz w:val="18"/>
                <w:szCs w:val="18"/>
                <w:lang w:eastAsia="zh-CN"/>
              </w:rPr>
              <w:t>0</w:t>
            </w:r>
            <w:r>
              <w:rPr>
                <w:rFonts w:ascii="Arial" w:hAnsi="Arial" w:eastAsia="宋体"/>
                <w:sz w:val="18"/>
                <w:szCs w:val="18"/>
                <w:lang w:eastAsia="zh-CN"/>
              </w:rPr>
              <w:t>5/2023</w:t>
            </w:r>
          </w:p>
        </w:tc>
        <w:tc>
          <w:tcPr>
            <w:tcW w:w="1185"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RAN4#107</w:t>
            </w:r>
          </w:p>
        </w:tc>
        <w:tc>
          <w:tcPr>
            <w:tcW w:w="1134" w:type="dxa"/>
            <w:shd w:val="solid" w:color="FFFFFF" w:fill="auto"/>
          </w:tcPr>
          <w:p>
            <w:pPr>
              <w:keepNext/>
              <w:keepLines/>
              <w:spacing w:after="0"/>
              <w:rPr>
                <w:rFonts w:ascii="Arial" w:hAnsi="Arial" w:eastAsia="宋体"/>
                <w:sz w:val="18"/>
                <w:lang w:val="en-US"/>
              </w:rPr>
            </w:pPr>
            <w:r>
              <w:rPr>
                <w:rFonts w:ascii="Arial" w:hAnsi="Arial" w:eastAsia="宋体"/>
                <w:sz w:val="18"/>
                <w:lang w:val="en-US"/>
              </w:rPr>
              <w:t>R4-2309106</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R4-2310402</w:t>
            </w:r>
            <w:r>
              <w:rPr>
                <w:rFonts w:ascii="Arial" w:hAnsi="Arial" w:eastAsia="宋体"/>
                <w:snapToGrid w:val="0"/>
                <w:sz w:val="18"/>
                <w:lang w:val="en-AU"/>
              </w:rPr>
              <w:tab/>
            </w:r>
            <w:r>
              <w:rPr>
                <w:rFonts w:ascii="Arial" w:hAnsi="Arial" w:eastAsia="宋体"/>
                <w:snapToGrid w:val="0"/>
                <w:sz w:val="18"/>
                <w:lang w:val="en-AU"/>
              </w:rPr>
              <w:t>TP for TR 38.876 to add Annex, CMCC</w:t>
            </w:r>
          </w:p>
          <w:p>
            <w:pPr>
              <w:keepNext/>
              <w:keepLines/>
              <w:spacing w:after="0"/>
              <w:rPr>
                <w:rFonts w:ascii="Arial" w:hAnsi="Arial" w:eastAsia="宋体"/>
                <w:snapToGrid w:val="0"/>
                <w:sz w:val="18"/>
                <w:lang w:val="en-AU"/>
              </w:rPr>
            </w:pPr>
            <w:r>
              <w:rPr>
                <w:rFonts w:ascii="Arial" w:hAnsi="Arial" w:eastAsia="宋体"/>
                <w:snapToGrid w:val="0"/>
                <w:sz w:val="18"/>
                <w:lang w:val="en-AU"/>
              </w:rPr>
              <w:t>R4-2310494</w:t>
            </w:r>
            <w:r>
              <w:rPr>
                <w:rFonts w:ascii="Arial" w:hAnsi="Arial" w:eastAsia="宋体"/>
                <w:snapToGrid w:val="0"/>
                <w:sz w:val="18"/>
                <w:lang w:val="en-AU"/>
              </w:rPr>
              <w:tab/>
            </w:r>
            <w:r>
              <w:rPr>
                <w:rFonts w:ascii="Arial" w:hAnsi="Arial" w:eastAsia="宋体"/>
                <w:snapToGrid w:val="0"/>
                <w:sz w:val="18"/>
                <w:lang w:val="en-AU"/>
              </w:rPr>
              <w:t>TP to TR 38.876: Skeleton for Co-existence simulation results, Ericsson</w:t>
            </w:r>
          </w:p>
          <w:p>
            <w:pPr>
              <w:keepNext/>
              <w:keepLines/>
              <w:spacing w:after="0"/>
              <w:rPr>
                <w:rFonts w:ascii="Arial" w:hAnsi="Arial" w:eastAsia="宋体"/>
                <w:snapToGrid w:val="0"/>
                <w:sz w:val="18"/>
                <w:lang w:val="en-AU"/>
              </w:rPr>
            </w:pPr>
            <w:r>
              <w:rPr>
                <w:rFonts w:ascii="Arial" w:hAnsi="Arial" w:eastAsia="宋体"/>
                <w:snapToGrid w:val="0"/>
                <w:sz w:val="18"/>
                <w:lang w:val="en-AU"/>
              </w:rPr>
              <w:t>R4-2310404</w:t>
            </w:r>
            <w:r>
              <w:rPr>
                <w:rFonts w:ascii="Arial" w:hAnsi="Arial" w:eastAsia="宋体"/>
                <w:snapToGrid w:val="0"/>
                <w:sz w:val="18"/>
                <w:lang w:val="en-AU"/>
              </w:rPr>
              <w:tab/>
            </w:r>
            <w:r>
              <w:rPr>
                <w:rFonts w:ascii="Arial" w:hAnsi="Arial" w:eastAsia="宋体"/>
                <w:snapToGrid w:val="0"/>
                <w:sz w:val="18"/>
                <w:lang w:val="en-AU"/>
              </w:rPr>
              <w:t>TP for TS 38.876: Clause 6.1~6.3, ZTE Corporation</w:t>
            </w:r>
          </w:p>
          <w:p>
            <w:pPr>
              <w:keepNext/>
              <w:keepLines/>
              <w:spacing w:after="0"/>
              <w:rPr>
                <w:rFonts w:ascii="Arial" w:hAnsi="Arial" w:eastAsia="宋体"/>
                <w:snapToGrid w:val="0"/>
                <w:sz w:val="18"/>
                <w:lang w:val="en-AU"/>
              </w:rPr>
            </w:pPr>
            <w:r>
              <w:rPr>
                <w:rFonts w:ascii="Arial" w:hAnsi="Arial" w:eastAsia="宋体"/>
                <w:snapToGrid w:val="0"/>
                <w:sz w:val="18"/>
                <w:lang w:val="en-AU"/>
              </w:rPr>
              <w:t>R4-2310405</w:t>
            </w:r>
            <w:r>
              <w:rPr>
                <w:rFonts w:ascii="Arial" w:hAnsi="Arial" w:eastAsia="宋体"/>
                <w:snapToGrid w:val="0"/>
                <w:sz w:val="18"/>
                <w:lang w:val="en-AU"/>
              </w:rPr>
              <w:tab/>
            </w:r>
            <w:r>
              <w:rPr>
                <w:rFonts w:ascii="Arial" w:hAnsi="Arial" w:eastAsia="宋体"/>
                <w:snapToGrid w:val="0"/>
                <w:sz w:val="18"/>
                <w:lang w:val="en-AU"/>
              </w:rPr>
              <w:t>TP for TR38.876:clause 7.1 and 7.1.1, ZTE Corporation</w:t>
            </w:r>
          </w:p>
          <w:p>
            <w:pPr>
              <w:keepNext/>
              <w:keepLines/>
              <w:spacing w:after="0"/>
              <w:rPr>
                <w:rFonts w:ascii="Arial" w:hAnsi="Arial" w:eastAsia="宋体"/>
                <w:snapToGrid w:val="0"/>
                <w:sz w:val="18"/>
                <w:lang w:val="en-AU"/>
              </w:rPr>
            </w:pPr>
            <w:r>
              <w:rPr>
                <w:rFonts w:ascii="Arial" w:hAnsi="Arial" w:eastAsia="宋体"/>
                <w:snapToGrid w:val="0"/>
                <w:sz w:val="18"/>
                <w:lang w:val="en-AU"/>
              </w:rPr>
              <w:t>R4-2310406</w:t>
            </w:r>
            <w:r>
              <w:rPr>
                <w:rFonts w:ascii="Arial" w:hAnsi="Arial" w:eastAsia="宋体"/>
                <w:snapToGrid w:val="0"/>
                <w:sz w:val="18"/>
                <w:lang w:val="en-AU"/>
              </w:rPr>
              <w:tab/>
            </w:r>
            <w:r>
              <w:rPr>
                <w:rFonts w:ascii="Arial" w:hAnsi="Arial" w:eastAsia="宋体"/>
                <w:snapToGrid w:val="0"/>
                <w:sz w:val="18"/>
                <w:lang w:val="en-AU"/>
              </w:rPr>
              <w:t>TP for TR 38.876 to introduce ATG UE Tx requirements part 1, Huawei, HiSilicon</w:t>
            </w:r>
          </w:p>
          <w:p>
            <w:pPr>
              <w:keepNext/>
              <w:keepLines/>
              <w:spacing w:after="0"/>
              <w:rPr>
                <w:rFonts w:ascii="Arial" w:hAnsi="Arial" w:eastAsia="宋体"/>
                <w:snapToGrid w:val="0"/>
                <w:sz w:val="18"/>
                <w:lang w:val="en-AU"/>
              </w:rPr>
            </w:pPr>
            <w:r>
              <w:rPr>
                <w:rFonts w:ascii="Arial" w:hAnsi="Arial" w:eastAsia="宋体"/>
                <w:snapToGrid w:val="0"/>
                <w:sz w:val="18"/>
                <w:lang w:val="en-AU"/>
              </w:rPr>
              <w:t>R4-2309169</w:t>
            </w:r>
            <w:r>
              <w:rPr>
                <w:rFonts w:ascii="Arial" w:hAnsi="Arial" w:eastAsia="宋体"/>
                <w:snapToGrid w:val="0"/>
                <w:sz w:val="18"/>
                <w:lang w:val="en-AU"/>
              </w:rPr>
              <w:tab/>
            </w:r>
            <w:r>
              <w:rPr>
                <w:rFonts w:ascii="Arial" w:hAnsi="Arial" w:eastAsia="宋体"/>
                <w:snapToGrid w:val="0"/>
                <w:sz w:val="18"/>
                <w:lang w:val="en-AU"/>
              </w:rPr>
              <w:t>TP for TR38.876 :clause 7.2.3.4~7.2.3.7,  ZTE Corporation</w:t>
            </w:r>
          </w:p>
          <w:p>
            <w:pPr>
              <w:keepNext/>
              <w:keepLines/>
              <w:spacing w:after="0"/>
              <w:rPr>
                <w:rFonts w:ascii="Arial" w:hAnsi="Arial" w:eastAsia="宋体"/>
                <w:snapToGrid w:val="0"/>
                <w:sz w:val="18"/>
                <w:lang w:val="en-AU"/>
              </w:rPr>
            </w:pPr>
            <w:r>
              <w:rPr>
                <w:rFonts w:ascii="Arial" w:hAnsi="Arial" w:eastAsia="宋体"/>
                <w:snapToGrid w:val="0"/>
                <w:sz w:val="18"/>
                <w:lang w:val="en-AU"/>
              </w:rPr>
              <w:t>R4-2309761</w:t>
            </w:r>
            <w:r>
              <w:rPr>
                <w:rFonts w:ascii="Arial" w:hAnsi="Arial" w:eastAsia="宋体"/>
                <w:snapToGrid w:val="0"/>
                <w:sz w:val="18"/>
                <w:lang w:val="en-AU"/>
              </w:rPr>
              <w:tab/>
            </w:r>
            <w:r>
              <w:rPr>
                <w:rFonts w:ascii="Arial" w:hAnsi="Arial" w:eastAsia="宋体"/>
                <w:snapToGrid w:val="0"/>
                <w:sz w:val="18"/>
                <w:lang w:val="en-AU"/>
              </w:rPr>
              <w:t>TP for TR 38.876 to introduce ATG BS Rx requirements, CMCC</w:t>
            </w:r>
          </w:p>
          <w:p>
            <w:pPr>
              <w:keepNext/>
              <w:keepLines/>
              <w:spacing w:after="0"/>
              <w:rPr>
                <w:rFonts w:ascii="Arial" w:hAnsi="Arial" w:eastAsia="宋体"/>
                <w:snapToGrid w:val="0"/>
                <w:sz w:val="18"/>
                <w:lang w:val="en-AU"/>
              </w:rPr>
            </w:pPr>
            <w:r>
              <w:rPr>
                <w:rFonts w:ascii="Arial" w:hAnsi="Arial" w:eastAsia="宋体"/>
                <w:snapToGrid w:val="0"/>
                <w:sz w:val="18"/>
                <w:lang w:val="en-AU"/>
              </w:rPr>
              <w:t>R4-2310056</w:t>
            </w:r>
            <w:r>
              <w:rPr>
                <w:rFonts w:ascii="Arial" w:hAnsi="Arial" w:eastAsia="宋体"/>
                <w:snapToGrid w:val="0"/>
                <w:sz w:val="18"/>
                <w:lang w:val="en-AU"/>
              </w:rPr>
              <w:tab/>
            </w:r>
            <w:r>
              <w:rPr>
                <w:rFonts w:ascii="Arial" w:hAnsi="Arial" w:eastAsia="宋体"/>
                <w:snapToGrid w:val="0"/>
                <w:sz w:val="18"/>
                <w:lang w:val="en-AU"/>
              </w:rPr>
              <w:t>TP to TR 38.876 RRM requirements for ATG network, CMCC</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w:t>
            </w:r>
            <w:r>
              <w:rPr>
                <w:rFonts w:ascii="Arial" w:hAnsi="Arial" w:eastAsia="宋体"/>
                <w:snapToGrid w:val="0"/>
                <w:sz w:val="18"/>
                <w:lang w:val="en-AU" w:eastAsia="zh-CN"/>
              </w:rPr>
              <w:t>.3.0</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w:t>
            </w:r>
            <w:r>
              <w:rPr>
                <w:rFonts w:ascii="Arial" w:hAnsi="Arial" w:eastAsia="宋体"/>
                <w:snapToGrid w:val="0"/>
                <w:sz w:val="18"/>
                <w:lang w:val="en-AU" w:eastAsia="zh-CN"/>
              </w:rPr>
              <w:t>.4.0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90" w:hRule="atLeast"/>
        </w:trPr>
        <w:tc>
          <w:tcPr>
            <w:tcW w:w="800" w:type="dxa"/>
            <w:shd w:val="solid" w:color="FFFFFF" w:fill="auto"/>
          </w:tcPr>
          <w:p>
            <w:pPr>
              <w:keepNext/>
              <w:keepLines/>
              <w:spacing w:after="0"/>
              <w:rPr>
                <w:rFonts w:hint="default" w:ascii="Arial" w:hAnsi="Arial" w:eastAsia="宋体"/>
                <w:sz w:val="18"/>
                <w:szCs w:val="18"/>
                <w:lang w:val="en-US" w:eastAsia="zh-CN"/>
              </w:rPr>
            </w:pPr>
            <w:r>
              <w:rPr>
                <w:rFonts w:hint="eastAsia" w:ascii="Arial" w:hAnsi="Arial" w:eastAsia="宋体"/>
                <w:sz w:val="18"/>
                <w:szCs w:val="18"/>
                <w:lang w:val="en-US" w:eastAsia="zh-CN"/>
              </w:rPr>
              <w:t>08/2023</w:t>
            </w:r>
          </w:p>
        </w:tc>
        <w:tc>
          <w:tcPr>
            <w:tcW w:w="1185"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RAN4#108</w:t>
            </w:r>
          </w:p>
        </w:tc>
        <w:tc>
          <w:tcPr>
            <w:tcW w:w="1134" w:type="dxa"/>
            <w:shd w:val="solid" w:color="FFFFFF" w:fill="auto"/>
          </w:tcPr>
          <w:p>
            <w:pPr>
              <w:keepNext/>
              <w:keepLines/>
              <w:spacing w:after="0"/>
              <w:rPr>
                <w:rFonts w:hint="default" w:ascii="Arial" w:hAnsi="Arial" w:eastAsia="宋体"/>
                <w:sz w:val="18"/>
                <w:lang w:val="en-US" w:eastAsia="zh-CN"/>
              </w:rPr>
            </w:pPr>
            <w:r>
              <w:rPr>
                <w:rFonts w:hint="eastAsia" w:ascii="Arial" w:hAnsi="Arial" w:eastAsia="宋体"/>
                <w:sz w:val="18"/>
                <w:lang w:val="en-US" w:eastAsia="zh-CN"/>
              </w:rPr>
              <w:t>R4-2312291</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hint="eastAsia" w:ascii="Arial" w:hAnsi="Arial" w:eastAsia="宋体"/>
                <w:snapToGrid w:val="0"/>
                <w:sz w:val="18"/>
                <w:lang w:val="en-US" w:eastAsia="zh-CN"/>
              </w:rPr>
            </w:pPr>
            <w:r>
              <w:rPr>
                <w:rFonts w:ascii="Arial" w:hAnsi="Arial" w:eastAsia="宋体"/>
                <w:snapToGrid w:val="0"/>
                <w:sz w:val="18"/>
                <w:lang w:val="en-AU"/>
              </w:rPr>
              <w:t>R4-2311266</w:t>
            </w:r>
            <w:r>
              <w:rPr>
                <w:rFonts w:hint="eastAsia" w:ascii="Arial" w:hAnsi="Arial" w:eastAsia="宋体"/>
                <w:snapToGrid w:val="0"/>
                <w:sz w:val="18"/>
                <w:lang w:val="en-US" w:eastAsia="zh-CN"/>
              </w:rPr>
              <w:t>, TP to TR 38.876: Addition of Co-existence simulation results for Synchronized Scenarios, Ericsson</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R4-2311458</w:t>
            </w:r>
            <w:r>
              <w:rPr>
                <w:rFonts w:hint="eastAsia" w:ascii="Arial" w:hAnsi="Arial" w:eastAsia="宋体"/>
                <w:snapToGrid w:val="0"/>
                <w:sz w:val="18"/>
                <w:lang w:val="en-US" w:eastAsia="zh-CN"/>
              </w:rPr>
              <w:t xml:space="preserve">, TP for TR 38.876 on BS RF requirements, Huawei, HiSilicon </w:t>
            </w:r>
          </w:p>
          <w:p>
            <w:pPr>
              <w:keepNext/>
              <w:keepLines/>
              <w:spacing w:after="0"/>
              <w:rPr>
                <w:rFonts w:hint="default" w:ascii="Arial" w:hAnsi="Arial" w:eastAsia="宋体"/>
                <w:snapToGrid w:val="0"/>
                <w:sz w:val="18"/>
                <w:lang w:val="en-US" w:eastAsia="zh-CN"/>
              </w:rPr>
            </w:pPr>
            <w:r>
              <w:rPr>
                <w:rFonts w:hint="default" w:ascii="Arial" w:hAnsi="Arial" w:eastAsia="宋体"/>
                <w:snapToGrid w:val="0"/>
                <w:sz w:val="18"/>
                <w:lang w:val="en-US" w:eastAsia="zh-CN"/>
              </w:rPr>
              <w:t>R4-2313501</w:t>
            </w:r>
            <w:r>
              <w:rPr>
                <w:rFonts w:hint="eastAsia" w:ascii="Arial" w:hAnsi="Arial" w:eastAsia="宋体"/>
                <w:snapToGrid w:val="0"/>
                <w:sz w:val="18"/>
                <w:lang w:val="en-US" w:eastAsia="zh-CN"/>
              </w:rPr>
              <w:t>, TP for TR 38.876: General aspects, Apple</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R4-2313502</w:t>
            </w:r>
            <w:r>
              <w:rPr>
                <w:rFonts w:hint="eastAsia" w:ascii="Arial" w:hAnsi="Arial" w:eastAsia="宋体"/>
                <w:snapToGrid w:val="0"/>
                <w:sz w:val="18"/>
                <w:lang w:val="en-US" w:eastAsia="zh-CN"/>
              </w:rPr>
              <w:t xml:space="preserve">, TP for TR 38.876: ATG UE Tx requirement, Apple </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R4-2314451</w:t>
            </w:r>
            <w:r>
              <w:rPr>
                <w:rFonts w:hint="eastAsia" w:ascii="Arial" w:hAnsi="Arial" w:eastAsia="宋体"/>
                <w:snapToGrid w:val="0"/>
                <w:sz w:val="18"/>
                <w:lang w:val="en-US" w:eastAsia="zh-CN"/>
              </w:rPr>
              <w:t xml:space="preserve">, TP to TR 38.876: RRM requirements for ATG network, </w:t>
            </w:r>
            <w:bookmarkStart w:id="157" w:name="_Hlk41145958"/>
            <w:r>
              <w:rPr>
                <w:rFonts w:hint="eastAsia" w:ascii="Arial" w:hAnsi="Arial" w:eastAsia="宋体"/>
                <w:snapToGrid w:val="0"/>
                <w:sz w:val="18"/>
                <w:lang w:val="en-US" w:eastAsia="zh-CN"/>
              </w:rPr>
              <w:t>CMCC</w:t>
            </w:r>
            <w:bookmarkEnd w:id="157"/>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R4-2314758</w:t>
            </w:r>
            <w:r>
              <w:rPr>
                <w:rFonts w:hint="eastAsia" w:ascii="Arial" w:hAnsi="Arial" w:eastAsia="宋体"/>
                <w:snapToGrid w:val="0"/>
                <w:sz w:val="18"/>
                <w:lang w:val="en-US" w:eastAsia="zh-CN"/>
              </w:rPr>
              <w:t>, TP to TR 38.876: Extra results of co-existence synchronized scenarios in Annexure, Ericsson</w:t>
            </w:r>
          </w:p>
          <w:p>
            <w:pPr>
              <w:keepNext/>
              <w:keepLines/>
              <w:spacing w:after="0"/>
              <w:rPr>
                <w:rFonts w:hint="default" w:ascii="Arial" w:hAnsi="Arial" w:eastAsia="宋体"/>
                <w:snapToGrid w:val="0"/>
                <w:sz w:val="18"/>
                <w:lang w:val="en-US" w:eastAsia="zh-CN"/>
              </w:rPr>
            </w:pPr>
            <w:r>
              <w:rPr>
                <w:rFonts w:hint="default" w:ascii="Arial" w:hAnsi="Arial" w:eastAsia="宋体"/>
                <w:snapToGrid w:val="0"/>
                <w:sz w:val="18"/>
                <w:lang w:val="en-US" w:eastAsia="zh-CN"/>
              </w:rPr>
              <w:t>R4-2314760</w:t>
            </w:r>
            <w:r>
              <w:rPr>
                <w:rFonts w:hint="eastAsia" w:ascii="Arial" w:hAnsi="Arial" w:eastAsia="宋体"/>
                <w:snapToGrid w:val="0"/>
                <w:sz w:val="18"/>
                <w:lang w:val="en-US" w:eastAsia="zh-CN"/>
              </w:rPr>
              <w:t>, TP for TR 38.876 to introduce ATG UE Tx requirements part 1, Huawei, HiSilicon</w:t>
            </w:r>
          </w:p>
        </w:tc>
        <w:tc>
          <w:tcPr>
            <w:tcW w:w="709"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0.4.0</w:t>
            </w:r>
          </w:p>
        </w:tc>
        <w:tc>
          <w:tcPr>
            <w:tcW w:w="709"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0.5.0</w:t>
            </w:r>
          </w:p>
        </w:tc>
      </w:tr>
    </w:tbl>
    <w:p>
      <w:pPr>
        <w:rPr>
          <w:lang w:eastAsia="zh-CN"/>
        </w:rPr>
      </w:pPr>
    </w:p>
    <w:p>
      <w:pPr>
        <w:rPr>
          <w:lang w:eastAsia="zh-CN"/>
        </w:rPr>
      </w:pPr>
    </w:p>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000247B" w:usb2="00000009" w:usb3="00000000" w:csb0="200001FF" w:csb1="00000000"/>
  </w:font>
  <w:font w:name="Arial Bold">
    <w:altName w:val="Arial"/>
    <w:panose1 w:val="020B0704020202020204"/>
    <w:charset w:val="00"/>
    <w:family w:val="auto"/>
    <w:pitch w:val="default"/>
    <w:sig w:usb0="00000000" w:usb1="00000000" w:usb2="00000000" w:usb3="00000000" w:csb0="00000001" w:csb1="00000000"/>
  </w:font>
  <w:font w:name="Helvetica 55 Roman">
    <w:altName w:val="Malgun Gothic"/>
    <w:panose1 w:val="00000000000000000000"/>
    <w:charset w:val="00"/>
    <w:family w:val="auto"/>
    <w:pitch w:val="default"/>
    <w:sig w:usb0="00000000" w:usb1="00000000" w:usb2="00000000" w:usb3="00000000" w:csb0="00000001" w:csb1="00000000"/>
  </w:font>
  <w:font w:name="MS Mincho">
    <w:panose1 w:val="02020609040205080304"/>
    <w:charset w:val="80"/>
    <w:family w:val="modern"/>
    <w:pitch w:val="default"/>
    <w:sig w:usb0="A00002BF" w:usb1="68C7FCFB" w:usb2="00000010" w:usb3="00000000" w:csb0="4002009F" w:csb1="DFD70000"/>
  </w:font>
  <w:font w:name="v5.0.0">
    <w:altName w:val="Times New Roman"/>
    <w:panose1 w:val="00000000000000000000"/>
    <w:charset w:val="00"/>
    <w:family w:val="roman"/>
    <w:pitch w:val="default"/>
    <w:sig w:usb0="00000000" w:usb1="00000000" w:usb2="00000000" w:usb3="00000000" w:csb0="00000000" w:csb1="00000000"/>
  </w:font>
  <w:font w:name="Yu Mincho">
    <w:altName w:val="Yu Gothic UI"/>
    <w:panose1 w:val="00000000000000000000"/>
    <w:charset w:val="80"/>
    <w:family w:val="roman"/>
    <w:pitch w:val="default"/>
    <w:sig w:usb0="00000000" w:usb1="00000000" w:usb2="00000012" w:usb3="00000000" w:csb0="0002009F" w:csb1="00000000"/>
  </w:font>
  <w:font w:name="Cambria Math">
    <w:panose1 w:val="02040503050406030204"/>
    <w:charset w:val="00"/>
    <w:family w:val="roman"/>
    <w:pitch w:val="default"/>
    <w:sig w:usb0="E00006FF" w:usb1="420024FF" w:usb2="02000000" w:usb3="00000000" w:csb0="2000019F" w:csb1="00000000"/>
  </w:font>
  <w:font w:name="MS PGothic">
    <w:panose1 w:val="020B0600070205080204"/>
    <w:charset w:val="80"/>
    <w:family w:val="swiss"/>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等线 Light">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00000000" w:usb1="00000000" w:usb2="00000016" w:usb3="00000000" w:csb0="00100001" w:csb1="00000000"/>
  </w:font>
  <w:font w:name="v4.2.0">
    <w:altName w:val="Times New Roman"/>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framePr w:wrap="auto" w:vAnchor="text" w:hAnchor="margin" w:xAlign="right" w:y="1"/>
      <w:widowControl/>
    </w:pPr>
    <w:r>
      <w:fldChar w:fldCharType="begin"/>
    </w:r>
    <w:r>
      <w:instrText xml:space="preserve"> STYLEREF ZA </w:instrText>
    </w:r>
    <w:r>
      <w:fldChar w:fldCharType="separate"/>
    </w:r>
    <w:r>
      <w:t>3GPP TR 38.876 V0.5.0 (2023-08)</w:t>
    </w:r>
    <w:r>
      <w:fldChar w:fldCharType="end"/>
    </w:r>
  </w:p>
  <w:p>
    <w:pPr>
      <w:pStyle w:val="38"/>
      <w:framePr w:wrap="auto" w:vAnchor="text" w:hAnchor="margin" w:xAlign="center" w:y="1"/>
      <w:widowControl/>
    </w:pPr>
    <w:r>
      <w:fldChar w:fldCharType="begin"/>
    </w:r>
    <w:r>
      <w:instrText xml:space="preserve"> PAGE </w:instrText>
    </w:r>
    <w:r>
      <w:fldChar w:fldCharType="separate"/>
    </w:r>
    <w:r>
      <w:t>11</w:t>
    </w:r>
    <w:r>
      <w:fldChar w:fldCharType="end"/>
    </w:r>
  </w:p>
  <w:p>
    <w:pPr>
      <w:pStyle w:val="38"/>
      <w:framePr w:wrap="auto" w:vAnchor="text" w:hAnchor="margin" w:y="1"/>
      <w:widowControl/>
    </w:pPr>
    <w:r>
      <w:fldChar w:fldCharType="begin"/>
    </w:r>
    <w:r>
      <w:instrText xml:space="preserve"> STYLEREF ZGSM </w:instrText>
    </w:r>
    <w:r>
      <w:fldChar w:fldCharType="separate"/>
    </w:r>
    <w:r>
      <w:t>Release 18</w:t>
    </w:r>
    <w:r>
      <w:fldChar w:fldCharType="end"/>
    </w:r>
  </w:p>
  <w:p>
    <w:pPr>
      <w:pStyle w:val="3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D8BA474"/>
    <w:multiLevelType w:val="singleLevel"/>
    <w:tmpl w:val="2D8BA474"/>
    <w:lvl w:ilvl="0" w:tentative="0">
      <w:start w:val="1"/>
      <w:numFmt w:val="bullet"/>
      <w:lvlText w:val=""/>
      <w:lvlJc w:val="left"/>
      <w:pPr>
        <w:ind w:left="420" w:hanging="420"/>
      </w:pPr>
      <w:rPr>
        <w:rFonts w:hint="default" w:ascii="Wingdings" w:hAnsi="Wingdings"/>
      </w:rPr>
    </w:lvl>
  </w:abstractNum>
  <w:abstractNum w:abstractNumId="1">
    <w:nsid w:val="3AA46647"/>
    <w:multiLevelType w:val="multilevel"/>
    <w:tmpl w:val="3AA46647"/>
    <w:lvl w:ilvl="0" w:tentative="0">
      <w:start w:val="1"/>
      <w:numFmt w:val="decimal"/>
      <w:pStyle w:val="145"/>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
    <w:nsid w:val="4BDF65F6"/>
    <w:multiLevelType w:val="multilevel"/>
    <w:tmpl w:val="4BDF65F6"/>
    <w:lvl w:ilvl="0" w:tentative="0">
      <w:start w:val="1"/>
      <w:numFmt w:val="decimal"/>
      <w:pStyle w:val="143"/>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
    <w:nsid w:val="5101505E"/>
    <w:multiLevelType w:val="multilevel"/>
    <w:tmpl w:val="5101505E"/>
    <w:lvl w:ilvl="0" w:tentative="0">
      <w:start w:val="1"/>
      <w:numFmt w:val="decimal"/>
      <w:pStyle w:val="146"/>
      <w:lvlText w:val="Observation %1"/>
      <w:lvlJc w:val="left"/>
      <w:pPr>
        <w:ind w:left="643" w:hanging="360"/>
      </w:pPr>
      <w:rPr>
        <w:rFonts w:hint="default"/>
      </w:rPr>
    </w:lvl>
    <w:lvl w:ilvl="1" w:tentative="0">
      <w:start w:val="1"/>
      <w:numFmt w:val="lowerLetter"/>
      <w:lvlText w:val="%2."/>
      <w:lvlJc w:val="left"/>
      <w:pPr>
        <w:ind w:left="1439" w:hanging="360"/>
      </w:pPr>
    </w:lvl>
    <w:lvl w:ilvl="2" w:tentative="0">
      <w:start w:val="1"/>
      <w:numFmt w:val="lowerRoman"/>
      <w:lvlText w:val="%3."/>
      <w:lvlJc w:val="right"/>
      <w:pPr>
        <w:ind w:left="2159" w:hanging="180"/>
      </w:pPr>
    </w:lvl>
    <w:lvl w:ilvl="3" w:tentative="0">
      <w:start w:val="1"/>
      <w:numFmt w:val="decimal"/>
      <w:lvlText w:val="%4."/>
      <w:lvlJc w:val="left"/>
      <w:pPr>
        <w:ind w:left="2879" w:hanging="360"/>
      </w:pPr>
    </w:lvl>
    <w:lvl w:ilvl="4" w:tentative="0">
      <w:start w:val="1"/>
      <w:numFmt w:val="lowerLetter"/>
      <w:lvlText w:val="%5."/>
      <w:lvlJc w:val="left"/>
      <w:pPr>
        <w:ind w:left="3599" w:hanging="360"/>
      </w:pPr>
    </w:lvl>
    <w:lvl w:ilvl="5" w:tentative="0">
      <w:start w:val="1"/>
      <w:numFmt w:val="lowerRoman"/>
      <w:lvlText w:val="%6."/>
      <w:lvlJc w:val="right"/>
      <w:pPr>
        <w:ind w:left="4319" w:hanging="180"/>
      </w:pPr>
    </w:lvl>
    <w:lvl w:ilvl="6" w:tentative="0">
      <w:start w:val="1"/>
      <w:numFmt w:val="decimal"/>
      <w:lvlText w:val="%7."/>
      <w:lvlJc w:val="left"/>
      <w:pPr>
        <w:ind w:left="5039" w:hanging="360"/>
      </w:pPr>
    </w:lvl>
    <w:lvl w:ilvl="7" w:tentative="0">
      <w:start w:val="1"/>
      <w:numFmt w:val="lowerLetter"/>
      <w:lvlText w:val="%8."/>
      <w:lvlJc w:val="left"/>
      <w:pPr>
        <w:ind w:left="5759" w:hanging="360"/>
      </w:pPr>
    </w:lvl>
    <w:lvl w:ilvl="8" w:tentative="0">
      <w:start w:val="1"/>
      <w:numFmt w:val="lowerRoman"/>
      <w:lvlText w:val="%9."/>
      <w:lvlJc w:val="right"/>
      <w:pPr>
        <w:ind w:left="6479" w:hanging="180"/>
      </w:pPr>
    </w:lvl>
  </w:abstractNum>
  <w:abstractNum w:abstractNumId="4">
    <w:nsid w:val="58B73482"/>
    <w:multiLevelType w:val="multilevel"/>
    <w:tmpl w:val="58B73482"/>
    <w:lvl w:ilvl="0" w:tentative="0">
      <w:start w:val="1"/>
      <w:numFmt w:val="bullet"/>
      <w:lvlText w:val=""/>
      <w:lvlJc w:val="left"/>
      <w:pPr>
        <w:tabs>
          <w:tab w:val="left" w:pos="-420"/>
        </w:tabs>
        <w:ind w:left="-60" w:hanging="360"/>
      </w:pPr>
      <w:rPr>
        <w:rFonts w:hint="default" w:ascii="Symbol" w:hAnsi="Symbol"/>
      </w:rPr>
    </w:lvl>
    <w:lvl w:ilvl="1" w:tentative="0">
      <w:start w:val="1"/>
      <w:numFmt w:val="bullet"/>
      <w:lvlText w:val="o"/>
      <w:lvlJc w:val="left"/>
      <w:pPr>
        <w:tabs>
          <w:tab w:val="left" w:pos="-420"/>
        </w:tabs>
        <w:ind w:left="660" w:hanging="360"/>
      </w:pPr>
      <w:rPr>
        <w:rFonts w:hint="default" w:ascii="Courier New" w:hAnsi="Courier New" w:cs="Courier New"/>
      </w:rPr>
    </w:lvl>
    <w:lvl w:ilvl="2" w:tentative="0">
      <w:start w:val="1"/>
      <w:numFmt w:val="bullet"/>
      <w:lvlText w:val=""/>
      <w:lvlJc w:val="left"/>
      <w:pPr>
        <w:tabs>
          <w:tab w:val="left" w:pos="-420"/>
        </w:tabs>
        <w:ind w:left="1380" w:hanging="360"/>
      </w:pPr>
      <w:rPr>
        <w:rFonts w:hint="default" w:ascii="Wingdings" w:hAnsi="Wingdings"/>
      </w:rPr>
    </w:lvl>
    <w:lvl w:ilvl="3" w:tentative="0">
      <w:start w:val="1"/>
      <w:numFmt w:val="bullet"/>
      <w:lvlText w:val=""/>
      <w:lvlJc w:val="left"/>
      <w:pPr>
        <w:tabs>
          <w:tab w:val="left" w:pos="-420"/>
        </w:tabs>
        <w:ind w:left="2100" w:hanging="360"/>
      </w:pPr>
      <w:rPr>
        <w:rFonts w:hint="default" w:ascii="Symbol" w:hAnsi="Symbol"/>
      </w:rPr>
    </w:lvl>
    <w:lvl w:ilvl="4" w:tentative="0">
      <w:start w:val="1"/>
      <w:numFmt w:val="bullet"/>
      <w:lvlText w:val="o"/>
      <w:lvlJc w:val="left"/>
      <w:pPr>
        <w:tabs>
          <w:tab w:val="left" w:pos="-420"/>
        </w:tabs>
        <w:ind w:left="2820" w:hanging="360"/>
      </w:pPr>
      <w:rPr>
        <w:rFonts w:hint="default" w:ascii="Courier New" w:hAnsi="Courier New" w:cs="Courier New"/>
      </w:rPr>
    </w:lvl>
    <w:lvl w:ilvl="5" w:tentative="0">
      <w:start w:val="0"/>
      <w:numFmt w:val="bullet"/>
      <w:lvlText w:val="-"/>
      <w:lvlJc w:val="left"/>
      <w:pPr>
        <w:tabs>
          <w:tab w:val="left" w:pos="-420"/>
        </w:tabs>
        <w:ind w:left="3540" w:hanging="360"/>
      </w:pPr>
      <w:rPr>
        <w:rFonts w:hint="default" w:ascii="Times New Roman" w:hAnsi="Times New Roman" w:eastAsia="Yu Mincho" w:cs="Times New Roman"/>
      </w:rPr>
    </w:lvl>
    <w:lvl w:ilvl="6" w:tentative="0">
      <w:start w:val="1"/>
      <w:numFmt w:val="bullet"/>
      <w:lvlText w:val=""/>
      <w:lvlJc w:val="left"/>
      <w:pPr>
        <w:tabs>
          <w:tab w:val="left" w:pos="-420"/>
        </w:tabs>
        <w:ind w:left="4260" w:hanging="360"/>
      </w:pPr>
      <w:rPr>
        <w:rFonts w:hint="default" w:ascii="Symbol" w:hAnsi="Symbol"/>
      </w:rPr>
    </w:lvl>
    <w:lvl w:ilvl="7" w:tentative="0">
      <w:start w:val="1"/>
      <w:numFmt w:val="bullet"/>
      <w:lvlText w:val="o"/>
      <w:lvlJc w:val="left"/>
      <w:pPr>
        <w:tabs>
          <w:tab w:val="left" w:pos="-420"/>
        </w:tabs>
        <w:ind w:left="4980" w:hanging="360"/>
      </w:pPr>
      <w:rPr>
        <w:rFonts w:hint="default" w:ascii="Courier New" w:hAnsi="Courier New" w:cs="Courier New"/>
      </w:rPr>
    </w:lvl>
    <w:lvl w:ilvl="8" w:tentative="0">
      <w:start w:val="1"/>
      <w:numFmt w:val="bullet"/>
      <w:lvlText w:val=""/>
      <w:lvlJc w:val="left"/>
      <w:pPr>
        <w:tabs>
          <w:tab w:val="left" w:pos="-420"/>
        </w:tabs>
        <w:ind w:left="5700" w:hanging="360"/>
      </w:pPr>
      <w:rPr>
        <w:rFonts w:hint="default" w:ascii="Wingdings" w:hAnsi="Wingdings"/>
      </w:rPr>
    </w:lvl>
  </w:abstractNum>
  <w:abstractNum w:abstractNumId="5">
    <w:nsid w:val="688A35D6"/>
    <w:multiLevelType w:val="multilevel"/>
    <w:tmpl w:val="688A35D6"/>
    <w:lvl w:ilvl="0" w:tentative="0">
      <w:start w:val="1"/>
      <w:numFmt w:val="decimal"/>
      <w:pStyle w:val="104"/>
      <w:lvlText w:val="%1."/>
      <w:lvlJc w:val="left"/>
      <w:pPr>
        <w:tabs>
          <w:tab w:val="left" w:pos="397"/>
        </w:tabs>
        <w:ind w:left="397" w:hanging="397"/>
      </w:pPr>
      <w:rPr>
        <w:rFonts w:hint="default" w:ascii="Arial" w:hAnsi="Arial" w:cs="Times New Roman"/>
        <w:b w:val="0"/>
        <w:i w:val="0"/>
        <w:color w:val="D2232A"/>
        <w:sz w:val="20"/>
      </w:rPr>
    </w:lvl>
    <w:lvl w:ilvl="1" w:tentative="0">
      <w:start w:val="1"/>
      <w:numFmt w:val="lowerLetter"/>
      <w:lvlText w:val="%2)"/>
      <w:lvlJc w:val="left"/>
      <w:pPr>
        <w:tabs>
          <w:tab w:val="left" w:pos="397"/>
        </w:tabs>
        <w:ind w:left="737" w:hanging="340"/>
      </w:pPr>
      <w:rPr>
        <w:rFonts w:hint="default" w:ascii="Arial" w:hAnsi="Arial" w:cs="Times New Roman"/>
        <w:b w:val="0"/>
        <w:i w:val="0"/>
        <w:color w:val="D2232A"/>
        <w:sz w:val="20"/>
      </w:rPr>
    </w:lvl>
    <w:lvl w:ilvl="2" w:tentative="0">
      <w:start w:val="1"/>
      <w:numFmt w:val="none"/>
      <w:lvlText w:val=""/>
      <w:lvlJc w:val="left"/>
      <w:pPr>
        <w:tabs>
          <w:tab w:val="left" w:pos="720"/>
        </w:tabs>
        <w:ind w:left="720" w:hanging="720"/>
      </w:pPr>
      <w:rPr>
        <w:rFonts w:hint="default" w:ascii="Arial Bold" w:hAnsi="Arial Bold" w:cs="Times New Roman"/>
        <w:b/>
        <w:i w:val="0"/>
        <w:sz w:val="20"/>
      </w:rPr>
    </w:lvl>
    <w:lvl w:ilvl="3" w:tentative="0">
      <w:start w:val="1"/>
      <w:numFmt w:val="none"/>
      <w:lvlText w:val=""/>
      <w:lvlJc w:val="left"/>
      <w:pPr>
        <w:tabs>
          <w:tab w:val="left" w:pos="864"/>
        </w:tabs>
        <w:ind w:left="864" w:hanging="864"/>
      </w:pPr>
      <w:rPr>
        <w:rFonts w:hint="default" w:ascii="Arial" w:hAnsi="Arial" w:cs="Times New Roman"/>
        <w:b w:val="0"/>
        <w:i/>
        <w:color w:val="2F2E79"/>
        <w:sz w:val="20"/>
      </w:rPr>
    </w:lvl>
    <w:lvl w:ilvl="4" w:tentative="0">
      <w:start w:val="1"/>
      <w:numFmt w:val="none"/>
      <w:lvlText w:val=""/>
      <w:lvlJc w:val="left"/>
      <w:pPr>
        <w:tabs>
          <w:tab w:val="left" w:pos="1008"/>
        </w:tabs>
        <w:ind w:left="1008" w:hanging="1008"/>
      </w:pPr>
      <w:rPr>
        <w:rFonts w:hint="default" w:cs="Times New Roman"/>
        <w:sz w:val="24"/>
      </w:rPr>
    </w:lvl>
    <w:lvl w:ilvl="5" w:tentative="0">
      <w:start w:val="1"/>
      <w:numFmt w:val="none"/>
      <w:lvlText w:val=""/>
      <w:lvlJc w:val="left"/>
      <w:pPr>
        <w:tabs>
          <w:tab w:val="left" w:pos="1152"/>
        </w:tabs>
        <w:ind w:left="1152" w:hanging="1152"/>
      </w:pPr>
      <w:rPr>
        <w:rFonts w:hint="default" w:cs="Times New Roman"/>
      </w:rPr>
    </w:lvl>
    <w:lvl w:ilvl="6" w:tentative="0">
      <w:start w:val="1"/>
      <w:numFmt w:val="none"/>
      <w:lvlText w:val=""/>
      <w:lvlJc w:val="left"/>
      <w:pPr>
        <w:tabs>
          <w:tab w:val="left" w:pos="1296"/>
        </w:tabs>
        <w:ind w:left="1296" w:hanging="1296"/>
      </w:pPr>
      <w:rPr>
        <w:rFonts w:hint="default" w:cs="Times New Roman"/>
      </w:rPr>
    </w:lvl>
    <w:lvl w:ilvl="7" w:tentative="0">
      <w:start w:val="1"/>
      <w:numFmt w:val="none"/>
      <w:lvlText w:val=""/>
      <w:lvlJc w:val="left"/>
      <w:pPr>
        <w:tabs>
          <w:tab w:val="left" w:pos="1440"/>
        </w:tabs>
        <w:ind w:left="1440" w:hanging="1440"/>
      </w:pPr>
      <w:rPr>
        <w:rFonts w:hint="default" w:cs="Times New Roman"/>
      </w:rPr>
    </w:lvl>
    <w:lvl w:ilvl="8" w:tentative="0">
      <w:start w:val="1"/>
      <w:numFmt w:val="none"/>
      <w:lvlText w:val=""/>
      <w:lvlJc w:val="left"/>
      <w:pPr>
        <w:tabs>
          <w:tab w:val="left" w:pos="1584"/>
        </w:tabs>
        <w:ind w:left="1584" w:hanging="1584"/>
      </w:pPr>
      <w:rPr>
        <w:rFonts w:hint="default" w:cs="Times New Roman"/>
      </w:rPr>
    </w:lvl>
  </w:abstractNum>
  <w:num w:numId="1">
    <w:abstractNumId w:val="5"/>
  </w:num>
  <w:num w:numId="2">
    <w:abstractNumId w:val="2"/>
  </w:num>
  <w:num w:numId="3">
    <w:abstractNumId w:val="1"/>
  </w:num>
  <w:num w:numId="4">
    <w:abstractNumId w:val="3"/>
  </w:num>
  <w:num w:numId="5">
    <w:abstractNumId w:val="4"/>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10"/>
  <w:removePersonalInformation/>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2429"/>
    <w:rsid w:val="00062B58"/>
    <w:rsid w:val="000709EF"/>
    <w:rsid w:val="00076B9B"/>
    <w:rsid w:val="000817C8"/>
    <w:rsid w:val="00082E7D"/>
    <w:rsid w:val="00085B38"/>
    <w:rsid w:val="00092783"/>
    <w:rsid w:val="00093E7E"/>
    <w:rsid w:val="00094057"/>
    <w:rsid w:val="000946F9"/>
    <w:rsid w:val="000A2F0E"/>
    <w:rsid w:val="000A6D73"/>
    <w:rsid w:val="000A7084"/>
    <w:rsid w:val="000B2F0E"/>
    <w:rsid w:val="000B31EA"/>
    <w:rsid w:val="000B31EE"/>
    <w:rsid w:val="000B73A2"/>
    <w:rsid w:val="000B7BB3"/>
    <w:rsid w:val="000C4246"/>
    <w:rsid w:val="000C5114"/>
    <w:rsid w:val="000D074F"/>
    <w:rsid w:val="000D3224"/>
    <w:rsid w:val="000D592F"/>
    <w:rsid w:val="000D6CFC"/>
    <w:rsid w:val="000F1403"/>
    <w:rsid w:val="000F6739"/>
    <w:rsid w:val="000F68C1"/>
    <w:rsid w:val="000F7FC9"/>
    <w:rsid w:val="00100926"/>
    <w:rsid w:val="0010126C"/>
    <w:rsid w:val="00103285"/>
    <w:rsid w:val="00105B80"/>
    <w:rsid w:val="00114757"/>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7D66"/>
    <w:rsid w:val="001F1CBC"/>
    <w:rsid w:val="001F1CBE"/>
    <w:rsid w:val="001F2D0D"/>
    <w:rsid w:val="002065FA"/>
    <w:rsid w:val="00207C30"/>
    <w:rsid w:val="002112CE"/>
    <w:rsid w:val="002138EA"/>
    <w:rsid w:val="002147EA"/>
    <w:rsid w:val="00214FBD"/>
    <w:rsid w:val="00215772"/>
    <w:rsid w:val="002170F2"/>
    <w:rsid w:val="0022117E"/>
    <w:rsid w:val="0022159A"/>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3D0A"/>
    <w:rsid w:val="002B25A4"/>
    <w:rsid w:val="002B42DF"/>
    <w:rsid w:val="002B4A5E"/>
    <w:rsid w:val="002C2A1A"/>
    <w:rsid w:val="002C2EF1"/>
    <w:rsid w:val="002C3320"/>
    <w:rsid w:val="002C7386"/>
    <w:rsid w:val="002D23C7"/>
    <w:rsid w:val="002D3E14"/>
    <w:rsid w:val="002D73AC"/>
    <w:rsid w:val="002E0051"/>
    <w:rsid w:val="002E2838"/>
    <w:rsid w:val="002E4F54"/>
    <w:rsid w:val="002E6C77"/>
    <w:rsid w:val="002F10D5"/>
    <w:rsid w:val="002F3F11"/>
    <w:rsid w:val="002F4093"/>
    <w:rsid w:val="00300F58"/>
    <w:rsid w:val="00304422"/>
    <w:rsid w:val="0031057A"/>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7724"/>
    <w:rsid w:val="003824B2"/>
    <w:rsid w:val="00387168"/>
    <w:rsid w:val="00392BCB"/>
    <w:rsid w:val="003934C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738D"/>
    <w:rsid w:val="00424A11"/>
    <w:rsid w:val="004325D2"/>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62A"/>
    <w:rsid w:val="004A767D"/>
    <w:rsid w:val="004B5641"/>
    <w:rsid w:val="004C0079"/>
    <w:rsid w:val="004C1532"/>
    <w:rsid w:val="004C401F"/>
    <w:rsid w:val="004D188E"/>
    <w:rsid w:val="004D4400"/>
    <w:rsid w:val="004E6842"/>
    <w:rsid w:val="004F2731"/>
    <w:rsid w:val="004F3106"/>
    <w:rsid w:val="0050213D"/>
    <w:rsid w:val="00505BFA"/>
    <w:rsid w:val="005064EA"/>
    <w:rsid w:val="005075A6"/>
    <w:rsid w:val="005155D9"/>
    <w:rsid w:val="005224E4"/>
    <w:rsid w:val="00531315"/>
    <w:rsid w:val="0053546A"/>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2305"/>
    <w:rsid w:val="005A3915"/>
    <w:rsid w:val="005B10E3"/>
    <w:rsid w:val="005C0512"/>
    <w:rsid w:val="005C2714"/>
    <w:rsid w:val="005C39BD"/>
    <w:rsid w:val="005C41B1"/>
    <w:rsid w:val="005C7C40"/>
    <w:rsid w:val="005D2FEA"/>
    <w:rsid w:val="005D4E0D"/>
    <w:rsid w:val="005D4EA1"/>
    <w:rsid w:val="005D5A86"/>
    <w:rsid w:val="005E0CFD"/>
    <w:rsid w:val="005F0E89"/>
    <w:rsid w:val="00612937"/>
    <w:rsid w:val="006143F8"/>
    <w:rsid w:val="00614CCB"/>
    <w:rsid w:val="00616E3E"/>
    <w:rsid w:val="00621CB9"/>
    <w:rsid w:val="00622D4E"/>
    <w:rsid w:val="00630AFE"/>
    <w:rsid w:val="00635DE4"/>
    <w:rsid w:val="00637921"/>
    <w:rsid w:val="00644A2F"/>
    <w:rsid w:val="00646B32"/>
    <w:rsid w:val="00652C0A"/>
    <w:rsid w:val="00652F56"/>
    <w:rsid w:val="00657119"/>
    <w:rsid w:val="00665E26"/>
    <w:rsid w:val="00673FB6"/>
    <w:rsid w:val="00676A3A"/>
    <w:rsid w:val="006823FA"/>
    <w:rsid w:val="00683DC8"/>
    <w:rsid w:val="0068558E"/>
    <w:rsid w:val="006909D6"/>
    <w:rsid w:val="00694603"/>
    <w:rsid w:val="006A1CAA"/>
    <w:rsid w:val="006A4240"/>
    <w:rsid w:val="006B30BD"/>
    <w:rsid w:val="006B4CCB"/>
    <w:rsid w:val="006C0A51"/>
    <w:rsid w:val="006D3290"/>
    <w:rsid w:val="006D365C"/>
    <w:rsid w:val="006D6473"/>
    <w:rsid w:val="006F19E4"/>
    <w:rsid w:val="006F1C66"/>
    <w:rsid w:val="006F38C5"/>
    <w:rsid w:val="006F74A3"/>
    <w:rsid w:val="007000C7"/>
    <w:rsid w:val="00701C6B"/>
    <w:rsid w:val="00702CA9"/>
    <w:rsid w:val="007031B9"/>
    <w:rsid w:val="0070646B"/>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A5BAC"/>
    <w:rsid w:val="007B0E77"/>
    <w:rsid w:val="007B3D66"/>
    <w:rsid w:val="007B67C9"/>
    <w:rsid w:val="007C0E5C"/>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5C21"/>
    <w:rsid w:val="00846584"/>
    <w:rsid w:val="00860B29"/>
    <w:rsid w:val="00861EA3"/>
    <w:rsid w:val="008625A2"/>
    <w:rsid w:val="008645E3"/>
    <w:rsid w:val="00864FF1"/>
    <w:rsid w:val="00875419"/>
    <w:rsid w:val="008776EE"/>
    <w:rsid w:val="0088483C"/>
    <w:rsid w:val="00885682"/>
    <w:rsid w:val="00886E62"/>
    <w:rsid w:val="008921AA"/>
    <w:rsid w:val="008928CF"/>
    <w:rsid w:val="008968F8"/>
    <w:rsid w:val="008A0249"/>
    <w:rsid w:val="008A369F"/>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4E"/>
    <w:rsid w:val="008E4B16"/>
    <w:rsid w:val="008E4BCE"/>
    <w:rsid w:val="008E6989"/>
    <w:rsid w:val="008F4E79"/>
    <w:rsid w:val="00913443"/>
    <w:rsid w:val="00922742"/>
    <w:rsid w:val="009304CA"/>
    <w:rsid w:val="00931AB6"/>
    <w:rsid w:val="0093425A"/>
    <w:rsid w:val="009433F8"/>
    <w:rsid w:val="009434F9"/>
    <w:rsid w:val="0095160F"/>
    <w:rsid w:val="00954E25"/>
    <w:rsid w:val="0095531D"/>
    <w:rsid w:val="0095739B"/>
    <w:rsid w:val="00957769"/>
    <w:rsid w:val="00960F6E"/>
    <w:rsid w:val="00960FA3"/>
    <w:rsid w:val="00961839"/>
    <w:rsid w:val="009667D7"/>
    <w:rsid w:val="00976FD6"/>
    <w:rsid w:val="00983910"/>
    <w:rsid w:val="00985DD9"/>
    <w:rsid w:val="00987BCD"/>
    <w:rsid w:val="00990618"/>
    <w:rsid w:val="00994BDE"/>
    <w:rsid w:val="00994DE9"/>
    <w:rsid w:val="009A31D9"/>
    <w:rsid w:val="009A613C"/>
    <w:rsid w:val="009A7864"/>
    <w:rsid w:val="009B1069"/>
    <w:rsid w:val="009B30E1"/>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BCB"/>
    <w:rsid w:val="00A46BE0"/>
    <w:rsid w:val="00A46F67"/>
    <w:rsid w:val="00A508C6"/>
    <w:rsid w:val="00A53C83"/>
    <w:rsid w:val="00A56874"/>
    <w:rsid w:val="00A6252E"/>
    <w:rsid w:val="00A7268D"/>
    <w:rsid w:val="00A74BE5"/>
    <w:rsid w:val="00A81B15"/>
    <w:rsid w:val="00A83C2C"/>
    <w:rsid w:val="00A852DD"/>
    <w:rsid w:val="00A85DBC"/>
    <w:rsid w:val="00A861B2"/>
    <w:rsid w:val="00A867E6"/>
    <w:rsid w:val="00A906D4"/>
    <w:rsid w:val="00A90D51"/>
    <w:rsid w:val="00A93C38"/>
    <w:rsid w:val="00AA0758"/>
    <w:rsid w:val="00AA5C4A"/>
    <w:rsid w:val="00AB620A"/>
    <w:rsid w:val="00AB7CC2"/>
    <w:rsid w:val="00AC0969"/>
    <w:rsid w:val="00AC2B31"/>
    <w:rsid w:val="00AC5633"/>
    <w:rsid w:val="00AC66C0"/>
    <w:rsid w:val="00AD39AB"/>
    <w:rsid w:val="00AD59C8"/>
    <w:rsid w:val="00AE7E57"/>
    <w:rsid w:val="00AF044F"/>
    <w:rsid w:val="00B01AB7"/>
    <w:rsid w:val="00B01C27"/>
    <w:rsid w:val="00B04273"/>
    <w:rsid w:val="00B1154D"/>
    <w:rsid w:val="00B13A4F"/>
    <w:rsid w:val="00B20A35"/>
    <w:rsid w:val="00B2310C"/>
    <w:rsid w:val="00B27199"/>
    <w:rsid w:val="00B30642"/>
    <w:rsid w:val="00B354B0"/>
    <w:rsid w:val="00B355D4"/>
    <w:rsid w:val="00B36FDD"/>
    <w:rsid w:val="00B375CE"/>
    <w:rsid w:val="00B402CD"/>
    <w:rsid w:val="00B45294"/>
    <w:rsid w:val="00B5213F"/>
    <w:rsid w:val="00B54ED1"/>
    <w:rsid w:val="00B60681"/>
    <w:rsid w:val="00B65275"/>
    <w:rsid w:val="00B659DC"/>
    <w:rsid w:val="00B8446C"/>
    <w:rsid w:val="00B95051"/>
    <w:rsid w:val="00BA06C6"/>
    <w:rsid w:val="00BA6070"/>
    <w:rsid w:val="00BA699F"/>
    <w:rsid w:val="00BB28EC"/>
    <w:rsid w:val="00BB4EF8"/>
    <w:rsid w:val="00BB7D3B"/>
    <w:rsid w:val="00BC396D"/>
    <w:rsid w:val="00BC6F82"/>
    <w:rsid w:val="00BD1F08"/>
    <w:rsid w:val="00BD35B9"/>
    <w:rsid w:val="00BE1190"/>
    <w:rsid w:val="00BF50A6"/>
    <w:rsid w:val="00BF7021"/>
    <w:rsid w:val="00C00EAA"/>
    <w:rsid w:val="00C039A9"/>
    <w:rsid w:val="00C05A38"/>
    <w:rsid w:val="00C12854"/>
    <w:rsid w:val="00C21841"/>
    <w:rsid w:val="00C337CB"/>
    <w:rsid w:val="00C41F06"/>
    <w:rsid w:val="00C43CDA"/>
    <w:rsid w:val="00C468D2"/>
    <w:rsid w:val="00C47486"/>
    <w:rsid w:val="00C5399A"/>
    <w:rsid w:val="00C5475B"/>
    <w:rsid w:val="00C57BDC"/>
    <w:rsid w:val="00C61C49"/>
    <w:rsid w:val="00C63312"/>
    <w:rsid w:val="00C6544C"/>
    <w:rsid w:val="00C72DE4"/>
    <w:rsid w:val="00C74390"/>
    <w:rsid w:val="00C75357"/>
    <w:rsid w:val="00C77221"/>
    <w:rsid w:val="00C85A2B"/>
    <w:rsid w:val="00C90A29"/>
    <w:rsid w:val="00C9790A"/>
    <w:rsid w:val="00CA131B"/>
    <w:rsid w:val="00CA3B27"/>
    <w:rsid w:val="00CB0AF2"/>
    <w:rsid w:val="00CB592F"/>
    <w:rsid w:val="00CC2260"/>
    <w:rsid w:val="00CD0AFE"/>
    <w:rsid w:val="00CD282D"/>
    <w:rsid w:val="00CD5CD2"/>
    <w:rsid w:val="00CE0297"/>
    <w:rsid w:val="00CF0BD5"/>
    <w:rsid w:val="00CF2CB7"/>
    <w:rsid w:val="00CF39E0"/>
    <w:rsid w:val="00CF454E"/>
    <w:rsid w:val="00CF6F13"/>
    <w:rsid w:val="00CF73CD"/>
    <w:rsid w:val="00D00C7D"/>
    <w:rsid w:val="00D041CE"/>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DFA"/>
    <w:rsid w:val="00D63828"/>
    <w:rsid w:val="00D66FA3"/>
    <w:rsid w:val="00D67039"/>
    <w:rsid w:val="00D72CFD"/>
    <w:rsid w:val="00D85422"/>
    <w:rsid w:val="00D87EF7"/>
    <w:rsid w:val="00D92784"/>
    <w:rsid w:val="00D93FA7"/>
    <w:rsid w:val="00D961B8"/>
    <w:rsid w:val="00DA2F04"/>
    <w:rsid w:val="00DA372B"/>
    <w:rsid w:val="00DB63A9"/>
    <w:rsid w:val="00DB70C6"/>
    <w:rsid w:val="00DC228E"/>
    <w:rsid w:val="00DC57F1"/>
    <w:rsid w:val="00DD0C2C"/>
    <w:rsid w:val="00DD1ED9"/>
    <w:rsid w:val="00DE2CBD"/>
    <w:rsid w:val="00DE527D"/>
    <w:rsid w:val="00DF1389"/>
    <w:rsid w:val="00DF16CF"/>
    <w:rsid w:val="00DF3A88"/>
    <w:rsid w:val="00DF4EBC"/>
    <w:rsid w:val="00DF5F8B"/>
    <w:rsid w:val="00DF609B"/>
    <w:rsid w:val="00DF76D0"/>
    <w:rsid w:val="00E00250"/>
    <w:rsid w:val="00E04488"/>
    <w:rsid w:val="00E0690E"/>
    <w:rsid w:val="00E1017F"/>
    <w:rsid w:val="00E113C0"/>
    <w:rsid w:val="00E15C36"/>
    <w:rsid w:val="00E1761E"/>
    <w:rsid w:val="00E24C2E"/>
    <w:rsid w:val="00E261CA"/>
    <w:rsid w:val="00E3228A"/>
    <w:rsid w:val="00E322F4"/>
    <w:rsid w:val="00E339AB"/>
    <w:rsid w:val="00E34442"/>
    <w:rsid w:val="00E35CF5"/>
    <w:rsid w:val="00E54BC9"/>
    <w:rsid w:val="00E57B74"/>
    <w:rsid w:val="00E64154"/>
    <w:rsid w:val="00E67AEB"/>
    <w:rsid w:val="00E8629F"/>
    <w:rsid w:val="00E86F81"/>
    <w:rsid w:val="00E90933"/>
    <w:rsid w:val="00E94AF9"/>
    <w:rsid w:val="00E94ED6"/>
    <w:rsid w:val="00EA2C49"/>
    <w:rsid w:val="00EA3C24"/>
    <w:rsid w:val="00EA416D"/>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604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766C"/>
    <w:rsid w:val="00F93146"/>
    <w:rsid w:val="00F935C9"/>
    <w:rsid w:val="00F9770C"/>
    <w:rsid w:val="00FA2875"/>
    <w:rsid w:val="00FA2E92"/>
    <w:rsid w:val="00FA33AE"/>
    <w:rsid w:val="00FA3BB2"/>
    <w:rsid w:val="00FA7D14"/>
    <w:rsid w:val="00FB0233"/>
    <w:rsid w:val="00FB08C6"/>
    <w:rsid w:val="00FB0B80"/>
    <w:rsid w:val="00FB1DA4"/>
    <w:rsid w:val="00FB20CA"/>
    <w:rsid w:val="00FB30F3"/>
    <w:rsid w:val="00FB787D"/>
    <w:rsid w:val="00FC051F"/>
    <w:rsid w:val="00FC219B"/>
    <w:rsid w:val="00FC2E45"/>
    <w:rsid w:val="00FD42FE"/>
    <w:rsid w:val="00FD6023"/>
    <w:rsid w:val="00FE46AE"/>
    <w:rsid w:val="00FF0E10"/>
    <w:rsid w:val="00FF2B30"/>
    <w:rsid w:val="00FF34AB"/>
    <w:rsid w:val="00FF539E"/>
    <w:rsid w:val="00FF5976"/>
    <w:rsid w:val="012F7699"/>
    <w:rsid w:val="0411685C"/>
    <w:rsid w:val="050C5E68"/>
    <w:rsid w:val="06D220FD"/>
    <w:rsid w:val="07226E34"/>
    <w:rsid w:val="08A65D3D"/>
    <w:rsid w:val="0A1E592A"/>
    <w:rsid w:val="0AC4486F"/>
    <w:rsid w:val="0B6612FE"/>
    <w:rsid w:val="0C020FC2"/>
    <w:rsid w:val="0D950B74"/>
    <w:rsid w:val="0DA251EB"/>
    <w:rsid w:val="110A6481"/>
    <w:rsid w:val="125B6144"/>
    <w:rsid w:val="1316490A"/>
    <w:rsid w:val="14541D5A"/>
    <w:rsid w:val="15884434"/>
    <w:rsid w:val="19031A95"/>
    <w:rsid w:val="19124240"/>
    <w:rsid w:val="1948000B"/>
    <w:rsid w:val="1A1F25E6"/>
    <w:rsid w:val="1A337C08"/>
    <w:rsid w:val="1B6C3520"/>
    <w:rsid w:val="1C7662D4"/>
    <w:rsid w:val="1D6E0E6B"/>
    <w:rsid w:val="1E3A7AA3"/>
    <w:rsid w:val="1EF83A1C"/>
    <w:rsid w:val="1F2B37DD"/>
    <w:rsid w:val="204B6589"/>
    <w:rsid w:val="21A76846"/>
    <w:rsid w:val="223D47BB"/>
    <w:rsid w:val="22605C74"/>
    <w:rsid w:val="22DB33C0"/>
    <w:rsid w:val="23B9029C"/>
    <w:rsid w:val="253D2210"/>
    <w:rsid w:val="26C04AC7"/>
    <w:rsid w:val="26CF5133"/>
    <w:rsid w:val="26DF55DE"/>
    <w:rsid w:val="275359C3"/>
    <w:rsid w:val="275A7960"/>
    <w:rsid w:val="277D7855"/>
    <w:rsid w:val="28A353AA"/>
    <w:rsid w:val="29626771"/>
    <w:rsid w:val="2AB41CD4"/>
    <w:rsid w:val="2B5B432E"/>
    <w:rsid w:val="2B7F771C"/>
    <w:rsid w:val="2BBF4052"/>
    <w:rsid w:val="2CDC3796"/>
    <w:rsid w:val="2EB8169A"/>
    <w:rsid w:val="2EFD44A4"/>
    <w:rsid w:val="2F9021A3"/>
    <w:rsid w:val="30E91743"/>
    <w:rsid w:val="323428A5"/>
    <w:rsid w:val="344A2458"/>
    <w:rsid w:val="35D8443D"/>
    <w:rsid w:val="374E39C9"/>
    <w:rsid w:val="376021F7"/>
    <w:rsid w:val="38865AB4"/>
    <w:rsid w:val="39297DD7"/>
    <w:rsid w:val="3A4A5930"/>
    <w:rsid w:val="3A9C011F"/>
    <w:rsid w:val="3B3703EF"/>
    <w:rsid w:val="3BD46CC2"/>
    <w:rsid w:val="3CC2763E"/>
    <w:rsid w:val="3D800F3B"/>
    <w:rsid w:val="3D824128"/>
    <w:rsid w:val="40AE30AC"/>
    <w:rsid w:val="41961672"/>
    <w:rsid w:val="42C11812"/>
    <w:rsid w:val="43CD0A4B"/>
    <w:rsid w:val="43D20844"/>
    <w:rsid w:val="47A41626"/>
    <w:rsid w:val="4822427B"/>
    <w:rsid w:val="4890451C"/>
    <w:rsid w:val="489A4BC2"/>
    <w:rsid w:val="49611371"/>
    <w:rsid w:val="49783444"/>
    <w:rsid w:val="49796A18"/>
    <w:rsid w:val="4A1A079F"/>
    <w:rsid w:val="4AF516C2"/>
    <w:rsid w:val="4E3E59EC"/>
    <w:rsid w:val="4E7A3601"/>
    <w:rsid w:val="4EE05080"/>
    <w:rsid w:val="4EE53BFB"/>
    <w:rsid w:val="4F297C36"/>
    <w:rsid w:val="50113369"/>
    <w:rsid w:val="50B93856"/>
    <w:rsid w:val="52976328"/>
    <w:rsid w:val="535D7C42"/>
    <w:rsid w:val="54851B01"/>
    <w:rsid w:val="54B75A7B"/>
    <w:rsid w:val="54CD1A2D"/>
    <w:rsid w:val="5537365B"/>
    <w:rsid w:val="559E4304"/>
    <w:rsid w:val="56ED52AB"/>
    <w:rsid w:val="56EF07AE"/>
    <w:rsid w:val="577C7118"/>
    <w:rsid w:val="58C51CFF"/>
    <w:rsid w:val="5904373F"/>
    <w:rsid w:val="595F72AE"/>
    <w:rsid w:val="5AFE34D7"/>
    <w:rsid w:val="5EA96B34"/>
    <w:rsid w:val="5FD57F9F"/>
    <w:rsid w:val="5FDB5953"/>
    <w:rsid w:val="602E1B5A"/>
    <w:rsid w:val="60722EA4"/>
    <w:rsid w:val="612D61FA"/>
    <w:rsid w:val="626D2931"/>
    <w:rsid w:val="62D012AF"/>
    <w:rsid w:val="654222B3"/>
    <w:rsid w:val="66244D6D"/>
    <w:rsid w:val="66315F88"/>
    <w:rsid w:val="668D3466"/>
    <w:rsid w:val="68BC654C"/>
    <w:rsid w:val="69F97B68"/>
    <w:rsid w:val="6A2E6989"/>
    <w:rsid w:val="6B9D0F9D"/>
    <w:rsid w:val="6CA73942"/>
    <w:rsid w:val="6E6E0DBB"/>
    <w:rsid w:val="6E8F48F8"/>
    <w:rsid w:val="6ECD4657"/>
    <w:rsid w:val="71B85935"/>
    <w:rsid w:val="73114D28"/>
    <w:rsid w:val="73850A93"/>
    <w:rsid w:val="73866514"/>
    <w:rsid w:val="742754B9"/>
    <w:rsid w:val="74ED1CA8"/>
    <w:rsid w:val="76282DB2"/>
    <w:rsid w:val="76581835"/>
    <w:rsid w:val="7682047B"/>
    <w:rsid w:val="772E33E7"/>
    <w:rsid w:val="79AB4E2C"/>
    <w:rsid w:val="79E8078D"/>
    <w:rsid w:val="7A7C36EE"/>
    <w:rsid w:val="7A926A27"/>
    <w:rsid w:val="7BB1107D"/>
    <w:rsid w:val="7C207132"/>
    <w:rsid w:val="7C461570"/>
    <w:rsid w:val="7F361C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9"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name="index 1"/>
    <w:lsdException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nhideWhenUsed="0" w:uiPriority="0" w:semiHidden="0" w:name="toc 1"/>
    <w:lsdException w:qFormat="1"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qFormat="1" w:unhideWhenUsed="0" w:uiPriority="0" w:name="toc 6"/>
    <w:lsdException w:qFormat="1" w:unhideWhenUsed="0" w:uiPriority="0" w:name="toc 7"/>
    <w:lsdException w:unhideWhenUsed="0" w:uiPriority="0" w:semiHidden="0" w:name="toc 8"/>
    <w:lsdException w:unhideWhenUsed="0" w:uiPriority="0" w:semiHidden="0" w:name="toc 9"/>
    <w:lsdException w:uiPriority="0" w:name="Normal Indent"/>
    <w:lsdException w:unhideWhenUsed="0" w:uiPriority="0" w:name="footnote text"/>
    <w:lsdException w:qFormat="1" w:unhideWhenUsed="0" w:uiPriority="99" w:semiHidden="0" w:name="annotation text"/>
    <w:lsdException w:unhideWhenUsed="0" w:uiPriority="99" w:semiHidden="0" w:name="header"/>
    <w:lsdException w:qFormat="1" w:unhideWhenUsed="0" w:uiPriority="0" w:semiHidden="0" w:name="footer"/>
    <w:lsdException w:qFormat="1" w:unhideWhenUsed="0" w:uiPriority="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99" w:semiHidden="0" w:name="annotation reference"/>
    <w:lsdException w:uiPriority="0" w:name="line number"/>
    <w:lsdException w:unhideWhenUsed="0" w:uiPriority="0" w:semiHidden="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next w:val="1"/>
    <w:link w:val="139"/>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link w:val="129"/>
    <w:qFormat/>
    <w:uiPriority w:val="0"/>
    <w:pPr>
      <w:pBdr>
        <w:top w:val="none" w:color="auto" w:sz="0" w:space="0"/>
      </w:pBdr>
      <w:spacing w:before="180"/>
      <w:outlineLvl w:val="1"/>
    </w:pPr>
    <w:rPr>
      <w:sz w:val="32"/>
    </w:rPr>
  </w:style>
  <w:style w:type="paragraph" w:styleId="4">
    <w:name w:val="heading 3"/>
    <w:basedOn w:val="1"/>
    <w:next w:val="1"/>
    <w:link w:val="130"/>
    <w:qFormat/>
    <w:uiPriority w:val="9"/>
    <w:pPr>
      <w:spacing w:before="120"/>
      <w:outlineLvl w:val="2"/>
    </w:pPr>
    <w:rPr>
      <w:sz w:val="28"/>
    </w:rPr>
  </w:style>
  <w:style w:type="paragraph" w:styleId="5">
    <w:name w:val="heading 4"/>
    <w:basedOn w:val="1"/>
    <w:next w:val="1"/>
    <w:link w:val="131"/>
    <w:qFormat/>
    <w:uiPriority w:val="0"/>
    <w:pPr>
      <w:ind w:left="1418" w:hanging="1418"/>
      <w:outlineLvl w:val="3"/>
    </w:pPr>
    <w:rPr>
      <w:sz w:val="24"/>
    </w:rPr>
  </w:style>
  <w:style w:type="paragraph" w:styleId="6">
    <w:name w:val="heading 5"/>
    <w:basedOn w:val="1"/>
    <w:next w:val="1"/>
    <w:link w:val="140"/>
    <w:qFormat/>
    <w:uiPriority w:val="9"/>
    <w:pPr>
      <w:ind w:left="1701" w:hanging="1701"/>
      <w:outlineLvl w:val="4"/>
    </w:pPr>
    <w:rPr>
      <w:sz w:val="22"/>
    </w:rPr>
  </w:style>
  <w:style w:type="paragraph" w:styleId="7">
    <w:name w:val="heading 6"/>
    <w:basedOn w:val="1"/>
    <w:next w:val="1"/>
    <w:link w:val="152"/>
    <w:qFormat/>
    <w:uiPriority w:val="0"/>
    <w:pPr>
      <w:outlineLvl w:val="5"/>
    </w:pPr>
  </w:style>
  <w:style w:type="paragraph" w:styleId="8">
    <w:name w:val="heading 7"/>
    <w:basedOn w:val="9"/>
    <w:next w:val="1"/>
    <w:link w:val="153"/>
    <w:qFormat/>
    <w:uiPriority w:val="0"/>
    <w:pPr>
      <w:outlineLvl w:val="6"/>
    </w:pPr>
  </w:style>
  <w:style w:type="paragraph" w:styleId="10">
    <w:name w:val="heading 8"/>
    <w:basedOn w:val="2"/>
    <w:next w:val="1"/>
    <w:link w:val="154"/>
    <w:qFormat/>
    <w:uiPriority w:val="0"/>
    <w:pPr>
      <w:ind w:left="0" w:firstLine="0"/>
      <w:outlineLvl w:val="7"/>
    </w:pPr>
  </w:style>
  <w:style w:type="paragraph" w:styleId="11">
    <w:name w:val="heading 9"/>
    <w:basedOn w:val="10"/>
    <w:next w:val="1"/>
    <w:link w:val="155"/>
    <w:qFormat/>
    <w:uiPriority w:val="0"/>
    <w:pPr>
      <w:outlineLvl w:val="8"/>
    </w:pPr>
  </w:style>
  <w:style w:type="character" w:default="1" w:styleId="51">
    <w:name w:val="Default Paragraph Font"/>
    <w:semiHidden/>
    <w:unhideWhenUsed/>
    <w:uiPriority w:val="1"/>
  </w:style>
  <w:style w:type="table" w:default="1" w:styleId="49">
    <w:name w:val="Normal Table"/>
    <w:semiHidden/>
    <w:unhideWhenUsed/>
    <w:uiPriority w:val="99"/>
    <w:tblPr>
      <w:tblCellMar>
        <w:top w:w="0" w:type="dxa"/>
        <w:left w:w="108" w:type="dxa"/>
        <w:bottom w:w="0" w:type="dxa"/>
        <w:right w:w="108" w:type="dxa"/>
      </w:tblCellMar>
    </w:tblPr>
  </w:style>
  <w:style w:type="paragraph" w:customStyle="1" w:styleId="9">
    <w:name w:val="H6"/>
    <w:basedOn w:val="6"/>
    <w:next w:val="1"/>
    <w:link w:val="126"/>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uiPriority w:val="0"/>
    <w:pPr>
      <w:tabs>
        <w:tab w:val="right" w:leader="dot" w:pos="9639"/>
      </w:tabs>
      <w:ind w:left="1701" w:hanging="1701"/>
    </w:pPr>
  </w:style>
  <w:style w:type="paragraph" w:styleId="18">
    <w:name w:val="toc 4"/>
    <w:basedOn w:val="19"/>
    <w:next w:val="1"/>
    <w:qFormat/>
    <w:uiPriority w:val="0"/>
    <w:pPr>
      <w:tabs>
        <w:tab w:val="right" w:leader="dot" w:pos="9639"/>
      </w:tabs>
      <w:ind w:left="1418" w:hanging="1418"/>
    </w:pPr>
  </w:style>
  <w:style w:type="paragraph" w:styleId="19">
    <w:name w:val="toc 3"/>
    <w:basedOn w:val="20"/>
    <w:next w:val="1"/>
    <w:uiPriority w:val="0"/>
    <w:pPr>
      <w:tabs>
        <w:tab w:val="right" w:leader="dot" w:pos="9639"/>
      </w:tabs>
      <w:ind w:left="1134" w:hanging="1134"/>
    </w:pPr>
  </w:style>
  <w:style w:type="paragraph" w:styleId="20">
    <w:name w:val="toc 2"/>
    <w:basedOn w:val="21"/>
    <w:next w:val="1"/>
    <w:qFormat/>
    <w:uiPriority w:val="0"/>
    <w:pPr>
      <w:keepNext w:val="0"/>
      <w:tabs>
        <w:tab w:val="right" w:leader="dot" w:pos="9639"/>
      </w:tabs>
      <w:spacing w:before="0"/>
      <w:ind w:left="851" w:hanging="851"/>
    </w:pPr>
    <w:rPr>
      <w:sz w:val="20"/>
    </w:rPr>
  </w:style>
  <w:style w:type="paragraph" w:styleId="21">
    <w:name w:val="toc 1"/>
    <w:next w:val="1"/>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link w:val="124"/>
    <w:qFormat/>
    <w:uiPriority w:val="0"/>
    <w:pPr>
      <w:spacing w:before="120" w:after="120"/>
    </w:pPr>
    <w:rPr>
      <w:b/>
    </w:rPr>
  </w:style>
  <w:style w:type="paragraph" w:styleId="29">
    <w:name w:val="Document Map"/>
    <w:basedOn w:val="1"/>
    <w:link w:val="156"/>
    <w:semiHidden/>
    <w:qFormat/>
    <w:uiPriority w:val="0"/>
    <w:pPr>
      <w:shd w:val="clear" w:color="auto" w:fill="000080"/>
    </w:pPr>
    <w:rPr>
      <w:rFonts w:ascii="Tahoma" w:hAnsi="Tahoma"/>
    </w:rPr>
  </w:style>
  <w:style w:type="paragraph" w:styleId="30">
    <w:name w:val="annotation text"/>
    <w:basedOn w:val="1"/>
    <w:link w:val="116"/>
    <w:qFormat/>
    <w:uiPriority w:val="99"/>
  </w:style>
  <w:style w:type="paragraph" w:styleId="31">
    <w:name w:val="Body Text"/>
    <w:basedOn w:val="1"/>
    <w:link w:val="144"/>
    <w:qFormat/>
    <w:uiPriority w:val="0"/>
  </w:style>
  <w:style w:type="paragraph" w:styleId="32">
    <w:name w:val="Body Text Indent"/>
    <w:basedOn w:val="1"/>
    <w:link w:val="120"/>
    <w:qFormat/>
    <w:uiPriority w:val="0"/>
    <w:pPr>
      <w:spacing w:after="120"/>
      <w:ind w:left="283"/>
    </w:pPr>
  </w:style>
  <w:style w:type="paragraph" w:styleId="33">
    <w:name w:val="Plain Text"/>
    <w:basedOn w:val="1"/>
    <w:link w:val="102"/>
    <w:qFormat/>
    <w:uiPriority w:val="99"/>
    <w:rPr>
      <w:rFonts w:ascii="Courier New" w:hAnsi="Courier New"/>
      <w:lang w:val="nb-NO"/>
    </w:rPr>
  </w:style>
  <w:style w:type="paragraph" w:styleId="34">
    <w:name w:val="List Bullet 5"/>
    <w:basedOn w:val="24"/>
    <w:qFormat/>
    <w:uiPriority w:val="0"/>
    <w:pPr>
      <w:ind w:left="1702"/>
    </w:pPr>
  </w:style>
  <w:style w:type="paragraph" w:styleId="35">
    <w:name w:val="toc 8"/>
    <w:basedOn w:val="21"/>
    <w:next w:val="1"/>
    <w:uiPriority w:val="0"/>
    <w:pPr>
      <w:spacing w:before="180"/>
      <w:ind w:left="2693" w:hanging="2693"/>
    </w:pPr>
    <w:rPr>
      <w:b/>
    </w:rPr>
  </w:style>
  <w:style w:type="paragraph" w:styleId="36">
    <w:name w:val="Balloon Text"/>
    <w:basedOn w:val="1"/>
    <w:link w:val="114"/>
    <w:qFormat/>
    <w:uiPriority w:val="0"/>
    <w:pPr>
      <w:spacing w:after="0"/>
    </w:pPr>
    <w:rPr>
      <w:rFonts w:ascii="Tahoma" w:hAnsi="Tahoma"/>
      <w:sz w:val="16"/>
      <w:szCs w:val="16"/>
    </w:rPr>
  </w:style>
  <w:style w:type="paragraph" w:styleId="37">
    <w:name w:val="footer"/>
    <w:basedOn w:val="38"/>
    <w:link w:val="142"/>
    <w:qFormat/>
    <w:uiPriority w:val="0"/>
    <w:pPr>
      <w:jc w:val="center"/>
    </w:pPr>
    <w:rPr>
      <w:i/>
    </w:rPr>
  </w:style>
  <w:style w:type="paragraph" w:styleId="38">
    <w:name w:val="header"/>
    <w:link w:val="128"/>
    <w:uiPriority w:val="99"/>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9">
    <w:name w:val="index heading"/>
    <w:basedOn w:val="1"/>
    <w:next w:val="1"/>
    <w:semiHidden/>
    <w:qFormat/>
    <w:uiPriority w:val="0"/>
    <w:pPr>
      <w:pBdr>
        <w:top w:val="single" w:color="auto" w:sz="12" w:space="0"/>
      </w:pBdr>
      <w:spacing w:before="360" w:after="240"/>
    </w:pPr>
    <w:rPr>
      <w:b/>
      <w:i/>
      <w:sz w:val="26"/>
    </w:rPr>
  </w:style>
  <w:style w:type="paragraph" w:styleId="40">
    <w:name w:val="footnote text"/>
    <w:basedOn w:val="1"/>
    <w:link w:val="103"/>
    <w:semiHidden/>
    <w:uiPriority w:val="0"/>
    <w:pPr>
      <w:keepLines/>
      <w:spacing w:after="0"/>
      <w:ind w:left="454" w:hanging="454"/>
    </w:pPr>
    <w:rPr>
      <w:sz w:val="16"/>
    </w:rPr>
  </w:style>
  <w:style w:type="paragraph" w:styleId="41">
    <w:name w:val="List 5"/>
    <w:basedOn w:val="42"/>
    <w:qFormat/>
    <w:uiPriority w:val="0"/>
    <w:pPr>
      <w:ind w:left="1702"/>
    </w:pPr>
  </w:style>
  <w:style w:type="paragraph" w:styleId="42">
    <w:name w:val="List 4"/>
    <w:basedOn w:val="12"/>
    <w:qFormat/>
    <w:uiPriority w:val="0"/>
    <w:pPr>
      <w:ind w:left="1418"/>
    </w:pPr>
  </w:style>
  <w:style w:type="paragraph" w:styleId="43">
    <w:name w:val="toc 9"/>
    <w:basedOn w:val="35"/>
    <w:next w:val="1"/>
    <w:uiPriority w:val="0"/>
    <w:pPr>
      <w:ind w:left="1418" w:hanging="1418"/>
    </w:pPr>
  </w:style>
  <w:style w:type="paragraph" w:styleId="44">
    <w:name w:val="Normal (Web)"/>
    <w:basedOn w:val="1"/>
    <w:unhideWhenUsed/>
    <w:qFormat/>
    <w:uiPriority w:val="99"/>
    <w:pPr>
      <w:spacing w:before="100" w:beforeAutospacing="1" w:after="100" w:afterAutospacing="1"/>
    </w:pPr>
    <w:rPr>
      <w:rFonts w:ascii="宋体" w:hAnsi="宋体" w:eastAsia="宋体" w:cs="宋体"/>
      <w:sz w:val="24"/>
      <w:szCs w:val="24"/>
      <w:lang w:val="en-US" w:eastAsia="zh-CN"/>
    </w:rPr>
  </w:style>
  <w:style w:type="paragraph" w:styleId="45">
    <w:name w:val="index 1"/>
    <w:basedOn w:val="1"/>
    <w:next w:val="1"/>
    <w:semiHidden/>
    <w:uiPriority w:val="0"/>
    <w:pPr>
      <w:keepLines/>
      <w:spacing w:after="0"/>
    </w:pPr>
  </w:style>
  <w:style w:type="paragraph" w:styleId="46">
    <w:name w:val="index 2"/>
    <w:basedOn w:val="45"/>
    <w:next w:val="1"/>
    <w:semiHidden/>
    <w:uiPriority w:val="0"/>
    <w:pPr>
      <w:ind w:left="284"/>
    </w:pPr>
  </w:style>
  <w:style w:type="paragraph" w:styleId="47">
    <w:name w:val="Title"/>
    <w:basedOn w:val="1"/>
    <w:next w:val="1"/>
    <w:link w:val="127"/>
    <w:qFormat/>
    <w:uiPriority w:val="0"/>
    <w:pPr>
      <w:spacing w:before="240" w:after="60"/>
      <w:jc w:val="center"/>
      <w:outlineLvl w:val="0"/>
    </w:pPr>
    <w:rPr>
      <w:rFonts w:ascii="Calibri Light" w:hAnsi="Calibri Light"/>
      <w:b/>
      <w:bCs/>
      <w:kern w:val="28"/>
      <w:sz w:val="32"/>
      <w:szCs w:val="32"/>
    </w:rPr>
  </w:style>
  <w:style w:type="paragraph" w:styleId="48">
    <w:name w:val="annotation subject"/>
    <w:basedOn w:val="30"/>
    <w:next w:val="30"/>
    <w:link w:val="117"/>
    <w:qFormat/>
    <w:uiPriority w:val="0"/>
    <w:rPr>
      <w:b/>
      <w:bCs/>
    </w:rPr>
  </w:style>
  <w:style w:type="table" w:styleId="50">
    <w:name w:val="Table Grid"/>
    <w:basedOn w:val="49"/>
    <w:qFormat/>
    <w:uiPriority w:val="3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2">
    <w:name w:val="Strong"/>
    <w:basedOn w:val="51"/>
    <w:qFormat/>
    <w:uiPriority w:val="0"/>
    <w:rPr>
      <w:b/>
      <w:bCs/>
    </w:rPr>
  </w:style>
  <w:style w:type="character" w:styleId="53">
    <w:name w:val="page number"/>
    <w:basedOn w:val="51"/>
    <w:uiPriority w:val="0"/>
  </w:style>
  <w:style w:type="character" w:styleId="54">
    <w:name w:val="Hyperlink"/>
    <w:qFormat/>
    <w:uiPriority w:val="99"/>
    <w:rPr>
      <w:color w:val="0000FF"/>
      <w:u w:val="single"/>
    </w:rPr>
  </w:style>
  <w:style w:type="character" w:styleId="55">
    <w:name w:val="annotation reference"/>
    <w:qFormat/>
    <w:uiPriority w:val="99"/>
    <w:rPr>
      <w:sz w:val="16"/>
    </w:rPr>
  </w:style>
  <w:style w:type="character" w:styleId="56">
    <w:name w:val="footnote reference"/>
    <w:basedOn w:val="51"/>
    <w:semiHidden/>
    <w:qFormat/>
    <w:uiPriority w:val="0"/>
    <w:rPr>
      <w:b/>
      <w:position w:val="6"/>
      <w:sz w:val="16"/>
    </w:rPr>
  </w:style>
  <w:style w:type="paragraph" w:customStyle="1" w:styleId="57">
    <w:name w:val="EQ"/>
    <w:basedOn w:val="1"/>
    <w:next w:val="1"/>
    <w:link w:val="135"/>
    <w:uiPriority w:val="0"/>
    <w:pPr>
      <w:keepLines/>
      <w:tabs>
        <w:tab w:val="center" w:pos="4536"/>
        <w:tab w:val="right" w:pos="9072"/>
      </w:tabs>
    </w:pPr>
  </w:style>
  <w:style w:type="character" w:customStyle="1" w:styleId="58">
    <w:name w:val="ZGSM"/>
    <w:uiPriority w:val="0"/>
  </w:style>
  <w:style w:type="paragraph" w:customStyle="1" w:styleId="59">
    <w:name w:val="ZD"/>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60">
    <w:name w:val="TT"/>
    <w:basedOn w:val="2"/>
    <w:next w:val="1"/>
    <w:qFormat/>
    <w:uiPriority w:val="0"/>
    <w:pPr>
      <w:outlineLvl w:val="9"/>
    </w:pPr>
  </w:style>
  <w:style w:type="paragraph" w:customStyle="1" w:styleId="61">
    <w:name w:val="NF"/>
    <w:basedOn w:val="62"/>
    <w:qFormat/>
    <w:uiPriority w:val="0"/>
    <w:pPr>
      <w:keepNext/>
      <w:spacing w:after="0"/>
    </w:pPr>
    <w:rPr>
      <w:rFonts w:ascii="Arial" w:hAnsi="Arial"/>
      <w:sz w:val="18"/>
    </w:rPr>
  </w:style>
  <w:style w:type="paragraph" w:customStyle="1" w:styleId="62">
    <w:name w:val="NO"/>
    <w:basedOn w:val="1"/>
    <w:link w:val="136"/>
    <w:qFormat/>
    <w:uiPriority w:val="0"/>
    <w:pPr>
      <w:keepLines/>
      <w:ind w:left="1135" w:hanging="851"/>
    </w:pPr>
  </w:style>
  <w:style w:type="paragraph" w:customStyle="1" w:styleId="63">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4">
    <w:name w:val="TAR"/>
    <w:basedOn w:val="65"/>
    <w:qFormat/>
    <w:uiPriority w:val="0"/>
    <w:pPr>
      <w:jc w:val="right"/>
    </w:pPr>
  </w:style>
  <w:style w:type="paragraph" w:customStyle="1" w:styleId="65">
    <w:name w:val="TAL"/>
    <w:basedOn w:val="1"/>
    <w:link w:val="108"/>
    <w:qFormat/>
    <w:uiPriority w:val="0"/>
    <w:pPr>
      <w:keepNext/>
      <w:keepLines/>
      <w:spacing w:after="0"/>
    </w:pPr>
    <w:rPr>
      <w:rFonts w:ascii="Arial" w:hAnsi="Arial"/>
      <w:sz w:val="18"/>
    </w:rPr>
  </w:style>
  <w:style w:type="paragraph" w:customStyle="1" w:styleId="66">
    <w:name w:val="TAH"/>
    <w:basedOn w:val="67"/>
    <w:link w:val="101"/>
    <w:qFormat/>
    <w:uiPriority w:val="0"/>
    <w:rPr>
      <w:b/>
    </w:rPr>
  </w:style>
  <w:style w:type="paragraph" w:customStyle="1" w:styleId="67">
    <w:name w:val="TAC"/>
    <w:basedOn w:val="65"/>
    <w:link w:val="100"/>
    <w:qFormat/>
    <w:uiPriority w:val="0"/>
    <w:pPr>
      <w:jc w:val="center"/>
    </w:pPr>
  </w:style>
  <w:style w:type="paragraph" w:customStyle="1" w:styleId="68">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9">
    <w:name w:val="EX"/>
    <w:basedOn w:val="1"/>
    <w:uiPriority w:val="0"/>
    <w:pPr>
      <w:keepLines/>
      <w:ind w:left="1702" w:hanging="1418"/>
    </w:pPr>
  </w:style>
  <w:style w:type="paragraph" w:customStyle="1" w:styleId="70">
    <w:name w:val="FP"/>
    <w:basedOn w:val="1"/>
    <w:qFormat/>
    <w:uiPriority w:val="0"/>
    <w:pPr>
      <w:spacing w:after="0"/>
    </w:pPr>
  </w:style>
  <w:style w:type="paragraph" w:customStyle="1" w:styleId="71">
    <w:name w:val="NW"/>
    <w:basedOn w:val="62"/>
    <w:qFormat/>
    <w:uiPriority w:val="0"/>
    <w:pPr>
      <w:spacing w:after="0"/>
    </w:pPr>
  </w:style>
  <w:style w:type="paragraph" w:customStyle="1" w:styleId="72">
    <w:name w:val="EW"/>
    <w:basedOn w:val="69"/>
    <w:qFormat/>
    <w:uiPriority w:val="0"/>
    <w:pPr>
      <w:spacing w:after="0"/>
    </w:pPr>
  </w:style>
  <w:style w:type="paragraph" w:customStyle="1" w:styleId="73">
    <w:name w:val="B1"/>
    <w:basedOn w:val="14"/>
    <w:link w:val="121"/>
    <w:qFormat/>
    <w:uiPriority w:val="0"/>
  </w:style>
  <w:style w:type="paragraph" w:customStyle="1" w:styleId="74">
    <w:name w:val="Editor's Note"/>
    <w:basedOn w:val="62"/>
    <w:qFormat/>
    <w:uiPriority w:val="0"/>
    <w:rPr>
      <w:color w:val="FF0000"/>
    </w:rPr>
  </w:style>
  <w:style w:type="paragraph" w:customStyle="1" w:styleId="75">
    <w:name w:val="TH"/>
    <w:basedOn w:val="1"/>
    <w:link w:val="109"/>
    <w:qFormat/>
    <w:uiPriority w:val="0"/>
    <w:pPr>
      <w:keepNext/>
      <w:keepLines/>
      <w:spacing w:before="60"/>
      <w:jc w:val="center"/>
    </w:pPr>
    <w:rPr>
      <w:rFonts w:ascii="Arial" w:hAnsi="Arial"/>
      <w:b/>
    </w:rPr>
  </w:style>
  <w:style w:type="paragraph" w:customStyle="1" w:styleId="76">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77">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7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9">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0">
    <w:name w:val="TAN"/>
    <w:basedOn w:val="65"/>
    <w:link w:val="110"/>
    <w:qFormat/>
    <w:uiPriority w:val="0"/>
    <w:pPr>
      <w:ind w:left="851" w:hanging="851"/>
    </w:pPr>
  </w:style>
  <w:style w:type="paragraph" w:customStyle="1" w:styleId="81">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82">
    <w:name w:val="TF"/>
    <w:basedOn w:val="75"/>
    <w:qFormat/>
    <w:uiPriority w:val="0"/>
    <w:pPr>
      <w:keepNext w:val="0"/>
      <w:spacing w:before="0" w:after="240"/>
    </w:pPr>
  </w:style>
  <w:style w:type="paragraph" w:customStyle="1" w:styleId="83">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4">
    <w:name w:val="B2"/>
    <w:basedOn w:val="13"/>
    <w:link w:val="115"/>
    <w:qFormat/>
    <w:uiPriority w:val="0"/>
  </w:style>
  <w:style w:type="paragraph" w:customStyle="1" w:styleId="85">
    <w:name w:val="B3"/>
    <w:basedOn w:val="12"/>
    <w:qFormat/>
    <w:uiPriority w:val="0"/>
  </w:style>
  <w:style w:type="paragraph" w:customStyle="1" w:styleId="86">
    <w:name w:val="B4"/>
    <w:basedOn w:val="42"/>
    <w:qFormat/>
    <w:uiPriority w:val="0"/>
  </w:style>
  <w:style w:type="paragraph" w:customStyle="1" w:styleId="87">
    <w:name w:val="B5"/>
    <w:basedOn w:val="41"/>
    <w:qFormat/>
    <w:uiPriority w:val="0"/>
  </w:style>
  <w:style w:type="paragraph" w:customStyle="1" w:styleId="88">
    <w:name w:val="ZTD"/>
    <w:basedOn w:val="77"/>
    <w:qFormat/>
    <w:uiPriority w:val="0"/>
    <w:pPr>
      <w:framePr w:hRule="auto" w:y="852"/>
    </w:pPr>
    <w:rPr>
      <w:i w:val="0"/>
      <w:sz w:val="40"/>
    </w:rPr>
  </w:style>
  <w:style w:type="paragraph" w:customStyle="1" w:styleId="89">
    <w:name w:val="ZV"/>
    <w:basedOn w:val="79"/>
    <w:qFormat/>
    <w:uiPriority w:val="0"/>
    <w:pPr>
      <w:framePr w:y="16161"/>
    </w:pPr>
  </w:style>
  <w:style w:type="paragraph" w:customStyle="1" w:styleId="90">
    <w:name w:val="INDENT1"/>
    <w:basedOn w:val="1"/>
    <w:qFormat/>
    <w:uiPriority w:val="0"/>
    <w:pPr>
      <w:ind w:left="851"/>
    </w:pPr>
  </w:style>
  <w:style w:type="paragraph" w:customStyle="1" w:styleId="91">
    <w:name w:val="INDENT2"/>
    <w:basedOn w:val="1"/>
    <w:qFormat/>
    <w:uiPriority w:val="0"/>
    <w:pPr>
      <w:ind w:left="1135" w:hanging="284"/>
    </w:pPr>
  </w:style>
  <w:style w:type="paragraph" w:customStyle="1" w:styleId="92">
    <w:name w:val="INDENT3"/>
    <w:basedOn w:val="1"/>
    <w:qFormat/>
    <w:uiPriority w:val="0"/>
    <w:pPr>
      <w:ind w:left="1701" w:hanging="567"/>
    </w:pPr>
  </w:style>
  <w:style w:type="paragraph" w:customStyle="1" w:styleId="93">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94">
    <w:name w:val="Rec_CCITT_#"/>
    <w:basedOn w:val="1"/>
    <w:qFormat/>
    <w:uiPriority w:val="0"/>
    <w:pPr>
      <w:keepNext/>
      <w:keepLines/>
    </w:pPr>
    <w:rPr>
      <w:b/>
    </w:rPr>
  </w:style>
  <w:style w:type="paragraph" w:customStyle="1" w:styleId="95">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96">
    <w:name w:val="Couv Rec Title"/>
    <w:basedOn w:val="1"/>
    <w:qFormat/>
    <w:uiPriority w:val="0"/>
    <w:pPr>
      <w:keepNext/>
      <w:keepLines/>
      <w:spacing w:before="240"/>
      <w:ind w:left="1418"/>
    </w:pPr>
    <w:rPr>
      <w:rFonts w:ascii="Arial" w:hAnsi="Arial"/>
      <w:b/>
      <w:sz w:val="36"/>
      <w:lang w:val="en-US"/>
    </w:rPr>
  </w:style>
  <w:style w:type="character" w:customStyle="1" w:styleId="97">
    <w:name w:val="访问过的超链接1"/>
    <w:qFormat/>
    <w:uiPriority w:val="0"/>
    <w:rPr>
      <w:color w:val="800080"/>
      <w:u w:val="single"/>
    </w:rPr>
  </w:style>
  <w:style w:type="paragraph" w:customStyle="1" w:styleId="98">
    <w:name w:val="TAJ"/>
    <w:basedOn w:val="75"/>
    <w:qFormat/>
    <w:uiPriority w:val="0"/>
  </w:style>
  <w:style w:type="paragraph" w:customStyle="1" w:styleId="99">
    <w:name w:val="Guidance"/>
    <w:basedOn w:val="1"/>
    <w:link w:val="134"/>
    <w:qFormat/>
    <w:uiPriority w:val="0"/>
    <w:rPr>
      <w:i/>
      <w:color w:val="0000FF"/>
    </w:rPr>
  </w:style>
  <w:style w:type="character" w:customStyle="1" w:styleId="100">
    <w:name w:val="TAC Char"/>
    <w:link w:val="67"/>
    <w:qFormat/>
    <w:uiPriority w:val="0"/>
    <w:rPr>
      <w:rFonts w:ascii="Arial" w:hAnsi="Arial" w:eastAsia="Times New Roman"/>
      <w:sz w:val="18"/>
      <w:lang w:val="en-GB" w:eastAsia="en-GB"/>
    </w:rPr>
  </w:style>
  <w:style w:type="character" w:customStyle="1" w:styleId="101">
    <w:name w:val="TAH Car"/>
    <w:link w:val="66"/>
    <w:qFormat/>
    <w:uiPriority w:val="0"/>
    <w:rPr>
      <w:rFonts w:ascii="Arial" w:hAnsi="Arial" w:eastAsia="Times New Roman"/>
      <w:b/>
      <w:sz w:val="18"/>
      <w:lang w:val="en-GB" w:eastAsia="en-GB"/>
    </w:rPr>
  </w:style>
  <w:style w:type="character" w:customStyle="1" w:styleId="102">
    <w:name w:val="Plain Text Char"/>
    <w:link w:val="33"/>
    <w:qFormat/>
    <w:uiPriority w:val="99"/>
    <w:rPr>
      <w:rFonts w:ascii="Courier New" w:hAnsi="Courier New"/>
      <w:lang w:val="nb-NO"/>
    </w:rPr>
  </w:style>
  <w:style w:type="character" w:customStyle="1" w:styleId="103">
    <w:name w:val="Footnote Text Char"/>
    <w:link w:val="40"/>
    <w:semiHidden/>
    <w:qFormat/>
    <w:locked/>
    <w:uiPriority w:val="0"/>
    <w:rPr>
      <w:rFonts w:eastAsia="Times New Roman"/>
      <w:sz w:val="16"/>
      <w:lang w:val="en-GB" w:eastAsia="en-GB"/>
    </w:rPr>
  </w:style>
  <w:style w:type="paragraph" w:customStyle="1" w:styleId="104">
    <w:name w:val="Numbered List"/>
    <w:basedOn w:val="1"/>
    <w:qFormat/>
    <w:uiPriority w:val="99"/>
    <w:pPr>
      <w:numPr>
        <w:ilvl w:val="0"/>
        <w:numId w:val="1"/>
      </w:numPr>
      <w:tabs>
        <w:tab w:val="left" w:pos="360"/>
        <w:tab w:val="clear" w:pos="397"/>
      </w:tabs>
      <w:spacing w:after="240"/>
      <w:ind w:left="0" w:firstLine="0"/>
      <w:jc w:val="both"/>
    </w:pPr>
    <w:rPr>
      <w:rFonts w:ascii="Arial" w:hAnsi="Arial" w:eastAsia="Calibri"/>
      <w:szCs w:val="24"/>
      <w:lang w:eastAsia="zh-CN"/>
    </w:rPr>
  </w:style>
  <w:style w:type="paragraph" w:styleId="105">
    <w:name w:val="List Paragraph"/>
    <w:basedOn w:val="1"/>
    <w:link w:val="132"/>
    <w:qFormat/>
    <w:uiPriority w:val="34"/>
    <w:pPr>
      <w:spacing w:after="0"/>
      <w:ind w:left="720"/>
      <w:contextualSpacing/>
    </w:pPr>
    <w:rPr>
      <w:rFonts w:ascii="Helvetica 55 Roman" w:hAnsi="Helvetica 55 Roman" w:eastAsia="Calibri"/>
      <w:szCs w:val="24"/>
      <w:lang w:val="fr-FR" w:eastAsia="zh-CN"/>
    </w:rPr>
  </w:style>
  <w:style w:type="paragraph" w:customStyle="1" w:styleId="106">
    <w:name w:val="tah"/>
    <w:basedOn w:val="1"/>
    <w:semiHidden/>
    <w:qFormat/>
    <w:uiPriority w:val="99"/>
    <w:pPr>
      <w:spacing w:after="0"/>
      <w:jc w:val="center"/>
    </w:pPr>
    <w:rPr>
      <w:rFonts w:ascii="Arial" w:hAnsi="Arial" w:eastAsia="Calibri" w:cs="Arial"/>
      <w:b/>
      <w:bCs/>
      <w:sz w:val="18"/>
      <w:szCs w:val="18"/>
      <w:lang w:val="fr-FR" w:eastAsia="fr-FR"/>
    </w:rPr>
  </w:style>
  <w:style w:type="paragraph" w:customStyle="1" w:styleId="107">
    <w:name w:val="tac"/>
    <w:basedOn w:val="1"/>
    <w:semiHidden/>
    <w:qFormat/>
    <w:uiPriority w:val="99"/>
    <w:pPr>
      <w:spacing w:after="0"/>
      <w:jc w:val="center"/>
    </w:pPr>
    <w:rPr>
      <w:rFonts w:ascii="Arial" w:hAnsi="Arial" w:eastAsia="Calibri" w:cs="Arial"/>
      <w:sz w:val="18"/>
      <w:szCs w:val="18"/>
      <w:lang w:val="fr-FR" w:eastAsia="fr-FR"/>
    </w:rPr>
  </w:style>
  <w:style w:type="character" w:customStyle="1" w:styleId="108">
    <w:name w:val="TAL Char"/>
    <w:link w:val="65"/>
    <w:qFormat/>
    <w:uiPriority w:val="0"/>
    <w:rPr>
      <w:rFonts w:ascii="Arial" w:hAnsi="Arial" w:eastAsia="Times New Roman"/>
      <w:sz w:val="18"/>
      <w:lang w:val="en-GB" w:eastAsia="en-GB"/>
    </w:rPr>
  </w:style>
  <w:style w:type="character" w:customStyle="1" w:styleId="109">
    <w:name w:val="TH Char"/>
    <w:link w:val="75"/>
    <w:qFormat/>
    <w:uiPriority w:val="0"/>
    <w:rPr>
      <w:rFonts w:ascii="Arial" w:hAnsi="Arial" w:eastAsia="Times New Roman"/>
      <w:b/>
      <w:lang w:val="en-GB" w:eastAsia="en-GB"/>
    </w:rPr>
  </w:style>
  <w:style w:type="character" w:customStyle="1" w:styleId="110">
    <w:name w:val="TAN Char"/>
    <w:link w:val="80"/>
    <w:qFormat/>
    <w:uiPriority w:val="0"/>
    <w:rPr>
      <w:rFonts w:ascii="Arial" w:hAnsi="Arial" w:eastAsia="Times New Roman"/>
      <w:sz w:val="18"/>
      <w:lang w:val="en-GB" w:eastAsia="en-GB"/>
    </w:rPr>
  </w:style>
  <w:style w:type="paragraph" w:customStyle="1" w:styleId="111">
    <w:name w:val="ECC Paragraph"/>
    <w:basedOn w:val="1"/>
    <w:qFormat/>
    <w:uiPriority w:val="99"/>
    <w:pPr>
      <w:spacing w:after="240"/>
      <w:jc w:val="both"/>
    </w:pPr>
    <w:rPr>
      <w:rFonts w:ascii="Arial" w:hAnsi="Arial"/>
      <w:szCs w:val="24"/>
    </w:rPr>
  </w:style>
  <w:style w:type="paragraph" w:customStyle="1" w:styleId="112">
    <w:name w:val="ECC Table title"/>
    <w:basedOn w:val="1"/>
    <w:next w:val="111"/>
    <w:qFormat/>
    <w:uiPriority w:val="0"/>
    <w:pPr>
      <w:spacing w:before="360" w:after="240"/>
      <w:jc w:val="center"/>
    </w:pPr>
    <w:rPr>
      <w:b/>
      <w:szCs w:val="24"/>
    </w:rPr>
  </w:style>
  <w:style w:type="character" w:customStyle="1" w:styleId="113">
    <w:name w:val="TAL Car"/>
    <w:qFormat/>
    <w:uiPriority w:val="0"/>
    <w:rPr>
      <w:rFonts w:ascii="Arial" w:hAnsi="Arial"/>
      <w:sz w:val="18"/>
      <w:lang w:val="en-GB"/>
    </w:rPr>
  </w:style>
  <w:style w:type="character" w:customStyle="1" w:styleId="114">
    <w:name w:val="Balloon Text Char"/>
    <w:link w:val="36"/>
    <w:qFormat/>
    <w:uiPriority w:val="0"/>
    <w:rPr>
      <w:rFonts w:ascii="Tahoma" w:hAnsi="Tahoma" w:cs="Tahoma"/>
      <w:sz w:val="16"/>
      <w:szCs w:val="16"/>
      <w:lang w:val="en-GB" w:eastAsia="en-US"/>
    </w:rPr>
  </w:style>
  <w:style w:type="character" w:customStyle="1" w:styleId="115">
    <w:name w:val="B2 Char"/>
    <w:link w:val="84"/>
    <w:qFormat/>
    <w:locked/>
    <w:uiPriority w:val="0"/>
    <w:rPr>
      <w:rFonts w:eastAsia="Times New Roman"/>
      <w:lang w:val="en-GB" w:eastAsia="en-GB"/>
    </w:rPr>
  </w:style>
  <w:style w:type="character" w:customStyle="1" w:styleId="116">
    <w:name w:val="Comment Text Char"/>
    <w:link w:val="30"/>
    <w:qFormat/>
    <w:uiPriority w:val="99"/>
    <w:rPr>
      <w:lang w:val="en-GB" w:eastAsia="en-US"/>
    </w:rPr>
  </w:style>
  <w:style w:type="character" w:customStyle="1" w:styleId="117">
    <w:name w:val="Comment Subject Char"/>
    <w:link w:val="48"/>
    <w:uiPriority w:val="0"/>
    <w:rPr>
      <w:b/>
      <w:bCs/>
      <w:lang w:val="en-GB" w:eastAsia="en-US"/>
    </w:rPr>
  </w:style>
  <w:style w:type="paragraph" w:customStyle="1" w:styleId="118">
    <w:name w:val="Revision"/>
    <w:hidden/>
    <w:semiHidden/>
    <w:qFormat/>
    <w:uiPriority w:val="99"/>
    <w:rPr>
      <w:rFonts w:ascii="Times New Roman" w:hAnsi="Times New Roman" w:eastAsia="等线" w:cs="Times New Roman"/>
      <w:lang w:val="en-GB" w:eastAsia="en-US" w:bidi="ar-SA"/>
    </w:rPr>
  </w:style>
  <w:style w:type="paragraph" w:customStyle="1" w:styleId="119">
    <w:name w:val="TableText"/>
    <w:basedOn w:val="32"/>
    <w:qFormat/>
    <w:uiPriority w:val="0"/>
    <w:pPr>
      <w:keepNext/>
      <w:keepLines/>
      <w:spacing w:after="180"/>
      <w:ind w:left="0"/>
      <w:jc w:val="center"/>
    </w:pPr>
    <w:rPr>
      <w:snapToGrid w:val="0"/>
      <w:kern w:val="2"/>
    </w:rPr>
  </w:style>
  <w:style w:type="character" w:customStyle="1" w:styleId="120">
    <w:name w:val="Body Text Indent Char"/>
    <w:link w:val="32"/>
    <w:qFormat/>
    <w:uiPriority w:val="0"/>
    <w:rPr>
      <w:lang w:val="en-GB"/>
    </w:rPr>
  </w:style>
  <w:style w:type="character" w:customStyle="1" w:styleId="121">
    <w:name w:val="B1 Char"/>
    <w:link w:val="73"/>
    <w:qFormat/>
    <w:uiPriority w:val="0"/>
    <w:rPr>
      <w:rFonts w:eastAsia="Times New Roman"/>
      <w:lang w:val="en-GB" w:eastAsia="en-GB"/>
    </w:rPr>
  </w:style>
  <w:style w:type="paragraph" w:customStyle="1" w:styleId="122">
    <w:name w:val="Default"/>
    <w:qFormat/>
    <w:uiPriority w:val="0"/>
    <w:pPr>
      <w:autoSpaceDE w:val="0"/>
      <w:autoSpaceDN w:val="0"/>
      <w:adjustRightInd w:val="0"/>
    </w:pPr>
    <w:rPr>
      <w:rFonts w:ascii="Times New Roman" w:hAnsi="Times New Roman" w:eastAsia="Calibri" w:cs="Times New Roman"/>
      <w:color w:val="000000"/>
      <w:sz w:val="24"/>
      <w:szCs w:val="24"/>
      <w:lang w:val="en-US" w:eastAsia="en-US" w:bidi="ar-SA"/>
    </w:rPr>
  </w:style>
  <w:style w:type="character" w:customStyle="1" w:styleId="123">
    <w:name w:val="TAC Car"/>
    <w:qFormat/>
    <w:uiPriority w:val="0"/>
  </w:style>
  <w:style w:type="character" w:customStyle="1" w:styleId="124">
    <w:name w:val="Caption Char1"/>
    <w:link w:val="28"/>
    <w:qFormat/>
    <w:uiPriority w:val="0"/>
    <w:rPr>
      <w:b/>
      <w:lang w:val="en-GB"/>
    </w:rPr>
  </w:style>
  <w:style w:type="character" w:customStyle="1" w:styleId="125">
    <w:name w:val="st"/>
    <w:qFormat/>
    <w:uiPriority w:val="0"/>
  </w:style>
  <w:style w:type="character" w:customStyle="1" w:styleId="126">
    <w:name w:val="H6 Char"/>
    <w:link w:val="9"/>
    <w:qFormat/>
    <w:uiPriority w:val="0"/>
    <w:rPr>
      <w:rFonts w:ascii="Arial" w:hAnsi="Arial" w:eastAsia="Times New Roman"/>
      <w:lang w:val="en-GB" w:eastAsia="en-GB"/>
    </w:rPr>
  </w:style>
  <w:style w:type="character" w:customStyle="1" w:styleId="127">
    <w:name w:val="Title Char"/>
    <w:link w:val="47"/>
    <w:qFormat/>
    <w:uiPriority w:val="0"/>
    <w:rPr>
      <w:rFonts w:ascii="Calibri Light" w:hAnsi="Calibri Light" w:eastAsia="Times New Roman" w:cs="Times New Roman"/>
      <w:b/>
      <w:bCs/>
      <w:kern w:val="28"/>
      <w:sz w:val="32"/>
      <w:szCs w:val="32"/>
      <w:lang w:val="en-GB"/>
    </w:rPr>
  </w:style>
  <w:style w:type="character" w:customStyle="1" w:styleId="128">
    <w:name w:val="Header Char"/>
    <w:basedOn w:val="51"/>
    <w:link w:val="38"/>
    <w:qFormat/>
    <w:locked/>
    <w:uiPriority w:val="99"/>
    <w:rPr>
      <w:rFonts w:ascii="Arial" w:hAnsi="Arial" w:eastAsia="Times New Roman"/>
      <w:b/>
      <w:sz w:val="18"/>
      <w:lang w:val="en-GB" w:eastAsia="en-GB"/>
    </w:rPr>
  </w:style>
  <w:style w:type="character" w:customStyle="1" w:styleId="129">
    <w:name w:val="Heading 2 Char"/>
    <w:basedOn w:val="51"/>
    <w:link w:val="3"/>
    <w:qFormat/>
    <w:uiPriority w:val="0"/>
    <w:rPr>
      <w:rFonts w:ascii="Arial" w:hAnsi="Arial" w:eastAsia="Times New Roman"/>
      <w:sz w:val="32"/>
      <w:lang w:val="en-GB" w:eastAsia="en-GB"/>
    </w:rPr>
  </w:style>
  <w:style w:type="character" w:customStyle="1" w:styleId="130">
    <w:name w:val="Heading 3 Char"/>
    <w:basedOn w:val="51"/>
    <w:link w:val="4"/>
    <w:uiPriority w:val="9"/>
    <w:rPr>
      <w:rFonts w:ascii="Arial" w:hAnsi="Arial" w:eastAsia="Times New Roman"/>
      <w:sz w:val="28"/>
      <w:lang w:val="en-GB" w:eastAsia="en-GB"/>
    </w:rPr>
  </w:style>
  <w:style w:type="character" w:customStyle="1" w:styleId="131">
    <w:name w:val="Heading 4 Char"/>
    <w:basedOn w:val="51"/>
    <w:link w:val="5"/>
    <w:qFormat/>
    <w:uiPriority w:val="0"/>
    <w:rPr>
      <w:rFonts w:ascii="Arial" w:hAnsi="Arial" w:eastAsia="Times New Roman"/>
      <w:sz w:val="24"/>
      <w:lang w:val="en-GB" w:eastAsia="en-GB"/>
    </w:rPr>
  </w:style>
  <w:style w:type="character" w:customStyle="1" w:styleId="132">
    <w:name w:val="List Paragraph Char"/>
    <w:link w:val="105"/>
    <w:qFormat/>
    <w:uiPriority w:val="34"/>
    <w:rPr>
      <w:rFonts w:ascii="Helvetica 55 Roman" w:hAnsi="Helvetica 55 Roman" w:eastAsia="Calibri"/>
      <w:szCs w:val="24"/>
      <w:lang w:val="fr-FR"/>
    </w:rPr>
  </w:style>
  <w:style w:type="paragraph" w:customStyle="1" w:styleId="133">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character" w:customStyle="1" w:styleId="134">
    <w:name w:val="Guidance Char"/>
    <w:link w:val="99"/>
    <w:qFormat/>
    <w:uiPriority w:val="0"/>
    <w:rPr>
      <w:i/>
      <w:color w:val="0000FF"/>
      <w:lang w:val="en-GB" w:eastAsia="en-US"/>
    </w:rPr>
  </w:style>
  <w:style w:type="character" w:customStyle="1" w:styleId="135">
    <w:name w:val="EQ Char"/>
    <w:link w:val="57"/>
    <w:qFormat/>
    <w:locked/>
    <w:uiPriority w:val="0"/>
    <w:rPr>
      <w:rFonts w:eastAsia="Times New Roman"/>
      <w:lang w:val="en-GB" w:eastAsia="en-GB"/>
    </w:rPr>
  </w:style>
  <w:style w:type="character" w:customStyle="1" w:styleId="136">
    <w:name w:val="NO Char"/>
    <w:link w:val="62"/>
    <w:qFormat/>
    <w:uiPriority w:val="0"/>
    <w:rPr>
      <w:rFonts w:eastAsia="Times New Roman"/>
      <w:lang w:val="en-GB" w:eastAsia="en-GB"/>
    </w:rPr>
  </w:style>
  <w:style w:type="table" w:customStyle="1" w:styleId="137">
    <w:name w:val="Table Grid25"/>
    <w:basedOn w:val="49"/>
    <w:qFormat/>
    <w:uiPriority w:val="0"/>
    <w:pPr>
      <w:overflowPunct w:val="0"/>
      <w:autoSpaceDE w:val="0"/>
      <w:autoSpaceDN w:val="0"/>
      <w:adjustRightInd w:val="0"/>
      <w:spacing w:after="180"/>
      <w:textAlignment w:val="baseline"/>
    </w:pPr>
    <w:rPr>
      <w:rFonts w:eastAsia="宋体"/>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
    <w:name w:val="网格型1"/>
    <w:basedOn w:val="49"/>
    <w:uiPriority w:val="3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9">
    <w:name w:val="Heading 1 Char"/>
    <w:basedOn w:val="51"/>
    <w:link w:val="2"/>
    <w:uiPriority w:val="0"/>
    <w:rPr>
      <w:rFonts w:ascii="Arial" w:hAnsi="Arial" w:eastAsia="Times New Roman"/>
      <w:sz w:val="36"/>
      <w:lang w:val="en-GB" w:eastAsia="en-GB"/>
    </w:rPr>
  </w:style>
  <w:style w:type="character" w:customStyle="1" w:styleId="140">
    <w:name w:val="Heading 5 Char"/>
    <w:basedOn w:val="51"/>
    <w:link w:val="6"/>
    <w:qFormat/>
    <w:uiPriority w:val="9"/>
    <w:rPr>
      <w:rFonts w:ascii="Arial" w:hAnsi="Arial" w:eastAsia="Times New Roman"/>
      <w:sz w:val="22"/>
      <w:lang w:val="en-GB" w:eastAsia="en-GB"/>
    </w:rPr>
  </w:style>
  <w:style w:type="paragraph" w:customStyle="1" w:styleId="141">
    <w:name w:val="3GPP_Header"/>
    <w:basedOn w:val="31"/>
    <w:uiPriority w:val="0"/>
    <w:pPr>
      <w:tabs>
        <w:tab w:val="left" w:pos="1701"/>
        <w:tab w:val="right" w:pos="9639"/>
      </w:tabs>
      <w:overflowPunct/>
      <w:autoSpaceDE/>
      <w:autoSpaceDN/>
      <w:adjustRightInd/>
      <w:spacing w:after="240" w:line="259" w:lineRule="auto"/>
      <w:jc w:val="both"/>
      <w:textAlignment w:val="auto"/>
    </w:pPr>
    <w:rPr>
      <w:rFonts w:ascii="Arial" w:hAnsi="Arial" w:eastAsia="等线"/>
      <w:b/>
      <w:sz w:val="24"/>
      <w:szCs w:val="22"/>
      <w:lang w:val="en-US" w:eastAsia="zh-CN"/>
    </w:rPr>
  </w:style>
  <w:style w:type="character" w:customStyle="1" w:styleId="142">
    <w:name w:val="Footer Char"/>
    <w:basedOn w:val="51"/>
    <w:link w:val="37"/>
    <w:uiPriority w:val="0"/>
    <w:rPr>
      <w:rFonts w:ascii="Arial" w:hAnsi="Arial" w:eastAsia="Times New Roman"/>
      <w:b/>
      <w:i/>
      <w:sz w:val="18"/>
      <w:lang w:val="en-GB" w:eastAsia="en-GB"/>
    </w:rPr>
  </w:style>
  <w:style w:type="paragraph" w:customStyle="1" w:styleId="143">
    <w:name w:val="Reference"/>
    <w:basedOn w:val="31"/>
    <w:uiPriority w:val="0"/>
    <w:pPr>
      <w:numPr>
        <w:ilvl w:val="0"/>
        <w:numId w:val="2"/>
      </w:numPr>
      <w:tabs>
        <w:tab w:val="clear" w:pos="567"/>
      </w:tabs>
      <w:overflowPunct/>
      <w:autoSpaceDE/>
      <w:autoSpaceDN/>
      <w:adjustRightInd/>
      <w:spacing w:after="120" w:line="259" w:lineRule="auto"/>
      <w:ind w:left="360" w:hanging="360"/>
      <w:jc w:val="both"/>
      <w:textAlignment w:val="auto"/>
    </w:pPr>
    <w:rPr>
      <w:rFonts w:ascii="Arial" w:hAnsi="Arial" w:eastAsia="等线"/>
      <w:szCs w:val="22"/>
      <w:lang w:val="en-US" w:eastAsia="zh-CN"/>
    </w:rPr>
  </w:style>
  <w:style w:type="character" w:customStyle="1" w:styleId="144">
    <w:name w:val="Body Text Char"/>
    <w:basedOn w:val="51"/>
    <w:link w:val="31"/>
    <w:uiPriority w:val="0"/>
    <w:rPr>
      <w:rFonts w:eastAsia="Times New Roman"/>
      <w:lang w:val="en-GB" w:eastAsia="en-GB"/>
    </w:rPr>
  </w:style>
  <w:style w:type="paragraph" w:customStyle="1" w:styleId="145">
    <w:name w:val="Proposal"/>
    <w:basedOn w:val="31"/>
    <w:qFormat/>
    <w:uiPriority w:val="0"/>
    <w:pPr>
      <w:numPr>
        <w:ilvl w:val="0"/>
        <w:numId w:val="3"/>
      </w:numPr>
      <w:tabs>
        <w:tab w:val="left" w:pos="1701"/>
        <w:tab w:val="clear" w:pos="1304"/>
      </w:tabs>
      <w:overflowPunct/>
      <w:autoSpaceDE/>
      <w:autoSpaceDN/>
      <w:adjustRightInd/>
      <w:spacing w:after="120" w:line="259" w:lineRule="auto"/>
      <w:ind w:left="1701" w:hanging="1701"/>
      <w:jc w:val="both"/>
      <w:textAlignment w:val="auto"/>
    </w:pPr>
    <w:rPr>
      <w:rFonts w:ascii="Arial" w:hAnsi="Arial" w:eastAsia="等线"/>
      <w:b/>
      <w:bCs/>
      <w:szCs w:val="22"/>
      <w:lang w:val="en-US" w:eastAsia="zh-CN"/>
    </w:rPr>
  </w:style>
  <w:style w:type="paragraph" w:customStyle="1" w:styleId="146">
    <w:name w:val="Observation"/>
    <w:basedOn w:val="145"/>
    <w:qFormat/>
    <w:uiPriority w:val="0"/>
    <w:pPr>
      <w:numPr>
        <w:ilvl w:val="0"/>
        <w:numId w:val="4"/>
      </w:numPr>
      <w:tabs>
        <w:tab w:val="left" w:pos="360"/>
      </w:tabs>
      <w:ind w:left="1701" w:hanging="1701"/>
    </w:pPr>
    <w:rPr>
      <w:lang w:eastAsia="ja-JP"/>
    </w:rPr>
  </w:style>
  <w:style w:type="paragraph" w:customStyle="1" w:styleId="147">
    <w:name w:val="Table of Figures1"/>
    <w:basedOn w:val="31"/>
    <w:next w:val="1"/>
    <w:uiPriority w:val="99"/>
    <w:pPr>
      <w:overflowPunct/>
      <w:autoSpaceDE/>
      <w:autoSpaceDN/>
      <w:adjustRightInd/>
      <w:spacing w:after="120" w:line="259" w:lineRule="auto"/>
      <w:ind w:left="1701" w:hanging="1701"/>
      <w:textAlignment w:val="auto"/>
    </w:pPr>
    <w:rPr>
      <w:rFonts w:ascii="Arial" w:hAnsi="Arial" w:eastAsia="等线"/>
      <w:b/>
      <w:szCs w:val="22"/>
      <w:lang w:val="en-US" w:eastAsia="zh-CN"/>
    </w:rPr>
  </w:style>
  <w:style w:type="paragraph" w:customStyle="1" w:styleId="148">
    <w:name w:val="No Spacing1"/>
    <w:next w:val="149"/>
    <w:qFormat/>
    <w:uiPriority w:val="1"/>
    <w:rPr>
      <w:rFonts w:ascii="Arial" w:hAnsi="Arial" w:eastAsia="等线" w:cs="Times New Roman"/>
      <w:szCs w:val="22"/>
      <w:lang w:val="en-US" w:eastAsia="en-US" w:bidi="ar-SA"/>
    </w:rPr>
  </w:style>
  <w:style w:type="paragraph" w:styleId="149">
    <w:name w:val="No Spacing"/>
    <w:qFormat/>
    <w:uiPriority w:val="1"/>
    <w:pPr>
      <w:overflowPunct w:val="0"/>
      <w:autoSpaceDE w:val="0"/>
      <w:autoSpaceDN w:val="0"/>
      <w:adjustRightInd w:val="0"/>
      <w:textAlignment w:val="baseline"/>
    </w:pPr>
    <w:rPr>
      <w:rFonts w:ascii="Times New Roman" w:hAnsi="Times New Roman" w:eastAsia="Times New Roman" w:cs="Times New Roman"/>
      <w:lang w:val="en-GB" w:eastAsia="en-GB" w:bidi="ar-SA"/>
    </w:rPr>
  </w:style>
  <w:style w:type="character" w:customStyle="1" w:styleId="150">
    <w:name w:val="Mention"/>
    <w:basedOn w:val="51"/>
    <w:unhideWhenUsed/>
    <w:qFormat/>
    <w:uiPriority w:val="99"/>
    <w:rPr>
      <w:color w:val="2B579A"/>
      <w:shd w:val="clear" w:color="auto" w:fill="E1DFDD"/>
    </w:rPr>
  </w:style>
  <w:style w:type="character" w:customStyle="1" w:styleId="151">
    <w:name w:val="ui-provider"/>
    <w:basedOn w:val="51"/>
    <w:uiPriority w:val="0"/>
  </w:style>
  <w:style w:type="character" w:customStyle="1" w:styleId="152">
    <w:name w:val="Heading 6 Char"/>
    <w:basedOn w:val="51"/>
    <w:link w:val="7"/>
    <w:qFormat/>
    <w:uiPriority w:val="0"/>
    <w:rPr>
      <w:rFonts w:ascii="Arial" w:hAnsi="Arial" w:eastAsia="Times New Roman"/>
      <w:lang w:val="en-GB" w:eastAsia="en-GB"/>
    </w:rPr>
  </w:style>
  <w:style w:type="character" w:customStyle="1" w:styleId="153">
    <w:name w:val="Heading 7 Char"/>
    <w:basedOn w:val="51"/>
    <w:link w:val="8"/>
    <w:uiPriority w:val="0"/>
    <w:rPr>
      <w:rFonts w:ascii="Arial" w:hAnsi="Arial" w:eastAsia="Times New Roman"/>
      <w:lang w:val="en-GB" w:eastAsia="en-GB"/>
    </w:rPr>
  </w:style>
  <w:style w:type="character" w:customStyle="1" w:styleId="154">
    <w:name w:val="Heading 8 Char"/>
    <w:basedOn w:val="51"/>
    <w:link w:val="10"/>
    <w:uiPriority w:val="0"/>
    <w:rPr>
      <w:rFonts w:ascii="Arial" w:hAnsi="Arial" w:eastAsia="Times New Roman"/>
      <w:sz w:val="36"/>
      <w:lang w:val="en-GB" w:eastAsia="en-GB"/>
    </w:rPr>
  </w:style>
  <w:style w:type="character" w:customStyle="1" w:styleId="155">
    <w:name w:val="Heading 9 Char"/>
    <w:basedOn w:val="51"/>
    <w:link w:val="11"/>
    <w:qFormat/>
    <w:uiPriority w:val="0"/>
    <w:rPr>
      <w:rFonts w:ascii="Arial" w:hAnsi="Arial" w:eastAsia="Times New Roman"/>
      <w:sz w:val="36"/>
      <w:lang w:val="en-GB" w:eastAsia="en-GB"/>
    </w:rPr>
  </w:style>
  <w:style w:type="character" w:customStyle="1" w:styleId="156">
    <w:name w:val="Document Map Char"/>
    <w:basedOn w:val="51"/>
    <w:link w:val="29"/>
    <w:semiHidden/>
    <w:uiPriority w:val="0"/>
    <w:rPr>
      <w:rFonts w:ascii="Tahoma" w:hAnsi="Tahoma" w:eastAsia="Times New Roman"/>
      <w:shd w:val="clear" w:color="auto" w:fill="000080"/>
      <w:lang w:val="en-GB" w:eastAsia="en-GB"/>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47.wmf"/><Relationship Id="rId98" Type="http://schemas.openxmlformats.org/officeDocument/2006/relationships/oleObject" Target="embeddings/oleObject37.bin"/><Relationship Id="rId97" Type="http://schemas.openxmlformats.org/officeDocument/2006/relationships/image" Target="media/image46.wmf"/><Relationship Id="rId96" Type="http://schemas.openxmlformats.org/officeDocument/2006/relationships/oleObject" Target="embeddings/oleObject36.bin"/><Relationship Id="rId95" Type="http://schemas.openxmlformats.org/officeDocument/2006/relationships/image" Target="media/image45.wmf"/><Relationship Id="rId94" Type="http://schemas.openxmlformats.org/officeDocument/2006/relationships/oleObject" Target="embeddings/oleObject35.bin"/><Relationship Id="rId93" Type="http://schemas.openxmlformats.org/officeDocument/2006/relationships/image" Target="media/image44.wmf"/><Relationship Id="rId92" Type="http://schemas.openxmlformats.org/officeDocument/2006/relationships/oleObject" Target="embeddings/oleObject34.bin"/><Relationship Id="rId91" Type="http://schemas.openxmlformats.org/officeDocument/2006/relationships/image" Target="media/image43.wmf"/><Relationship Id="rId90" Type="http://schemas.openxmlformats.org/officeDocument/2006/relationships/oleObject" Target="embeddings/oleObject33.bin"/><Relationship Id="rId9" Type="http://schemas.openxmlformats.org/officeDocument/2006/relationships/footer" Target="footer3.xml"/><Relationship Id="rId89" Type="http://schemas.openxmlformats.org/officeDocument/2006/relationships/image" Target="media/image42.wmf"/><Relationship Id="rId88" Type="http://schemas.openxmlformats.org/officeDocument/2006/relationships/oleObject" Target="embeddings/oleObject32.bin"/><Relationship Id="rId87" Type="http://schemas.openxmlformats.org/officeDocument/2006/relationships/image" Target="media/image41.wmf"/><Relationship Id="rId86" Type="http://schemas.openxmlformats.org/officeDocument/2006/relationships/oleObject" Target="embeddings/oleObject31.bin"/><Relationship Id="rId85" Type="http://schemas.openxmlformats.org/officeDocument/2006/relationships/image" Target="media/image40.wmf"/><Relationship Id="rId84" Type="http://schemas.openxmlformats.org/officeDocument/2006/relationships/oleObject" Target="embeddings/oleObject30.bin"/><Relationship Id="rId83" Type="http://schemas.openxmlformats.org/officeDocument/2006/relationships/image" Target="media/image39.wmf"/><Relationship Id="rId82" Type="http://schemas.openxmlformats.org/officeDocument/2006/relationships/oleObject" Target="embeddings/oleObject29.bin"/><Relationship Id="rId81" Type="http://schemas.openxmlformats.org/officeDocument/2006/relationships/image" Target="media/image38.wmf"/><Relationship Id="rId80" Type="http://schemas.openxmlformats.org/officeDocument/2006/relationships/oleObject" Target="embeddings/oleObject28.bin"/><Relationship Id="rId8" Type="http://schemas.openxmlformats.org/officeDocument/2006/relationships/header" Target="header3.xml"/><Relationship Id="rId79" Type="http://schemas.openxmlformats.org/officeDocument/2006/relationships/image" Target="media/image37.wmf"/><Relationship Id="rId78" Type="http://schemas.openxmlformats.org/officeDocument/2006/relationships/oleObject" Target="embeddings/oleObject27.bin"/><Relationship Id="rId77" Type="http://schemas.openxmlformats.org/officeDocument/2006/relationships/image" Target="media/image36.wmf"/><Relationship Id="rId76" Type="http://schemas.openxmlformats.org/officeDocument/2006/relationships/oleObject" Target="embeddings/oleObject26.bin"/><Relationship Id="rId75" Type="http://schemas.openxmlformats.org/officeDocument/2006/relationships/image" Target="media/image35.wmf"/><Relationship Id="rId74" Type="http://schemas.openxmlformats.org/officeDocument/2006/relationships/oleObject" Target="embeddings/oleObject25.bin"/><Relationship Id="rId73" Type="http://schemas.openxmlformats.org/officeDocument/2006/relationships/image" Target="media/image34.wmf"/><Relationship Id="rId72" Type="http://schemas.openxmlformats.org/officeDocument/2006/relationships/oleObject" Target="embeddings/oleObject24.bin"/><Relationship Id="rId71" Type="http://schemas.openxmlformats.org/officeDocument/2006/relationships/image" Target="media/image33.wmf"/><Relationship Id="rId70" Type="http://schemas.openxmlformats.org/officeDocument/2006/relationships/oleObject" Target="embeddings/oleObject23.bin"/><Relationship Id="rId7" Type="http://schemas.openxmlformats.org/officeDocument/2006/relationships/footer" Target="footer2.xml"/><Relationship Id="rId69" Type="http://schemas.openxmlformats.org/officeDocument/2006/relationships/image" Target="media/image32.wmf"/><Relationship Id="rId68" Type="http://schemas.openxmlformats.org/officeDocument/2006/relationships/oleObject" Target="embeddings/oleObject22.bin"/><Relationship Id="rId67" Type="http://schemas.openxmlformats.org/officeDocument/2006/relationships/image" Target="media/image31.wmf"/><Relationship Id="rId66" Type="http://schemas.openxmlformats.org/officeDocument/2006/relationships/oleObject" Target="embeddings/oleObject21.bin"/><Relationship Id="rId65" Type="http://schemas.openxmlformats.org/officeDocument/2006/relationships/image" Target="media/image30.wmf"/><Relationship Id="rId64" Type="http://schemas.openxmlformats.org/officeDocument/2006/relationships/oleObject" Target="embeddings/oleObject20.bin"/><Relationship Id="rId63" Type="http://schemas.openxmlformats.org/officeDocument/2006/relationships/image" Target="media/image29.wmf"/><Relationship Id="rId62" Type="http://schemas.openxmlformats.org/officeDocument/2006/relationships/oleObject" Target="embeddings/oleObject19.bin"/><Relationship Id="rId61" Type="http://schemas.openxmlformats.org/officeDocument/2006/relationships/image" Target="media/image28.wmf"/><Relationship Id="rId60" Type="http://schemas.openxmlformats.org/officeDocument/2006/relationships/oleObject" Target="embeddings/oleObject18.bin"/><Relationship Id="rId6" Type="http://schemas.openxmlformats.org/officeDocument/2006/relationships/footer" Target="footer1.xml"/><Relationship Id="rId59" Type="http://schemas.openxmlformats.org/officeDocument/2006/relationships/image" Target="media/image27.wmf"/><Relationship Id="rId58" Type="http://schemas.openxmlformats.org/officeDocument/2006/relationships/oleObject" Target="embeddings/oleObject17.bin"/><Relationship Id="rId57" Type="http://schemas.openxmlformats.org/officeDocument/2006/relationships/image" Target="media/image26.wmf"/><Relationship Id="rId56" Type="http://schemas.openxmlformats.org/officeDocument/2006/relationships/oleObject" Target="embeddings/oleObject16.bin"/><Relationship Id="rId55" Type="http://schemas.openxmlformats.org/officeDocument/2006/relationships/image" Target="media/image25.wmf"/><Relationship Id="rId54" Type="http://schemas.openxmlformats.org/officeDocument/2006/relationships/oleObject" Target="embeddings/oleObject15.bin"/><Relationship Id="rId53" Type="http://schemas.openxmlformats.org/officeDocument/2006/relationships/image" Target="media/image24.wmf"/><Relationship Id="rId52" Type="http://schemas.openxmlformats.org/officeDocument/2006/relationships/oleObject" Target="embeddings/oleObject14.bin"/><Relationship Id="rId51" Type="http://schemas.openxmlformats.org/officeDocument/2006/relationships/image" Target="media/image23.wmf"/><Relationship Id="rId50" Type="http://schemas.openxmlformats.org/officeDocument/2006/relationships/oleObject" Target="embeddings/oleObject13.bin"/><Relationship Id="rId5" Type="http://schemas.openxmlformats.org/officeDocument/2006/relationships/header" Target="header2.xml"/><Relationship Id="rId49" Type="http://schemas.openxmlformats.org/officeDocument/2006/relationships/image" Target="media/image22.emf"/><Relationship Id="rId48" Type="http://schemas.openxmlformats.org/officeDocument/2006/relationships/oleObject" Target="embeddings/Microsoft_Visio_2003-2010___5.vsd"/><Relationship Id="rId47" Type="http://schemas.openxmlformats.org/officeDocument/2006/relationships/image" Target="media/image21.emf"/><Relationship Id="rId46" Type="http://schemas.openxmlformats.org/officeDocument/2006/relationships/oleObject" Target="embeddings/Microsoft_Visio_2003-2010___4.vsd"/><Relationship Id="rId45" Type="http://schemas.openxmlformats.org/officeDocument/2006/relationships/image" Target="media/image20.wmf"/><Relationship Id="rId44" Type="http://schemas.openxmlformats.org/officeDocument/2006/relationships/oleObject" Target="embeddings/oleObject12.bin"/><Relationship Id="rId43" Type="http://schemas.openxmlformats.org/officeDocument/2006/relationships/oleObject" Target="embeddings/oleObject11.bin"/><Relationship Id="rId42" Type="http://schemas.openxmlformats.org/officeDocument/2006/relationships/image" Target="media/image19.wmf"/><Relationship Id="rId41" Type="http://schemas.openxmlformats.org/officeDocument/2006/relationships/oleObject" Target="embeddings/oleObject10.bin"/><Relationship Id="rId40" Type="http://schemas.openxmlformats.org/officeDocument/2006/relationships/image" Target="media/image18.wmf"/><Relationship Id="rId4" Type="http://schemas.openxmlformats.org/officeDocument/2006/relationships/header" Target="header1.xml"/><Relationship Id="rId39" Type="http://schemas.openxmlformats.org/officeDocument/2006/relationships/oleObject" Target="embeddings/oleObject9.bin"/><Relationship Id="rId38" Type="http://schemas.openxmlformats.org/officeDocument/2006/relationships/image" Target="media/image17.wmf"/><Relationship Id="rId37" Type="http://schemas.openxmlformats.org/officeDocument/2006/relationships/oleObject" Target="embeddings/oleObject8.bin"/><Relationship Id="rId36" Type="http://schemas.openxmlformats.org/officeDocument/2006/relationships/image" Target="media/image16.wmf"/><Relationship Id="rId35" Type="http://schemas.openxmlformats.org/officeDocument/2006/relationships/oleObject" Target="embeddings/oleObject7.bin"/><Relationship Id="rId34" Type="http://schemas.openxmlformats.org/officeDocument/2006/relationships/image" Target="media/image15.wmf"/><Relationship Id="rId33" Type="http://schemas.openxmlformats.org/officeDocument/2006/relationships/oleObject" Target="embeddings/oleObject6.bin"/><Relationship Id="rId32" Type="http://schemas.openxmlformats.org/officeDocument/2006/relationships/image" Target="media/image14.wmf"/><Relationship Id="rId31" Type="http://schemas.openxmlformats.org/officeDocument/2006/relationships/image" Target="media/image13.wmf"/><Relationship Id="rId30" Type="http://schemas.openxmlformats.org/officeDocument/2006/relationships/oleObject" Target="embeddings/oleObject5.bin"/><Relationship Id="rId3" Type="http://schemas.openxmlformats.org/officeDocument/2006/relationships/footnotes" Target="footnotes.xml"/><Relationship Id="rId29" Type="http://schemas.openxmlformats.org/officeDocument/2006/relationships/image" Target="media/image12.wmf"/><Relationship Id="rId28" Type="http://schemas.openxmlformats.org/officeDocument/2006/relationships/oleObject" Target="embeddings/oleObject4.bin"/><Relationship Id="rId27" Type="http://schemas.openxmlformats.org/officeDocument/2006/relationships/image" Target="media/image11.wmf"/><Relationship Id="rId26" Type="http://schemas.openxmlformats.org/officeDocument/2006/relationships/oleObject" Target="embeddings/oleObject3.bin"/><Relationship Id="rId25" Type="http://schemas.openxmlformats.org/officeDocument/2006/relationships/image" Target="media/image10.wmf"/><Relationship Id="rId24" Type="http://schemas.openxmlformats.org/officeDocument/2006/relationships/oleObject" Target="embeddings/oleObject2.bin"/><Relationship Id="rId235" Type="http://schemas.openxmlformats.org/officeDocument/2006/relationships/fontTable" Target="fontTable.xml"/><Relationship Id="rId234" Type="http://schemas.microsoft.com/office/2006/relationships/keyMapCustomizations" Target="customizations.xml"/><Relationship Id="rId233" Type="http://schemas.openxmlformats.org/officeDocument/2006/relationships/customXml" Target="../customXml/item2.xml"/><Relationship Id="rId232" Type="http://schemas.openxmlformats.org/officeDocument/2006/relationships/numbering" Target="numbering.xml"/><Relationship Id="rId231" Type="http://schemas.openxmlformats.org/officeDocument/2006/relationships/customXml" Target="../customXml/item1.xml"/><Relationship Id="rId230" Type="http://schemas.openxmlformats.org/officeDocument/2006/relationships/chart" Target="charts/chart77.xml"/><Relationship Id="rId23" Type="http://schemas.openxmlformats.org/officeDocument/2006/relationships/image" Target="media/image9.emf"/><Relationship Id="rId229" Type="http://schemas.openxmlformats.org/officeDocument/2006/relationships/chart" Target="charts/chart76.xml"/><Relationship Id="rId228" Type="http://schemas.openxmlformats.org/officeDocument/2006/relationships/image" Target="media/image72.emf"/><Relationship Id="rId227" Type="http://schemas.openxmlformats.org/officeDocument/2006/relationships/oleObject" Target="embeddings/oleObject66.bin"/><Relationship Id="rId226" Type="http://schemas.openxmlformats.org/officeDocument/2006/relationships/image" Target="media/image71.emf"/><Relationship Id="rId225" Type="http://schemas.openxmlformats.org/officeDocument/2006/relationships/oleObject" Target="embeddings/oleObject65.bin"/><Relationship Id="rId224" Type="http://schemas.openxmlformats.org/officeDocument/2006/relationships/chart" Target="charts/chart75.xml"/><Relationship Id="rId223" Type="http://schemas.openxmlformats.org/officeDocument/2006/relationships/image" Target="media/image70.emf"/><Relationship Id="rId222" Type="http://schemas.openxmlformats.org/officeDocument/2006/relationships/oleObject" Target="embeddings/oleObject64.bin"/><Relationship Id="rId221" Type="http://schemas.openxmlformats.org/officeDocument/2006/relationships/image" Target="media/image69.emf"/><Relationship Id="rId220" Type="http://schemas.openxmlformats.org/officeDocument/2006/relationships/oleObject" Target="embeddings/oleObject63.bin"/><Relationship Id="rId22" Type="http://schemas.openxmlformats.org/officeDocument/2006/relationships/package" Target="embeddings/Microsoft_Visio___3.vsdx"/><Relationship Id="rId219" Type="http://schemas.openxmlformats.org/officeDocument/2006/relationships/image" Target="media/image68.emf"/><Relationship Id="rId218" Type="http://schemas.openxmlformats.org/officeDocument/2006/relationships/oleObject" Target="embeddings/oleObject62.bin"/><Relationship Id="rId217" Type="http://schemas.openxmlformats.org/officeDocument/2006/relationships/chart" Target="charts/chart74.xml"/><Relationship Id="rId216" Type="http://schemas.openxmlformats.org/officeDocument/2006/relationships/chart" Target="charts/chart73.xml"/><Relationship Id="rId215" Type="http://schemas.openxmlformats.org/officeDocument/2006/relationships/chart" Target="charts/chart72.xml"/><Relationship Id="rId214" Type="http://schemas.openxmlformats.org/officeDocument/2006/relationships/chart" Target="charts/chart71.xml"/><Relationship Id="rId213" Type="http://schemas.openxmlformats.org/officeDocument/2006/relationships/chart" Target="charts/chart70.xml"/><Relationship Id="rId212" Type="http://schemas.openxmlformats.org/officeDocument/2006/relationships/chart" Target="charts/chart69.xml"/><Relationship Id="rId211" Type="http://schemas.openxmlformats.org/officeDocument/2006/relationships/chart" Target="charts/chart68.xml"/><Relationship Id="rId210" Type="http://schemas.openxmlformats.org/officeDocument/2006/relationships/chart" Target="charts/chart67.xml"/><Relationship Id="rId21" Type="http://schemas.openxmlformats.org/officeDocument/2006/relationships/image" Target="media/image8.emf"/><Relationship Id="rId209" Type="http://schemas.openxmlformats.org/officeDocument/2006/relationships/chart" Target="charts/chart66.xml"/><Relationship Id="rId208" Type="http://schemas.openxmlformats.org/officeDocument/2006/relationships/chart" Target="charts/chart65.xml"/><Relationship Id="rId207" Type="http://schemas.openxmlformats.org/officeDocument/2006/relationships/chart" Target="charts/chart64.xml"/><Relationship Id="rId206" Type="http://schemas.openxmlformats.org/officeDocument/2006/relationships/chart" Target="charts/chart63.xml"/><Relationship Id="rId205" Type="http://schemas.openxmlformats.org/officeDocument/2006/relationships/chart" Target="charts/chart62.xml"/><Relationship Id="rId204" Type="http://schemas.openxmlformats.org/officeDocument/2006/relationships/chart" Target="charts/chart61.xml"/><Relationship Id="rId203" Type="http://schemas.openxmlformats.org/officeDocument/2006/relationships/chart" Target="charts/chart60.xml"/><Relationship Id="rId202" Type="http://schemas.openxmlformats.org/officeDocument/2006/relationships/chart" Target="charts/chart59.xml"/><Relationship Id="rId201" Type="http://schemas.openxmlformats.org/officeDocument/2006/relationships/chart" Target="charts/chart58.xml"/><Relationship Id="rId200" Type="http://schemas.openxmlformats.org/officeDocument/2006/relationships/chart" Target="charts/chart57.xml"/><Relationship Id="rId20" Type="http://schemas.openxmlformats.org/officeDocument/2006/relationships/package" Target="embeddings/Microsoft_Visio___2.vsdx"/><Relationship Id="rId2" Type="http://schemas.openxmlformats.org/officeDocument/2006/relationships/settings" Target="settings.xml"/><Relationship Id="rId199" Type="http://schemas.openxmlformats.org/officeDocument/2006/relationships/chart" Target="charts/chart56.xml"/><Relationship Id="rId198" Type="http://schemas.openxmlformats.org/officeDocument/2006/relationships/chart" Target="charts/chart55.xml"/><Relationship Id="rId197" Type="http://schemas.openxmlformats.org/officeDocument/2006/relationships/chart" Target="charts/chart54.xml"/><Relationship Id="rId196" Type="http://schemas.openxmlformats.org/officeDocument/2006/relationships/chart" Target="charts/chart53.xml"/><Relationship Id="rId195" Type="http://schemas.openxmlformats.org/officeDocument/2006/relationships/chart" Target="charts/chart52.xml"/><Relationship Id="rId194" Type="http://schemas.openxmlformats.org/officeDocument/2006/relationships/chart" Target="charts/chart51.xml"/><Relationship Id="rId193" Type="http://schemas.openxmlformats.org/officeDocument/2006/relationships/chart" Target="charts/chart50.xml"/><Relationship Id="rId192" Type="http://schemas.openxmlformats.org/officeDocument/2006/relationships/chart" Target="charts/chart49.xml"/><Relationship Id="rId191" Type="http://schemas.openxmlformats.org/officeDocument/2006/relationships/chart" Target="charts/chart48.xml"/><Relationship Id="rId190" Type="http://schemas.openxmlformats.org/officeDocument/2006/relationships/chart" Target="charts/chart47.xml"/><Relationship Id="rId19" Type="http://schemas.openxmlformats.org/officeDocument/2006/relationships/image" Target="media/image7.png"/><Relationship Id="rId189" Type="http://schemas.openxmlformats.org/officeDocument/2006/relationships/chart" Target="charts/chart46.xml"/><Relationship Id="rId188" Type="http://schemas.openxmlformats.org/officeDocument/2006/relationships/chart" Target="charts/chart45.xml"/><Relationship Id="rId187" Type="http://schemas.openxmlformats.org/officeDocument/2006/relationships/chart" Target="charts/chart44.xml"/><Relationship Id="rId186" Type="http://schemas.openxmlformats.org/officeDocument/2006/relationships/chart" Target="charts/chart43.xml"/><Relationship Id="rId185" Type="http://schemas.openxmlformats.org/officeDocument/2006/relationships/chart" Target="charts/chart42.xml"/><Relationship Id="rId184" Type="http://schemas.openxmlformats.org/officeDocument/2006/relationships/chart" Target="charts/chart41.xml"/><Relationship Id="rId183" Type="http://schemas.openxmlformats.org/officeDocument/2006/relationships/chart" Target="charts/chart40.xml"/><Relationship Id="rId182" Type="http://schemas.openxmlformats.org/officeDocument/2006/relationships/chart" Target="charts/chart39.xml"/><Relationship Id="rId181" Type="http://schemas.openxmlformats.org/officeDocument/2006/relationships/chart" Target="charts/chart38.xml"/><Relationship Id="rId180" Type="http://schemas.openxmlformats.org/officeDocument/2006/relationships/chart" Target="charts/chart37.xml"/><Relationship Id="rId18" Type="http://schemas.openxmlformats.org/officeDocument/2006/relationships/image" Target="media/image6.png"/><Relationship Id="rId179" Type="http://schemas.openxmlformats.org/officeDocument/2006/relationships/chart" Target="charts/chart36.xml"/><Relationship Id="rId178" Type="http://schemas.openxmlformats.org/officeDocument/2006/relationships/chart" Target="charts/chart35.xml"/><Relationship Id="rId177" Type="http://schemas.openxmlformats.org/officeDocument/2006/relationships/chart" Target="charts/chart34.xml"/><Relationship Id="rId176" Type="http://schemas.openxmlformats.org/officeDocument/2006/relationships/chart" Target="charts/chart33.xml"/><Relationship Id="rId175" Type="http://schemas.openxmlformats.org/officeDocument/2006/relationships/chart" Target="charts/chart32.xml"/><Relationship Id="rId174" Type="http://schemas.openxmlformats.org/officeDocument/2006/relationships/chart" Target="charts/chart31.xml"/><Relationship Id="rId173" Type="http://schemas.openxmlformats.org/officeDocument/2006/relationships/chart" Target="charts/chart30.xml"/><Relationship Id="rId172" Type="http://schemas.openxmlformats.org/officeDocument/2006/relationships/chart" Target="charts/chart29.xml"/><Relationship Id="rId171" Type="http://schemas.openxmlformats.org/officeDocument/2006/relationships/chart" Target="charts/chart28.xml"/><Relationship Id="rId170" Type="http://schemas.openxmlformats.org/officeDocument/2006/relationships/chart" Target="charts/chart27.xml"/><Relationship Id="rId17" Type="http://schemas.openxmlformats.org/officeDocument/2006/relationships/image" Target="media/image5.png"/><Relationship Id="rId169" Type="http://schemas.openxmlformats.org/officeDocument/2006/relationships/chart" Target="charts/chart26.xml"/><Relationship Id="rId168" Type="http://schemas.openxmlformats.org/officeDocument/2006/relationships/chart" Target="charts/chart25.xml"/><Relationship Id="rId167" Type="http://schemas.openxmlformats.org/officeDocument/2006/relationships/chart" Target="charts/chart24.xml"/><Relationship Id="rId166" Type="http://schemas.openxmlformats.org/officeDocument/2006/relationships/chart" Target="charts/chart23.xml"/><Relationship Id="rId165" Type="http://schemas.openxmlformats.org/officeDocument/2006/relationships/chart" Target="charts/chart22.xml"/><Relationship Id="rId164" Type="http://schemas.openxmlformats.org/officeDocument/2006/relationships/chart" Target="charts/chart21.xml"/><Relationship Id="rId163" Type="http://schemas.openxmlformats.org/officeDocument/2006/relationships/chart" Target="charts/chart20.xml"/><Relationship Id="rId162" Type="http://schemas.openxmlformats.org/officeDocument/2006/relationships/chart" Target="charts/chart19.xml"/><Relationship Id="rId161" Type="http://schemas.openxmlformats.org/officeDocument/2006/relationships/chart" Target="charts/chart18.xml"/><Relationship Id="rId160" Type="http://schemas.openxmlformats.org/officeDocument/2006/relationships/chart" Target="charts/chart17.xml"/><Relationship Id="rId16" Type="http://schemas.openxmlformats.org/officeDocument/2006/relationships/image" Target="media/image4.emf"/><Relationship Id="rId159" Type="http://schemas.openxmlformats.org/officeDocument/2006/relationships/chart" Target="charts/chart16.xml"/><Relationship Id="rId158" Type="http://schemas.openxmlformats.org/officeDocument/2006/relationships/chart" Target="charts/chart15.xml"/><Relationship Id="rId157" Type="http://schemas.openxmlformats.org/officeDocument/2006/relationships/chart" Target="charts/chart14.xml"/><Relationship Id="rId156" Type="http://schemas.openxmlformats.org/officeDocument/2006/relationships/chart" Target="charts/chart13.xml"/><Relationship Id="rId155" Type="http://schemas.openxmlformats.org/officeDocument/2006/relationships/chart" Target="charts/chart12.xml"/><Relationship Id="rId154" Type="http://schemas.openxmlformats.org/officeDocument/2006/relationships/chart" Target="charts/chart11.xml"/><Relationship Id="rId153" Type="http://schemas.openxmlformats.org/officeDocument/2006/relationships/chart" Target="charts/chart10.xml"/><Relationship Id="rId152" Type="http://schemas.openxmlformats.org/officeDocument/2006/relationships/chart" Target="charts/chart9.xml"/><Relationship Id="rId151" Type="http://schemas.openxmlformats.org/officeDocument/2006/relationships/chart" Target="charts/chart8.xml"/><Relationship Id="rId150" Type="http://schemas.openxmlformats.org/officeDocument/2006/relationships/chart" Target="charts/chart7.xml"/><Relationship Id="rId15" Type="http://schemas.openxmlformats.org/officeDocument/2006/relationships/package" Target="embeddings/Microsoft_Visio___1.vsdx"/><Relationship Id="rId149" Type="http://schemas.openxmlformats.org/officeDocument/2006/relationships/chart" Target="charts/chart6.xml"/><Relationship Id="rId148" Type="http://schemas.openxmlformats.org/officeDocument/2006/relationships/chart" Target="charts/chart5.xml"/><Relationship Id="rId147" Type="http://schemas.openxmlformats.org/officeDocument/2006/relationships/chart" Target="charts/chart4.xml"/><Relationship Id="rId146" Type="http://schemas.openxmlformats.org/officeDocument/2006/relationships/chart" Target="charts/chart3.xml"/><Relationship Id="rId145" Type="http://schemas.openxmlformats.org/officeDocument/2006/relationships/chart" Target="charts/chart2.xml"/><Relationship Id="rId144" Type="http://schemas.openxmlformats.org/officeDocument/2006/relationships/chart" Target="charts/chart1.xml"/><Relationship Id="rId143" Type="http://schemas.openxmlformats.org/officeDocument/2006/relationships/image" Target="media/image67.png"/><Relationship Id="rId142" Type="http://schemas.openxmlformats.org/officeDocument/2006/relationships/oleObject" Target="embeddings/oleObject61.bin"/><Relationship Id="rId141" Type="http://schemas.openxmlformats.org/officeDocument/2006/relationships/image" Target="media/image66.wmf"/><Relationship Id="rId140" Type="http://schemas.openxmlformats.org/officeDocument/2006/relationships/oleObject" Target="embeddings/oleObject60.bin"/><Relationship Id="rId14" Type="http://schemas.openxmlformats.org/officeDocument/2006/relationships/image" Target="media/image3.png"/><Relationship Id="rId139" Type="http://schemas.openxmlformats.org/officeDocument/2006/relationships/oleObject" Target="embeddings/oleObject59.bin"/><Relationship Id="rId138" Type="http://schemas.openxmlformats.org/officeDocument/2006/relationships/oleObject" Target="embeddings/oleObject58.bin"/><Relationship Id="rId137" Type="http://schemas.openxmlformats.org/officeDocument/2006/relationships/oleObject" Target="embeddings/oleObject57.bin"/><Relationship Id="rId136" Type="http://schemas.openxmlformats.org/officeDocument/2006/relationships/image" Target="media/image65.wmf"/><Relationship Id="rId135" Type="http://schemas.openxmlformats.org/officeDocument/2006/relationships/oleObject" Target="embeddings/oleObject56.bin"/><Relationship Id="rId134" Type="http://schemas.openxmlformats.org/officeDocument/2006/relationships/image" Target="media/image64.wmf"/><Relationship Id="rId133" Type="http://schemas.openxmlformats.org/officeDocument/2006/relationships/oleObject" Target="embeddings/oleObject55.bin"/><Relationship Id="rId132" Type="http://schemas.openxmlformats.org/officeDocument/2006/relationships/image" Target="media/image63.wmf"/><Relationship Id="rId131" Type="http://schemas.openxmlformats.org/officeDocument/2006/relationships/oleObject" Target="embeddings/oleObject54.bin"/><Relationship Id="rId130" Type="http://schemas.openxmlformats.org/officeDocument/2006/relationships/image" Target="media/image62.wmf"/><Relationship Id="rId13" Type="http://schemas.openxmlformats.org/officeDocument/2006/relationships/image" Target="media/image2.png"/><Relationship Id="rId129" Type="http://schemas.openxmlformats.org/officeDocument/2006/relationships/oleObject" Target="embeddings/oleObject53.bin"/><Relationship Id="rId128" Type="http://schemas.openxmlformats.org/officeDocument/2006/relationships/image" Target="media/image61.wmf"/><Relationship Id="rId127" Type="http://schemas.openxmlformats.org/officeDocument/2006/relationships/oleObject" Target="embeddings/oleObject52.bin"/><Relationship Id="rId126" Type="http://schemas.openxmlformats.org/officeDocument/2006/relationships/oleObject" Target="embeddings/oleObject51.bin"/><Relationship Id="rId125" Type="http://schemas.openxmlformats.org/officeDocument/2006/relationships/image" Target="media/image60.wmf"/><Relationship Id="rId124" Type="http://schemas.openxmlformats.org/officeDocument/2006/relationships/oleObject" Target="embeddings/oleObject50.bin"/><Relationship Id="rId123" Type="http://schemas.openxmlformats.org/officeDocument/2006/relationships/image" Target="media/image59.wmf"/><Relationship Id="rId122" Type="http://schemas.openxmlformats.org/officeDocument/2006/relationships/oleObject" Target="embeddings/oleObject49.bin"/><Relationship Id="rId121" Type="http://schemas.openxmlformats.org/officeDocument/2006/relationships/image" Target="media/image58.wmf"/><Relationship Id="rId120" Type="http://schemas.openxmlformats.org/officeDocument/2006/relationships/oleObject" Target="embeddings/oleObject48.bin"/><Relationship Id="rId12" Type="http://schemas.openxmlformats.org/officeDocument/2006/relationships/image" Target="media/image1.emf"/><Relationship Id="rId119" Type="http://schemas.openxmlformats.org/officeDocument/2006/relationships/image" Target="media/image57.wmf"/><Relationship Id="rId118" Type="http://schemas.openxmlformats.org/officeDocument/2006/relationships/oleObject" Target="embeddings/oleObject47.bin"/><Relationship Id="rId117" Type="http://schemas.openxmlformats.org/officeDocument/2006/relationships/image" Target="media/image56.wmf"/><Relationship Id="rId116" Type="http://schemas.openxmlformats.org/officeDocument/2006/relationships/oleObject" Target="embeddings/oleObject46.bin"/><Relationship Id="rId115" Type="http://schemas.openxmlformats.org/officeDocument/2006/relationships/image" Target="media/image55.wmf"/><Relationship Id="rId114" Type="http://schemas.openxmlformats.org/officeDocument/2006/relationships/oleObject" Target="embeddings/oleObject45.bin"/><Relationship Id="rId113" Type="http://schemas.openxmlformats.org/officeDocument/2006/relationships/image" Target="media/image54.wmf"/><Relationship Id="rId112" Type="http://schemas.openxmlformats.org/officeDocument/2006/relationships/oleObject" Target="embeddings/oleObject44.bin"/><Relationship Id="rId111" Type="http://schemas.openxmlformats.org/officeDocument/2006/relationships/image" Target="media/image53.wmf"/><Relationship Id="rId110" Type="http://schemas.openxmlformats.org/officeDocument/2006/relationships/oleObject" Target="embeddings/oleObject43.bin"/><Relationship Id="rId11" Type="http://schemas.openxmlformats.org/officeDocument/2006/relationships/oleObject" Target="embeddings/oleObject1.bin"/><Relationship Id="rId109" Type="http://schemas.openxmlformats.org/officeDocument/2006/relationships/image" Target="media/image52.wmf"/><Relationship Id="rId108" Type="http://schemas.openxmlformats.org/officeDocument/2006/relationships/oleObject" Target="embeddings/oleObject42.bin"/><Relationship Id="rId107" Type="http://schemas.openxmlformats.org/officeDocument/2006/relationships/image" Target="media/image51.wmf"/><Relationship Id="rId106" Type="http://schemas.openxmlformats.org/officeDocument/2006/relationships/oleObject" Target="embeddings/oleObject41.bin"/><Relationship Id="rId105" Type="http://schemas.openxmlformats.org/officeDocument/2006/relationships/image" Target="media/image50.wmf"/><Relationship Id="rId104" Type="http://schemas.openxmlformats.org/officeDocument/2006/relationships/oleObject" Target="embeddings/oleObject40.bin"/><Relationship Id="rId103" Type="http://schemas.openxmlformats.org/officeDocument/2006/relationships/image" Target="media/image49.wmf"/><Relationship Id="rId102" Type="http://schemas.openxmlformats.org/officeDocument/2006/relationships/oleObject" Target="embeddings/oleObject39.bin"/><Relationship Id="rId101" Type="http://schemas.openxmlformats.org/officeDocument/2006/relationships/image" Target="media/image48.wmf"/><Relationship Id="rId100" Type="http://schemas.openxmlformats.org/officeDocument/2006/relationships/oleObject" Target="embeddings/oleObject38.bin"/><Relationship Id="rId10" Type="http://schemas.openxmlformats.org/officeDocument/2006/relationships/theme" Target="theme/theme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10.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1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12.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13.xml.rels><?xml version="1.0" encoding="UTF-8" standalone="yes"?>
<Relationships xmlns="http://schemas.openxmlformats.org/package/2006/relationships"><Relationship Id="rId3" Type="http://schemas.microsoft.com/office/2011/relationships/chartColorStyle" Target="colors41.xml"/><Relationship Id="rId2" Type="http://schemas.microsoft.com/office/2011/relationships/chartStyle" Target="style41.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14.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15.xml.rels><?xml version="1.0" encoding="UTF-8" standalone="yes"?>
<Relationships xmlns="http://schemas.openxmlformats.org/package/2006/relationships"><Relationship Id="rId3" Type="http://schemas.microsoft.com/office/2011/relationships/chartColorStyle" Target="colors36.xml"/><Relationship Id="rId2" Type="http://schemas.microsoft.com/office/2011/relationships/chartStyle" Target="style36.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16.xml.rels><?xml version="1.0" encoding="UTF-8" standalone="yes"?>
<Relationships xmlns="http://schemas.openxmlformats.org/package/2006/relationships"><Relationship Id="rId3" Type="http://schemas.microsoft.com/office/2011/relationships/chartColorStyle" Target="colors23.xml"/><Relationship Id="rId2" Type="http://schemas.microsoft.com/office/2011/relationships/chartStyle" Target="style23.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17.xml.rels><?xml version="1.0" encoding="UTF-8" standalone="yes"?>
<Relationships xmlns="http://schemas.openxmlformats.org/package/2006/relationships"><Relationship Id="rId3" Type="http://schemas.microsoft.com/office/2011/relationships/chartColorStyle" Target="colors33.xml"/><Relationship Id="rId2" Type="http://schemas.microsoft.com/office/2011/relationships/chartStyle" Target="style33.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18.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19.xml.rels><?xml version="1.0" encoding="UTF-8" standalone="yes"?>
<Relationships xmlns="http://schemas.openxmlformats.org/package/2006/relationships"><Relationship Id="rId3" Type="http://schemas.microsoft.com/office/2011/relationships/chartColorStyle" Target="colors22.xml"/><Relationship Id="rId2" Type="http://schemas.microsoft.com/office/2011/relationships/chartStyle" Target="style22.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embeddings/oleObject68.bin"/></Relationships>
</file>

<file path=word/charts/_rels/chart20.xml.rels><?xml version="1.0" encoding="UTF-8" standalone="yes"?>
<Relationships xmlns="http://schemas.openxmlformats.org/package/2006/relationships"><Relationship Id="rId3" Type="http://schemas.microsoft.com/office/2011/relationships/chartColorStyle" Target="colors32.xml"/><Relationship Id="rId2" Type="http://schemas.microsoft.com/office/2011/relationships/chartStyle" Target="style32.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21.xml.rels><?xml version="1.0" encoding="UTF-8" standalone="yes"?>
<Relationships xmlns="http://schemas.openxmlformats.org/package/2006/relationships"><Relationship Id="rId3" Type="http://schemas.microsoft.com/office/2011/relationships/chartColorStyle" Target="colors21.xml"/><Relationship Id="rId2" Type="http://schemas.microsoft.com/office/2011/relationships/chartStyle" Target="style21.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22.xml.rels><?xml version="1.0" encoding="UTF-8" standalone="yes"?>
<Relationships xmlns="http://schemas.openxmlformats.org/package/2006/relationships"><Relationship Id="rId3" Type="http://schemas.microsoft.com/office/2011/relationships/chartColorStyle" Target="colors38.xml"/><Relationship Id="rId2" Type="http://schemas.microsoft.com/office/2011/relationships/chartStyle" Target="style38.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23.xml.rels><?xml version="1.0" encoding="UTF-8" standalone="yes"?>
<Relationships xmlns="http://schemas.openxmlformats.org/package/2006/relationships"><Relationship Id="rId3" Type="http://schemas.microsoft.com/office/2011/relationships/chartColorStyle" Target="colors39.xml"/><Relationship Id="rId2" Type="http://schemas.microsoft.com/office/2011/relationships/chartStyle" Target="style39.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24.xml.rels><?xml version="1.0" encoding="UTF-8" standalone="yes"?>
<Relationships xmlns="http://schemas.openxmlformats.org/package/2006/relationships"><Relationship Id="rId3" Type="http://schemas.microsoft.com/office/2011/relationships/chartColorStyle" Target="colors24.xml"/><Relationship Id="rId2" Type="http://schemas.microsoft.com/office/2011/relationships/chartStyle" Target="style24.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25.xml.rels><?xml version="1.0" encoding="UTF-8" standalone="yes"?>
<Relationships xmlns="http://schemas.openxmlformats.org/package/2006/relationships"><Relationship Id="rId3" Type="http://schemas.microsoft.com/office/2011/relationships/chartColorStyle" Target="colors25.xml"/><Relationship Id="rId2" Type="http://schemas.microsoft.com/office/2011/relationships/chartStyle" Target="style25.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26.xml.rels><?xml version="1.0" encoding="UTF-8" standalone="yes"?>
<Relationships xmlns="http://schemas.openxmlformats.org/package/2006/relationships"><Relationship Id="rId3" Type="http://schemas.microsoft.com/office/2011/relationships/chartColorStyle" Target="colors34.xml"/><Relationship Id="rId2" Type="http://schemas.microsoft.com/office/2011/relationships/chartStyle" Target="style34.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27.xml.rels><?xml version="1.0" encoding="UTF-8" standalone="yes"?>
<Relationships xmlns="http://schemas.openxmlformats.org/package/2006/relationships"><Relationship Id="rId3" Type="http://schemas.microsoft.com/office/2011/relationships/chartColorStyle" Target="colors40.xml"/><Relationship Id="rId2" Type="http://schemas.microsoft.com/office/2011/relationships/chartStyle" Target="style40.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28.xml.rels><?xml version="1.0" encoding="UTF-8" standalone="yes"?>
<Relationships xmlns="http://schemas.openxmlformats.org/package/2006/relationships"><Relationship Id="rId3" Type="http://schemas.microsoft.com/office/2011/relationships/chartColorStyle" Target="colors26.xml"/><Relationship Id="rId2" Type="http://schemas.microsoft.com/office/2011/relationships/chartStyle" Target="style26.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29.xml.rels><?xml version="1.0" encoding="UTF-8" standalone="yes"?>
<Relationships xmlns="http://schemas.openxmlformats.org/package/2006/relationships"><Relationship Id="rId3" Type="http://schemas.microsoft.com/office/2011/relationships/chartColorStyle" Target="colors27.xml"/><Relationship Id="rId2" Type="http://schemas.microsoft.com/office/2011/relationships/chartStyle" Target="style27.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30.xml.rels><?xml version="1.0" encoding="UTF-8" standalone="yes"?>
<Relationships xmlns="http://schemas.openxmlformats.org/package/2006/relationships"><Relationship Id="rId3" Type="http://schemas.microsoft.com/office/2011/relationships/chartColorStyle" Target="colors12.xml"/><Relationship Id="rId2" Type="http://schemas.microsoft.com/office/2011/relationships/chartStyle" Target="style12.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31.xml.rels><?xml version="1.0" encoding="UTF-8" standalone="yes"?>
<Relationships xmlns="http://schemas.openxmlformats.org/package/2006/relationships"><Relationship Id="rId3" Type="http://schemas.microsoft.com/office/2011/relationships/chartColorStyle" Target="colors15.xml"/><Relationship Id="rId2" Type="http://schemas.microsoft.com/office/2011/relationships/chartStyle" Target="style15.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32.xml.rels><?xml version="1.0" encoding="UTF-8" standalone="yes"?>
<Relationships xmlns="http://schemas.openxmlformats.org/package/2006/relationships"><Relationship Id="rId3" Type="http://schemas.microsoft.com/office/2011/relationships/chartColorStyle" Target="colors37.xml"/><Relationship Id="rId2" Type="http://schemas.microsoft.com/office/2011/relationships/chartStyle" Target="style37.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33.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34.xml.rels><?xml version="1.0" encoding="UTF-8" standalone="yes"?>
<Relationships xmlns="http://schemas.openxmlformats.org/package/2006/relationships"><Relationship Id="rId3" Type="http://schemas.microsoft.com/office/2011/relationships/chartColorStyle" Target="colors35.xml"/><Relationship Id="rId2" Type="http://schemas.microsoft.com/office/2011/relationships/chartStyle" Target="style35.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35.xml.rels><?xml version="1.0" encoding="UTF-8" standalone="yes"?>
<Relationships xmlns="http://schemas.openxmlformats.org/package/2006/relationships"><Relationship Id="rId3" Type="http://schemas.microsoft.com/office/2011/relationships/chartColorStyle" Target="colors18.xml"/><Relationship Id="rId2" Type="http://schemas.microsoft.com/office/2011/relationships/chartStyle" Target="style18.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36.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37.xml.rels><?xml version="1.0" encoding="UTF-8" standalone="yes"?>
<Relationships xmlns="http://schemas.openxmlformats.org/package/2006/relationships"><Relationship Id="rId3" Type="http://schemas.microsoft.com/office/2011/relationships/chartColorStyle" Target="colors20.xml"/><Relationship Id="rId2" Type="http://schemas.microsoft.com/office/2011/relationships/chartStyle" Target="style20.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38.xml.rels><?xml version="1.0" encoding="UTF-8" standalone="yes"?>
<Relationships xmlns="http://schemas.openxmlformats.org/package/2006/relationships"><Relationship Id="rId3" Type="http://schemas.microsoft.com/office/2011/relationships/chartColorStyle" Target="colors28.xml"/><Relationship Id="rId2" Type="http://schemas.microsoft.com/office/2011/relationships/chartStyle" Target="style28.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39.xml.rels><?xml version="1.0" encoding="UTF-8" standalone="yes"?>
<Relationships xmlns="http://schemas.openxmlformats.org/package/2006/relationships"><Relationship Id="rId3" Type="http://schemas.microsoft.com/office/2011/relationships/chartColorStyle" Target="colors29.xml"/><Relationship Id="rId2" Type="http://schemas.microsoft.com/office/2011/relationships/chartStyle" Target="style29.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4.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oleObject" Target="../embeddings/oleObject70.bin"/></Relationships>
</file>

<file path=word/charts/_rels/chart40.xml.rels><?xml version="1.0" encoding="UTF-8" standalone="yes"?>
<Relationships xmlns="http://schemas.openxmlformats.org/package/2006/relationships"><Relationship Id="rId3" Type="http://schemas.microsoft.com/office/2011/relationships/chartColorStyle" Target="colors30.xml"/><Relationship Id="rId2" Type="http://schemas.microsoft.com/office/2011/relationships/chartStyle" Target="style30.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41.xml.rels><?xml version="1.0" encoding="UTF-8" standalone="yes"?>
<Relationships xmlns="http://schemas.openxmlformats.org/package/2006/relationships"><Relationship Id="rId3" Type="http://schemas.microsoft.com/office/2011/relationships/chartColorStyle" Target="colors31.xml"/><Relationship Id="rId2" Type="http://schemas.microsoft.com/office/2011/relationships/chartStyle" Target="style31.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42.xml.rels><?xml version="1.0" encoding="UTF-8" standalone="yes"?>
<Relationships xmlns="http://schemas.openxmlformats.org/package/2006/relationships"><Relationship Id="rId3" Type="http://schemas.microsoft.com/office/2011/relationships/chartColorStyle" Target="colors42.xml"/><Relationship Id="rId2" Type="http://schemas.microsoft.com/office/2011/relationships/chartStyle" Target="style42.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43.xml.rels><?xml version="1.0" encoding="UTF-8" standalone="yes"?>
<Relationships xmlns="http://schemas.openxmlformats.org/package/2006/relationships"><Relationship Id="rId3" Type="http://schemas.microsoft.com/office/2011/relationships/chartColorStyle" Target="colors44.xml"/><Relationship Id="rId2" Type="http://schemas.microsoft.com/office/2011/relationships/chartStyle" Target="style44.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44.xml.rels><?xml version="1.0" encoding="UTF-8" standalone="yes"?>
<Relationships xmlns="http://schemas.openxmlformats.org/package/2006/relationships"><Relationship Id="rId3" Type="http://schemas.microsoft.com/office/2011/relationships/chartColorStyle" Target="colors43.xml"/><Relationship Id="rId2" Type="http://schemas.microsoft.com/office/2011/relationships/chartStyle" Target="style43.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45.xml.rels><?xml version="1.0" encoding="UTF-8" standalone="yes"?>
<Relationships xmlns="http://schemas.openxmlformats.org/package/2006/relationships"><Relationship Id="rId3" Type="http://schemas.microsoft.com/office/2011/relationships/chartColorStyle" Target="colors53.xml"/><Relationship Id="rId2" Type="http://schemas.microsoft.com/office/2011/relationships/chartStyle" Target="style53.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46.xml.rels><?xml version="1.0" encoding="UTF-8" standalone="yes"?>
<Relationships xmlns="http://schemas.openxmlformats.org/package/2006/relationships"><Relationship Id="rId3" Type="http://schemas.microsoft.com/office/2011/relationships/chartColorStyle" Target="colors74.xml"/><Relationship Id="rId2" Type="http://schemas.microsoft.com/office/2011/relationships/chartStyle" Target="style74.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47.xml.rels><?xml version="1.0" encoding="UTF-8" standalone="yes"?>
<Relationships xmlns="http://schemas.openxmlformats.org/package/2006/relationships"><Relationship Id="rId3" Type="http://schemas.microsoft.com/office/2011/relationships/chartColorStyle" Target="colors71.xml"/><Relationship Id="rId2" Type="http://schemas.microsoft.com/office/2011/relationships/chartStyle" Target="style71.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48.xml.rels><?xml version="1.0" encoding="UTF-8" standalone="yes"?>
<Relationships xmlns="http://schemas.openxmlformats.org/package/2006/relationships"><Relationship Id="rId3" Type="http://schemas.microsoft.com/office/2011/relationships/chartColorStyle" Target="colors48.xml"/><Relationship Id="rId2" Type="http://schemas.microsoft.com/office/2011/relationships/chartStyle" Target="style48.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49.xml.rels><?xml version="1.0" encoding="UTF-8" standalone="yes"?>
<Relationships xmlns="http://schemas.openxmlformats.org/package/2006/relationships"><Relationship Id="rId3" Type="http://schemas.microsoft.com/office/2011/relationships/chartColorStyle" Target="colors61.xml"/><Relationship Id="rId2" Type="http://schemas.microsoft.com/office/2011/relationships/chartStyle" Target="style61.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5.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oleObject" Target="../embeddings/oleObject71.bin"/></Relationships>
</file>

<file path=word/charts/_rels/chart50.xml.rels><?xml version="1.0" encoding="UTF-8" standalone="yes"?>
<Relationships xmlns="http://schemas.openxmlformats.org/package/2006/relationships"><Relationship Id="rId3" Type="http://schemas.microsoft.com/office/2011/relationships/chartColorStyle" Target="colors72.xml"/><Relationship Id="rId2" Type="http://schemas.microsoft.com/office/2011/relationships/chartStyle" Target="style72.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51.xml.rels><?xml version="1.0" encoding="UTF-8" standalone="yes"?>
<Relationships xmlns="http://schemas.openxmlformats.org/package/2006/relationships"><Relationship Id="rId3" Type="http://schemas.microsoft.com/office/2011/relationships/chartColorStyle" Target="colors65.xml"/><Relationship Id="rId2" Type="http://schemas.microsoft.com/office/2011/relationships/chartStyle" Target="style65.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52.xml.rels><?xml version="1.0" encoding="UTF-8" standalone="yes"?>
<Relationships xmlns="http://schemas.openxmlformats.org/package/2006/relationships"><Relationship Id="rId3" Type="http://schemas.microsoft.com/office/2011/relationships/chartColorStyle" Target="colors63.xml"/><Relationship Id="rId2" Type="http://schemas.microsoft.com/office/2011/relationships/chartStyle" Target="style63.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53.xml.rels><?xml version="1.0" encoding="UTF-8" standalone="yes"?>
<Relationships xmlns="http://schemas.openxmlformats.org/package/2006/relationships"><Relationship Id="rId3" Type="http://schemas.microsoft.com/office/2011/relationships/chartColorStyle" Target="colors49.xml"/><Relationship Id="rId2" Type="http://schemas.microsoft.com/office/2011/relationships/chartStyle" Target="style49.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54.xml.rels><?xml version="1.0" encoding="UTF-8" standalone="yes"?>
<Relationships xmlns="http://schemas.openxmlformats.org/package/2006/relationships"><Relationship Id="rId3" Type="http://schemas.microsoft.com/office/2011/relationships/chartColorStyle" Target="colors68.xml"/><Relationship Id="rId2" Type="http://schemas.microsoft.com/office/2011/relationships/chartStyle" Target="style68.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55.xml.rels><?xml version="1.0" encoding="UTF-8" standalone="yes"?>
<Relationships xmlns="http://schemas.openxmlformats.org/package/2006/relationships"><Relationship Id="rId3" Type="http://schemas.microsoft.com/office/2011/relationships/chartColorStyle" Target="colors69.xml"/><Relationship Id="rId2" Type="http://schemas.microsoft.com/office/2011/relationships/chartStyle" Target="style69.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56.xml.rels><?xml version="1.0" encoding="UTF-8" standalone="yes"?>
<Relationships xmlns="http://schemas.openxmlformats.org/package/2006/relationships"><Relationship Id="rId3" Type="http://schemas.microsoft.com/office/2011/relationships/chartColorStyle" Target="colors73.xml"/><Relationship Id="rId2" Type="http://schemas.microsoft.com/office/2011/relationships/chartStyle" Target="style73.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57.xml.rels><?xml version="1.0" encoding="UTF-8" standalone="yes"?>
<Relationships xmlns="http://schemas.openxmlformats.org/package/2006/relationships"><Relationship Id="rId3" Type="http://schemas.microsoft.com/office/2011/relationships/chartColorStyle" Target="colors45.xml"/><Relationship Id="rId2" Type="http://schemas.microsoft.com/office/2011/relationships/chartStyle" Target="style45.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58.xml.rels><?xml version="1.0" encoding="UTF-8" standalone="yes"?>
<Relationships xmlns="http://schemas.openxmlformats.org/package/2006/relationships"><Relationship Id="rId3" Type="http://schemas.microsoft.com/office/2011/relationships/chartColorStyle" Target="colors50.xml"/><Relationship Id="rId2" Type="http://schemas.microsoft.com/office/2011/relationships/chartStyle" Target="style50.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59.xml.rels><?xml version="1.0" encoding="UTF-8" standalone="yes"?>
<Relationships xmlns="http://schemas.openxmlformats.org/package/2006/relationships"><Relationship Id="rId3" Type="http://schemas.microsoft.com/office/2011/relationships/chartColorStyle" Target="colors52.xml"/><Relationship Id="rId2" Type="http://schemas.microsoft.com/office/2011/relationships/chartStyle" Target="style52.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6.xml.rels><?xml version="1.0" encoding="UTF-8" standalone="yes"?>
<Relationships xmlns="http://schemas.openxmlformats.org/package/2006/relationships"><Relationship Id="rId3" Type="http://schemas.microsoft.com/office/2011/relationships/chartColorStyle" Target="colors11.xml"/><Relationship Id="rId2" Type="http://schemas.microsoft.com/office/2011/relationships/chartStyle" Target="style11.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60.xml.rels><?xml version="1.0" encoding="UTF-8" standalone="yes"?>
<Relationships xmlns="http://schemas.openxmlformats.org/package/2006/relationships"><Relationship Id="rId3" Type="http://schemas.microsoft.com/office/2011/relationships/chartColorStyle" Target="colors55.xml"/><Relationship Id="rId2" Type="http://schemas.microsoft.com/office/2011/relationships/chartStyle" Target="style55.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61.xml.rels><?xml version="1.0" encoding="UTF-8" standalone="yes"?>
<Relationships xmlns="http://schemas.openxmlformats.org/package/2006/relationships"><Relationship Id="rId3" Type="http://schemas.microsoft.com/office/2011/relationships/chartColorStyle" Target="colors46.xml"/><Relationship Id="rId2" Type="http://schemas.microsoft.com/office/2011/relationships/chartStyle" Target="style46.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62.xml.rels><?xml version="1.0" encoding="UTF-8" standalone="yes"?>
<Relationships xmlns="http://schemas.openxmlformats.org/package/2006/relationships"><Relationship Id="rId3" Type="http://schemas.microsoft.com/office/2011/relationships/chartColorStyle" Target="colors66.xml"/><Relationship Id="rId2" Type="http://schemas.microsoft.com/office/2011/relationships/chartStyle" Target="style66.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63.xml.rels><?xml version="1.0" encoding="UTF-8" standalone="yes"?>
<Relationships xmlns="http://schemas.openxmlformats.org/package/2006/relationships"><Relationship Id="rId3" Type="http://schemas.microsoft.com/office/2011/relationships/chartColorStyle" Target="colors47.xml"/><Relationship Id="rId2" Type="http://schemas.microsoft.com/office/2011/relationships/chartStyle" Target="style47.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64.xml.rels><?xml version="1.0" encoding="UTF-8" standalone="yes"?>
<Relationships xmlns="http://schemas.openxmlformats.org/package/2006/relationships"><Relationship Id="rId3" Type="http://schemas.microsoft.com/office/2011/relationships/chartColorStyle" Target="colors59.xml"/><Relationship Id="rId2" Type="http://schemas.microsoft.com/office/2011/relationships/chartStyle" Target="style59.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65.xml.rels><?xml version="1.0" encoding="UTF-8" standalone="yes"?>
<Relationships xmlns="http://schemas.openxmlformats.org/package/2006/relationships"><Relationship Id="rId3" Type="http://schemas.microsoft.com/office/2011/relationships/chartColorStyle" Target="colors62.xml"/><Relationship Id="rId2" Type="http://schemas.microsoft.com/office/2011/relationships/chartStyle" Target="style62.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66.xml.rels><?xml version="1.0" encoding="UTF-8" standalone="yes"?>
<Relationships xmlns="http://schemas.openxmlformats.org/package/2006/relationships"><Relationship Id="rId3" Type="http://schemas.microsoft.com/office/2011/relationships/chartColorStyle" Target="colors67.xml"/><Relationship Id="rId2" Type="http://schemas.microsoft.com/office/2011/relationships/chartStyle" Target="style67.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67.xml.rels><?xml version="1.0" encoding="UTF-8" standalone="yes"?>
<Relationships xmlns="http://schemas.openxmlformats.org/package/2006/relationships"><Relationship Id="rId3" Type="http://schemas.microsoft.com/office/2011/relationships/chartColorStyle" Target="colors54.xml"/><Relationship Id="rId2" Type="http://schemas.microsoft.com/office/2011/relationships/chartStyle" Target="style54.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68.xml.rels><?xml version="1.0" encoding="UTF-8" standalone="yes"?>
<Relationships xmlns="http://schemas.openxmlformats.org/package/2006/relationships"><Relationship Id="rId3" Type="http://schemas.microsoft.com/office/2011/relationships/chartColorStyle" Target="colors51.xml"/><Relationship Id="rId2" Type="http://schemas.microsoft.com/office/2011/relationships/chartStyle" Target="style51.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69.xml.rels><?xml version="1.0" encoding="UTF-8" standalone="yes"?>
<Relationships xmlns="http://schemas.openxmlformats.org/package/2006/relationships"><Relationship Id="rId3" Type="http://schemas.microsoft.com/office/2011/relationships/chartColorStyle" Target="colors70.xml"/><Relationship Id="rId2" Type="http://schemas.microsoft.com/office/2011/relationships/chartStyle" Target="style70.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7.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embeddings/oleObject69.bin"/></Relationships>
</file>

<file path=word/charts/_rels/chart70.xml.rels><?xml version="1.0" encoding="UTF-8" standalone="yes"?>
<Relationships xmlns="http://schemas.openxmlformats.org/package/2006/relationships"><Relationship Id="rId3" Type="http://schemas.microsoft.com/office/2011/relationships/chartColorStyle" Target="colors56.xml"/><Relationship Id="rId2" Type="http://schemas.microsoft.com/office/2011/relationships/chartStyle" Target="style56.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71.xml.rels><?xml version="1.0" encoding="UTF-8" standalone="yes"?>
<Relationships xmlns="http://schemas.openxmlformats.org/package/2006/relationships"><Relationship Id="rId3" Type="http://schemas.microsoft.com/office/2011/relationships/chartColorStyle" Target="colors57.xml"/><Relationship Id="rId2" Type="http://schemas.microsoft.com/office/2011/relationships/chartStyle" Target="style57.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72.xml.rels><?xml version="1.0" encoding="UTF-8" standalone="yes"?>
<Relationships xmlns="http://schemas.openxmlformats.org/package/2006/relationships"><Relationship Id="rId3" Type="http://schemas.microsoft.com/office/2011/relationships/chartColorStyle" Target="colors58.xml"/><Relationship Id="rId2" Type="http://schemas.microsoft.com/office/2011/relationships/chartStyle" Target="style58.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_rels/chart73.xml.rels><?xml version="1.0" encoding="UTF-8" standalone="yes"?>
<Relationships xmlns="http://schemas.openxmlformats.org/package/2006/relationships"><Relationship Id="rId4" Type="http://schemas.microsoft.com/office/2011/relationships/chartColorStyle" Target="colors60.xml"/><Relationship Id="rId3" Type="http://schemas.microsoft.com/office/2011/relationships/chartStyle" Target="style60.xml"/><Relationship Id="rId2" Type="http://schemas.openxmlformats.org/officeDocument/2006/relationships/themeOverride" Target="../theme/themeOverride1.xml"/><Relationship Id="rId1"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4.xml.rels><?xml version="1.0" encoding="UTF-8" standalone="yes"?>
<Relationships xmlns="http://schemas.openxmlformats.org/package/2006/relationships"><Relationship Id="rId4" Type="http://schemas.microsoft.com/office/2011/relationships/chartColorStyle" Target="colors64.xml"/><Relationship Id="rId3" Type="http://schemas.microsoft.com/office/2011/relationships/chartStyle" Target="style64.xml"/><Relationship Id="rId2" Type="http://schemas.openxmlformats.org/officeDocument/2006/relationships/themeOverride" Target="../theme/themeOverride2.xml"/><Relationship Id="rId1"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5.xml.rels><?xml version="1.0" encoding="UTF-8" standalone="yes"?>
<Relationships xmlns="http://schemas.openxmlformats.org/package/2006/relationships"><Relationship Id="rId3" Type="http://schemas.microsoft.com/office/2011/relationships/chartColorStyle" Target="colors75.xml"/><Relationship Id="rId2" Type="http://schemas.microsoft.com/office/2011/relationships/chartStyle" Target="style75.xml"/><Relationship Id="rId1" Type="http://schemas.openxmlformats.org/officeDocument/2006/relationships/oleObject" Target="https://ericsson.sharepoint.com/sites/swea/Shared%20Documents/SWEA%20RAN%20Groups/RAN4/RAN4%20Meetings/RAN4#108_Toulouse/Contributions/Rel-18%252520ATG/Co-existence/Annex%252520-%252520Impact%252520of%252520ATG%252520UE%252520antenna%252520type.xlsx" TargetMode="External"/></Relationships>
</file>

<file path=word/charts/_rels/chart76.xml.rels><?xml version="1.0" encoding="UTF-8" standalone="yes"?>
<Relationships xmlns="http://schemas.openxmlformats.org/package/2006/relationships"><Relationship Id="rId3" Type="http://schemas.microsoft.com/office/2011/relationships/chartColorStyle" Target="colors76.xml"/><Relationship Id="rId2" Type="http://schemas.microsoft.com/office/2011/relationships/chartStyle" Target="style76.xml"/><Relationship Id="rId1" Type="http://schemas.openxmlformats.org/officeDocument/2006/relationships/oleObject" Target="https://ericsson.sharepoint.com/sites/swea/Shared%20Documents/SWEA%20RAN%20Groups/RAN4/RAN4%20Meetings/RAN4#108_Toulouse/Contributions/Rel-18%252520ATG/Co-existence/Annex%252520-%252520Impact%252520of%252520ATG%252520UE%252520height%252520distribution.xlsx" TargetMode="External"/></Relationships>
</file>

<file path=word/charts/_rels/chart77.xml.rels><?xml version="1.0" encoding="UTF-8" standalone="yes"?>
<Relationships xmlns="http://schemas.openxmlformats.org/package/2006/relationships"><Relationship Id="rId3" Type="http://schemas.microsoft.com/office/2011/relationships/chartColorStyle" Target="colors77.xml"/><Relationship Id="rId2" Type="http://schemas.microsoft.com/office/2011/relationships/chartStyle" Target="style77.xml"/><Relationship Id="rId1" Type="http://schemas.openxmlformats.org/officeDocument/2006/relationships/oleObject" Target="https://ericsson.sharepoint.com/sites/swea/Shared%20Documents/SWEA%20RAN%20Groups/RAN4/RAN4%20Meetings/RAN4#108_Toulouse/Contributions/Rel-18%252520ATG/Co-existence/Annex%252520-%252520Impact%252520of%252520ATG%252520UE%252520height%252520distribution.xlsx" TargetMode="External"/></Relationships>
</file>

<file path=word/charts/_rels/chart8.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embeddings/oleObject67.bin"/></Relationships>
</file>

<file path=word/charts/_rels/chart9.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https://ericsson.sharepoint.com/sites/swea/Shared%2520Documents/SWEA%2520RAN%2520Groups/RAN4/RAN4%2520Meetings/RAN4#108_Toulouse/Contributions/Rel-18%252520ATG/Co-existence/%25255bINTERNAL%25255d%252520Synchronized%252520scenarios%252520results%252520data%252520from%252520other%252520companies/Synchroniz"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manualLayout>
          <c:layoutTarget val="inner"/>
          <c:xMode val="edge"/>
          <c:yMode val="edge"/>
          <c:x val="0.076198344301534"/>
          <c:y val="0.125076850708407"/>
          <c:w val="0.907831905172376"/>
          <c:h val="0.65385272908944"/>
        </c:manualLayout>
      </c:layout>
      <c:lineChart>
        <c:grouping val="standard"/>
        <c:varyColors val="0"/>
        <c:ser>
          <c:idx val="0"/>
          <c:order val="0"/>
          <c:tx>
            <c:strRef>
              <c:f>'[Synchronized scenarios Co-existence simulation results data_Ericsson_ZTE_CMCC_QC_HW_CATT.xlsx]Scn1 4GHz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DL(V)'!$B$33:$B$53</c:f>
              <c:numCache>
                <c:formatCode>General</c:formatCode>
                <c:ptCount val="21"/>
                <c:pt idx="0">
                  <c:v>0.125743608074291</c:v>
                </c:pt>
                <c:pt idx="1">
                  <c:v>0.125742850988109</c:v>
                </c:pt>
                <c:pt idx="2">
                  <c:v>0.102593864969003</c:v>
                </c:pt>
                <c:pt idx="3">
                  <c:v>0.102492107241636</c:v>
                </c:pt>
                <c:pt idx="4">
                  <c:v>0.102411278037007</c:v>
                </c:pt>
                <c:pt idx="5">
                  <c:v>0.102347073011178</c:v>
                </c:pt>
                <c:pt idx="6">
                  <c:v>0.1022960730792</c:v>
                </c:pt>
                <c:pt idx="7">
                  <c:v>0.102255562350884</c:v>
                </c:pt>
                <c:pt idx="8">
                  <c:v>0.102223383508859</c:v>
                </c:pt>
                <c:pt idx="9">
                  <c:v>0.102197822929195</c:v>
                </c:pt>
                <c:pt idx="10">
                  <c:v>0.102177519428437</c:v>
                </c:pt>
                <c:pt idx="11">
                  <c:v>0.102161391777811</c:v>
                </c:pt>
                <c:pt idx="12">
                  <c:v>0.102148581125328</c:v>
                </c:pt>
                <c:pt idx="13">
                  <c:v>0.102138405259666</c:v>
                </c:pt>
                <c:pt idx="14">
                  <c:v>0.102130322280591</c:v>
                </c:pt>
                <c:pt idx="15">
                  <c:v>0.102123901741014</c:v>
                </c:pt>
              </c:numCache>
            </c:numRef>
          </c:val>
          <c:smooth val="0"/>
        </c:ser>
        <c:ser>
          <c:idx val="1"/>
          <c:order val="1"/>
          <c:tx>
            <c:strRef>
              <c:f>'[Synchronized scenarios Co-existence simulation results data_Ericsson_ZTE_CMCC_QC_HW_CATT.xlsx]Scn1 4GHz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DL(V)'!$C$33:$C$53</c:f>
              <c:numCache>
                <c:formatCode>General</c:formatCode>
                <c:ptCount val="21"/>
                <c:pt idx="0">
                  <c:v>0.113288908922549</c:v>
                </c:pt>
                <c:pt idx="1">
                  <c:v>0.113288908874642</c:v>
                </c:pt>
                <c:pt idx="2">
                  <c:v>0.113288908836551</c:v>
                </c:pt>
                <c:pt idx="3">
                  <c:v>0.0911110452764041</c:v>
                </c:pt>
                <c:pt idx="4">
                  <c:v>0.0911110432899154</c:v>
                </c:pt>
                <c:pt idx="5">
                  <c:v>0.0911110417119998</c:v>
                </c:pt>
                <c:pt idx="6">
                  <c:v>0.0911110404585913</c:v>
                </c:pt>
                <c:pt idx="7">
                  <c:v>0.0911110394629877</c:v>
                </c:pt>
                <c:pt idx="8">
                  <c:v>0.0831742510157385</c:v>
                </c:pt>
                <c:pt idx="9">
                  <c:v>0.0831742510078337</c:v>
                </c:pt>
                <c:pt idx="10">
                  <c:v>0.0831742510015721</c:v>
                </c:pt>
                <c:pt idx="11">
                  <c:v>0.0831742509965872</c:v>
                </c:pt>
                <c:pt idx="12">
                  <c:v>0.0831742509926348</c:v>
                </c:pt>
                <c:pt idx="13">
                  <c:v>0.0831742509894817</c:v>
                </c:pt>
                <c:pt idx="14">
                  <c:v>0.0831742509870059</c:v>
                </c:pt>
                <c:pt idx="15">
                  <c:v>0.0831742509850075</c:v>
                </c:pt>
              </c:numCache>
            </c:numRef>
          </c:val>
          <c:smooth val="0"/>
        </c:ser>
        <c:ser>
          <c:idx val="2"/>
          <c:order val="2"/>
          <c:tx>
            <c:strRef>
              <c:f>'[Synchronized scenarios Co-existence simulation results data_Ericsson_ZTE_CMCC_QC_HW_CATT.xlsx]Scn1 4GHz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DL(V)'!$D$33:$D$53</c:f>
              <c:numCache>
                <c:formatCode>General</c:formatCode>
                <c:ptCount val="21"/>
              </c:numCache>
            </c:numRef>
          </c:val>
          <c:smooth val="0"/>
        </c:ser>
        <c:ser>
          <c:idx val="3"/>
          <c:order val="3"/>
          <c:tx>
            <c:strRef>
              <c:f>'[Synchronized scenarios Co-existence simulation results data_Ericsson_ZTE_CMCC_QC_HW_CATT.xlsx]Scn1 4GHz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DL(V)'!$E$33:$E$53</c:f>
              <c:numCache>
                <c:formatCode>General</c:formatCode>
                <c:ptCount val="21"/>
                <c:pt idx="0">
                  <c:v>2.55531644450377</c:v>
                </c:pt>
                <c:pt idx="1">
                  <c:v>2.09027133127906</c:v>
                </c:pt>
                <c:pt idx="2">
                  <c:v>1.76222582754083</c:v>
                </c:pt>
                <c:pt idx="3">
                  <c:v>1.43418032380259</c:v>
                </c:pt>
                <c:pt idx="4">
                  <c:v>1.24140025767943</c:v>
                </c:pt>
                <c:pt idx="5">
                  <c:v>1.04862019155626</c:v>
                </c:pt>
                <c:pt idx="6">
                  <c:v>0.939077819384104</c:v>
                </c:pt>
                <c:pt idx="7">
                  <c:v>0.829535447211949</c:v>
                </c:pt>
                <c:pt idx="8">
                  <c:v>0.653175025821134</c:v>
                </c:pt>
                <c:pt idx="9">
                  <c:v>0.47681460443032</c:v>
                </c:pt>
                <c:pt idx="10">
                  <c:v>0.355570334601119</c:v>
                </c:pt>
                <c:pt idx="11">
                  <c:v>0.234326064771917</c:v>
                </c:pt>
                <c:pt idx="12">
                  <c:v>0.195269307809298</c:v>
                </c:pt>
                <c:pt idx="13">
                  <c:v>0.156212550846679</c:v>
                </c:pt>
                <c:pt idx="14">
                  <c:v>0.120161269613023</c:v>
                </c:pt>
                <c:pt idx="15">
                  <c:v>0.0841099883793661</c:v>
                </c:pt>
              </c:numCache>
            </c:numRef>
          </c:val>
          <c:smooth val="0"/>
        </c:ser>
        <c:ser>
          <c:idx val="4"/>
          <c:order val="4"/>
          <c:tx>
            <c:strRef>
              <c:f>'[Synchronized scenarios Co-existence simulation results data_Ericsson_ZTE_CMCC_QC_HW_CATT.xlsx]Scn1 4GHz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DL(V)'!$F$33:$F$53</c:f>
              <c:numCache>
                <c:formatCode>General</c:formatCode>
                <c:ptCount val="21"/>
                <c:pt idx="0">
                  <c:v>0.93736</c:v>
                </c:pt>
                <c:pt idx="1">
                  <c:v>0.80468</c:v>
                </c:pt>
                <c:pt idx="2">
                  <c:v>0.68448</c:v>
                </c:pt>
                <c:pt idx="3">
                  <c:v>0.62589</c:v>
                </c:pt>
                <c:pt idx="4">
                  <c:v>0.55006</c:v>
                </c:pt>
                <c:pt idx="5">
                  <c:v>0.51768</c:v>
                </c:pt>
                <c:pt idx="6">
                  <c:v>0.51064</c:v>
                </c:pt>
                <c:pt idx="7">
                  <c:v>0.49989</c:v>
                </c:pt>
                <c:pt idx="8">
                  <c:v>0.30621</c:v>
                </c:pt>
                <c:pt idx="9">
                  <c:v>0.055321</c:v>
                </c:pt>
                <c:pt idx="10">
                  <c:v>0</c:v>
                </c:pt>
              </c:numCache>
            </c:numRef>
          </c:val>
          <c:smooth val="0"/>
        </c:ser>
        <c:ser>
          <c:idx val="5"/>
          <c:order val="5"/>
          <c:tx>
            <c:strRef>
              <c:f>'[Synchronized scenarios Co-existence simulation results data_Ericsson_ZTE_CMCC_QC_HW_CATT.xlsx]Scn1 4GHz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DL(V)'!$G$33:$G$53</c:f>
              <c:numCache>
                <c:formatCode>General</c:formatCode>
                <c:ptCount val="21"/>
                <c:pt idx="0">
                  <c:v>0.112694</c:v>
                </c:pt>
                <c:pt idx="1">
                  <c:v>0.1091256</c:v>
                </c:pt>
                <c:pt idx="2">
                  <c:v>0.1062156</c:v>
                </c:pt>
                <c:pt idx="3">
                  <c:v>0.10401335</c:v>
                </c:pt>
                <c:pt idx="4">
                  <c:v>0.1025895</c:v>
                </c:pt>
                <c:pt idx="5">
                  <c:v>0.1014518</c:v>
                </c:pt>
                <c:pt idx="6">
                  <c:v>0.09969505</c:v>
                </c:pt>
                <c:pt idx="7">
                  <c:v>0.0989697</c:v>
                </c:pt>
                <c:pt idx="8">
                  <c:v>0.09839175</c:v>
                </c:pt>
                <c:pt idx="9">
                  <c:v>0.0979316</c:v>
                </c:pt>
                <c:pt idx="10">
                  <c:v>0.09689925</c:v>
                </c:pt>
                <c:pt idx="11">
                  <c:v>0.09590945</c:v>
                </c:pt>
                <c:pt idx="12">
                  <c:v>0.09511605</c:v>
                </c:pt>
                <c:pt idx="13">
                  <c:v>0.09448125</c:v>
                </c:pt>
                <c:pt idx="14">
                  <c:v>0.09397405</c:v>
                </c:pt>
                <c:pt idx="15">
                  <c:v>0.09356925</c:v>
                </c:pt>
                <c:pt idx="16">
                  <c:v>0.09324655</c:v>
                </c:pt>
                <c:pt idx="17">
                  <c:v>0.09298945</c:v>
                </c:pt>
                <c:pt idx="18">
                  <c:v>0.09278475</c:v>
                </c:pt>
                <c:pt idx="19">
                  <c:v>0.09262185</c:v>
                </c:pt>
                <c:pt idx="20">
                  <c:v>0.09249225</c:v>
                </c:pt>
              </c:numCache>
            </c:numRef>
          </c:val>
          <c:smooth val="0"/>
        </c:ser>
        <c:dLbls>
          <c:showLegendKey val="0"/>
          <c:showVal val="0"/>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0762502726374889"/>
              <c:y val="0.243203331533017"/>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manualLayout>
          <c:xMode val="edge"/>
          <c:yMode val="edge"/>
          <c:x val="0.132112407517688"/>
          <c:y val="0.923848744989909"/>
          <c:w val="0.735775021586354"/>
          <c:h val="0.076151255010091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endParaRPr lang="en-US"/>
          </a:p>
          <a:p>
            <a:pPr>
              <a:defRPr lang="zh-CN" sz="1400" b="0" i="0" u="none" strike="noStrike" kern="1200" spc="0" baseline="0">
                <a:solidFill>
                  <a:schemeClr val="tx1">
                    <a:lumMod val="65000"/>
                    <a:lumOff val="35000"/>
                  </a:schemeClr>
                </a:solidFill>
                <a:latin typeface="+mn-lt"/>
                <a:ea typeface="+mn-ea"/>
                <a:cs typeface="+mn-cs"/>
              </a:defRPr>
            </a:pPr>
            <a:r>
              <a:rPr lang="en-US"/>
              <a:t>(20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UL(V)'!$Q$33:$Q$53</c:f>
              <c:numCache>
                <c:formatCode>General</c:formatCode>
                <c:ptCount val="21"/>
                <c:pt idx="0">
                  <c:v>0.0035413643553972</c:v>
                </c:pt>
                <c:pt idx="1">
                  <c:v>0.00281973225613186</c:v>
                </c:pt>
                <c:pt idx="2">
                  <c:v>0.0022447389107727</c:v>
                </c:pt>
                <c:pt idx="3">
                  <c:v>0.00178687091848539</c:v>
                </c:pt>
                <c:pt idx="4">
                  <c:v>0.00142245195345891</c:v>
                </c:pt>
                <c:pt idx="5">
                  <c:v>0.00113252558232579</c:v>
                </c:pt>
                <c:pt idx="6">
                  <c:v>0.000901938385744483</c:v>
                </c:pt>
                <c:pt idx="7">
                  <c:v>0.000718592441140142</c:v>
                </c:pt>
                <c:pt idx="8">
                  <c:v>0.000572839097845446</c:v>
                </c:pt>
                <c:pt idx="9">
                  <c:v>0.000456989419617138</c:v>
                </c:pt>
                <c:pt idx="10">
                  <c:v>0.000364920164608318</c:v>
                </c:pt>
                <c:pt idx="11">
                  <c:v>0.000291757515735736</c:v>
                </c:pt>
                <c:pt idx="12">
                  <c:v>0.000233623758538748</c:v>
                </c:pt>
                <c:pt idx="13">
                  <c:v>0.000187434726439673</c:v>
                </c:pt>
                <c:pt idx="14">
                  <c:v>0.000150738056303723</c:v>
                </c:pt>
                <c:pt idx="15">
                  <c:v>0.000121584171364209</c:v>
                </c:pt>
                <c:pt idx="16">
                  <c:v>9.84234607370738e-5</c:v>
                </c:pt>
                <c:pt idx="17">
                  <c:v>8.00243882159712e-5</c:v>
                </c:pt>
                <c:pt idx="18">
                  <c:v>6.5408307492465e-5</c:v>
                </c:pt>
                <c:pt idx="19">
                  <c:v>5.37975987535688e-5</c:v>
                </c:pt>
                <c:pt idx="20">
                  <c:v>4.45744153587668e-5</c:v>
                </c:pt>
              </c:numCache>
            </c:numRef>
          </c:val>
          <c:smooth val="0"/>
        </c:ser>
        <c:ser>
          <c:idx val="1"/>
          <c:order val="1"/>
          <c:tx>
            <c:strRef>
              <c:f>'[Synchronized scenarios Co-existence simulation results data_Ericsson_ZTE_CMCC_QC_HW_CATT.xlsx]Scn2 4GHz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UL(V)'!$R$33:$R$53</c:f>
              <c:numCache>
                <c:formatCode>General</c:formatCode>
                <c:ptCount val="21"/>
                <c:pt idx="0">
                  <c:v>0.000469313883255662</c:v>
                </c:pt>
                <c:pt idx="1">
                  <c:v>0.000373248655594072</c:v>
                </c:pt>
                <c:pt idx="2">
                  <c:v>0.000296861683490857</c:v>
                </c:pt>
                <c:pt idx="3">
                  <c:v>0.000236134913000896</c:v>
                </c:pt>
                <c:pt idx="4">
                  <c:v>0.000187866003598103</c:v>
                </c:pt>
                <c:pt idx="5">
                  <c:v>0.000149504457924721</c:v>
                </c:pt>
                <c:pt idx="6">
                  <c:v>0.000119020037370188</c:v>
                </c:pt>
                <c:pt idx="7">
                  <c:v>9.47973373688349e-5</c:v>
                </c:pt>
                <c:pt idx="8">
                  <c:v>7.55514687811321e-5</c:v>
                </c:pt>
                <c:pt idx="9">
                  <c:v>6.02607146737988e-5</c:v>
                </c:pt>
                <c:pt idx="10">
                  <c:v>4.81128056506464e-5</c:v>
                </c:pt>
                <c:pt idx="11">
                  <c:v>3.84620959303916e-5</c:v>
                </c:pt>
                <c:pt idx="12">
                  <c:v>3.07954551748146e-5</c:v>
                </c:pt>
                <c:pt idx="13">
                  <c:v>2.47051149648847e-5</c:v>
                </c:pt>
                <c:pt idx="14">
                  <c:v>1.98670632500786e-5</c:v>
                </c:pt>
                <c:pt idx="15">
                  <c:v>1.60238586066619e-5</c:v>
                </c:pt>
                <c:pt idx="16">
                  <c:v>1.29709642027187e-5</c:v>
                </c:pt>
                <c:pt idx="17">
                  <c:v>1.05458828669747e-5</c:v>
                </c:pt>
                <c:pt idx="18">
                  <c:v>8.61952120789766e-6</c:v>
                </c:pt>
                <c:pt idx="19">
                  <c:v>7.08932550441688e-6</c:v>
                </c:pt>
                <c:pt idx="20">
                  <c:v>5.87382735783848e-6</c:v>
                </c:pt>
              </c:numCache>
            </c:numRef>
          </c:val>
          <c:smooth val="0"/>
        </c:ser>
        <c:ser>
          <c:idx val="2"/>
          <c:order val="2"/>
          <c:tx>
            <c:strRef>
              <c:f>'[Synchronized scenarios Co-existence simulation results data_Ericsson_ZTE_CMCC_QC_HW_CATT.xlsx]Scn2 4GHz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UL(V)'!$S$33:$S$53</c:f>
              <c:numCache>
                <c:formatCode>General</c:formatCode>
                <c:ptCount val="21"/>
                <c:pt idx="0">
                  <c:v>0.00212832044983897</c:v>
                </c:pt>
                <c:pt idx="1">
                  <c:v>0.00169232161629323</c:v>
                </c:pt>
                <c:pt idx="2">
                  <c:v>0.0013457606080697</c:v>
                </c:pt>
                <c:pt idx="3">
                  <c:v>0.00107032897922788</c:v>
                </c:pt>
                <c:pt idx="4">
                  <c:v>0.000851452067525934</c:v>
                </c:pt>
                <c:pt idx="5">
                  <c:v>0.000677532709442</c:v>
                </c:pt>
                <c:pt idx="6">
                  <c:v>0.000539346235999621</c:v>
                </c:pt>
                <c:pt idx="7">
                  <c:v>0.000429557192899921</c:v>
                </c:pt>
                <c:pt idx="8">
                  <c:v>0.000342333740728566</c:v>
                </c:pt>
                <c:pt idx="9">
                  <c:v>0.000273040274641733</c:v>
                </c:pt>
                <c:pt idx="10">
                  <c:v>0.000217992575224005</c:v>
                </c:pt>
                <c:pt idx="11">
                  <c:v>0.000174262882562804</c:v>
                </c:pt>
                <c:pt idx="12">
                  <c:v>0.000139524785871851</c:v>
                </c:pt>
                <c:pt idx="13">
                  <c:v>0.000111929841027873</c:v>
                </c:pt>
                <c:pt idx="14">
                  <c:v>9.0009454527288e-5</c:v>
                </c:pt>
                <c:pt idx="15">
                  <c:v>7.25968777574519e-5</c:v>
                </c:pt>
                <c:pt idx="16">
                  <c:v>5.87652010258914e-5</c:v>
                </c:pt>
                <c:pt idx="17">
                  <c:v>4.77780728091176e-5</c:v>
                </c:pt>
                <c:pt idx="18">
                  <c:v>3.90505371930145e-5</c:v>
                </c:pt>
                <c:pt idx="19">
                  <c:v>3.21179149297781e-5</c:v>
                </c:pt>
                <c:pt idx="20">
                  <c:v>2.66110778219697e-5</c:v>
                </c:pt>
              </c:numCache>
            </c:numRef>
          </c:val>
          <c:smooth val="0"/>
        </c:ser>
        <c:ser>
          <c:idx val="3"/>
          <c:order val="3"/>
          <c:tx>
            <c:strRef>
              <c:f>'[Synchronized scenarios Co-existence simulation results data_Ericsson_ZTE_CMCC_QC_HW_CATT.xlsx]Scn2 4GHz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UL(V)'!$T$33:$T$53</c:f>
              <c:numCache>
                <c:formatCode>General</c:formatCode>
                <c:ptCount val="21"/>
                <c:pt idx="0">
                  <c:v>0.000776818659131706</c:v>
                </c:pt>
                <c:pt idx="1">
                  <c:v>0.000633845031328129</c:v>
                </c:pt>
                <c:pt idx="2">
                  <c:v>0.000490871403524551</c:v>
                </c:pt>
                <c:pt idx="3">
                  <c:v>0.00040044215554591</c:v>
                </c:pt>
                <c:pt idx="4">
                  <c:v>0.00031001290756727</c:v>
                </c:pt>
                <c:pt idx="5">
                  <c:v>0.000252867765049292</c:v>
                </c:pt>
                <c:pt idx="6">
                  <c:v>0.000195722622531314</c:v>
                </c:pt>
                <c:pt idx="7">
                  <c:v>0.000159631137297556</c:v>
                </c:pt>
                <c:pt idx="8">
                  <c:v>0.000123539652063798</c:v>
                </c:pt>
                <c:pt idx="9">
                  <c:v>0.000100753333437398</c:v>
                </c:pt>
                <c:pt idx="10">
                  <c:v>7.79670148109979e-5</c:v>
                </c:pt>
                <c:pt idx="11">
                  <c:v>6.35841781115865e-5</c:v>
                </c:pt>
                <c:pt idx="12">
                  <c:v>4.9201341412175e-5</c:v>
                </c:pt>
                <c:pt idx="13">
                  <c:v>4.01241350089787e-5</c:v>
                </c:pt>
                <c:pt idx="14">
                  <c:v>3.10469286057824e-5</c:v>
                </c:pt>
                <c:pt idx="15">
                  <c:v>2.53187017962286e-5</c:v>
                </c:pt>
                <c:pt idx="16">
                  <c:v>1.95904749866749e-5</c:v>
                </c:pt>
                <c:pt idx="17">
                  <c:v>1.59758510198671e-5</c:v>
                </c:pt>
                <c:pt idx="18">
                  <c:v>1.23612270530593e-5</c:v>
                </c:pt>
                <c:pt idx="19">
                  <c:v>1.00804111946573e-5</c:v>
                </c:pt>
                <c:pt idx="20">
                  <c:v>7.79959533625529e-6</c:v>
                </c:pt>
              </c:numCache>
            </c:numRef>
          </c:val>
          <c:smooth val="0"/>
        </c:ser>
        <c:ser>
          <c:idx val="4"/>
          <c:order val="4"/>
          <c:tx>
            <c:strRef>
              <c:f>'[Synchronized scenarios Co-existence simulation results data_Ericsson_ZTE_CMCC_QC_HW_CATT.xlsx]Scn2 4GHz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UL(V)'!$U$33:$U$53</c:f>
              <c:numCache>
                <c:formatCode>General</c:formatCode>
                <c:ptCount val="21"/>
                <c:pt idx="0">
                  <c:v>2.7689e-5</c:v>
                </c:pt>
                <c:pt idx="1">
                  <c:v>1.8946e-5</c:v>
                </c:pt>
                <c:pt idx="2">
                  <c:v>1.2306e-5</c:v>
                </c:pt>
                <c:pt idx="3">
                  <c:v>5.647e-6</c:v>
                </c:pt>
                <c:pt idx="4">
                  <c:v>1.421e-6</c:v>
                </c:pt>
                <c:pt idx="5">
                  <c:v>0</c:v>
                </c:pt>
                <c:pt idx="6">
                  <c:v>0</c:v>
                </c:pt>
                <c:pt idx="7">
                  <c:v>0</c:v>
                </c:pt>
                <c:pt idx="8">
                  <c:v>0</c:v>
                </c:pt>
                <c:pt idx="9">
                  <c:v>0</c:v>
                </c:pt>
                <c:pt idx="10">
                  <c:v>0</c:v>
                </c:pt>
              </c:numCache>
            </c:numRef>
          </c:val>
          <c:smooth val="0"/>
        </c:ser>
        <c:ser>
          <c:idx val="5"/>
          <c:order val="5"/>
          <c:tx>
            <c:strRef>
              <c:f>'[Synchronized scenarios Co-existence simulation results data_Ericsson_ZTE_CMCC_QC_HW_CATT.xlsx]Scn2 4GHz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UL(V)'!$V$33:$V$53</c:f>
              <c:numCache>
                <c:formatCode>General</c:formatCode>
                <c:ptCount val="21"/>
                <c:pt idx="0">
                  <c:v>0.000186</c:v>
                </c:pt>
                <c:pt idx="1">
                  <c:v>0.00015</c:v>
                </c:pt>
                <c:pt idx="2">
                  <c:v>0.000121</c:v>
                </c:pt>
                <c:pt idx="3">
                  <c:v>9.8e-5</c:v>
                </c:pt>
                <c:pt idx="4">
                  <c:v>8e-5</c:v>
                </c:pt>
                <c:pt idx="5">
                  <c:v>6.5e-5</c:v>
                </c:pt>
                <c:pt idx="6">
                  <c:v>5.4e-5</c:v>
                </c:pt>
                <c:pt idx="7">
                  <c:v>4.4e-5</c:v>
                </c:pt>
                <c:pt idx="8">
                  <c:v>3.7e-5</c:v>
                </c:pt>
                <c:pt idx="9">
                  <c:v>3.1e-5</c:v>
                </c:pt>
                <c:pt idx="10">
                  <c:v>2.7e-5</c:v>
                </c:pt>
                <c:pt idx="11">
                  <c:v>2.3e-5</c:v>
                </c:pt>
                <c:pt idx="12">
                  <c:v>2e-5</c:v>
                </c:pt>
                <c:pt idx="13">
                  <c:v>1.8e-5</c:v>
                </c:pt>
                <c:pt idx="14">
                  <c:v>1.6e-5</c:v>
                </c:pt>
                <c:pt idx="15">
                  <c:v>1.5e-5</c:v>
                </c:pt>
                <c:pt idx="16">
                  <c:v>1.3e-5</c:v>
                </c:pt>
                <c:pt idx="17">
                  <c:v>1.2e-5</c:v>
                </c:pt>
                <c:pt idx="18">
                  <c:v>1.2e-5</c:v>
                </c:pt>
                <c:pt idx="19">
                  <c:v>1.1e-5</c:v>
                </c:pt>
                <c:pt idx="20">
                  <c:v>1.1e-5</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UL(V)'!$AG$33:$AG$53</c:f>
              <c:numCache>
                <c:formatCode>General</c:formatCode>
                <c:ptCount val="21"/>
                <c:pt idx="0">
                  <c:v>0.462770152540548</c:v>
                </c:pt>
                <c:pt idx="1">
                  <c:v>0.36818056109762</c:v>
                </c:pt>
                <c:pt idx="2">
                  <c:v>0.292916748664784</c:v>
                </c:pt>
                <c:pt idx="3">
                  <c:v>0.233051229312087</c:v>
                </c:pt>
                <c:pt idx="4">
                  <c:v>0.18544693508209</c:v>
                </c:pt>
                <c:pt idx="5">
                  <c:v>0.147601007448006</c:v>
                </c:pt>
                <c:pt idx="6">
                  <c:v>0.117518393197857</c:v>
                </c:pt>
                <c:pt idx="7">
                  <c:v>0.093609960704133</c:v>
                </c:pt>
                <c:pt idx="8">
                  <c:v>0.0746106328480045</c:v>
                </c:pt>
                <c:pt idx="9">
                  <c:v>0.0595137629636477</c:v>
                </c:pt>
                <c:pt idx="10">
                  <c:v>0.0475186310811448</c:v>
                </c:pt>
                <c:pt idx="11">
                  <c:v>0.0379885002830926</c:v>
                </c:pt>
                <c:pt idx="12">
                  <c:v>0.0304171488730742</c:v>
                </c:pt>
                <c:pt idx="13">
                  <c:v>0.0244021905932423</c:v>
                </c:pt>
                <c:pt idx="14">
                  <c:v>0.0196238218699407</c:v>
                </c:pt>
                <c:pt idx="15">
                  <c:v>0.0158279020890384</c:v>
                </c:pt>
                <c:pt idx="16">
                  <c:v>0.0128124897431303</c:v>
                </c:pt>
                <c:pt idx="17">
                  <c:v>0.0104171325332025</c:v>
                </c:pt>
                <c:pt idx="18">
                  <c:v>0.00851435061076655</c:v>
                </c:pt>
                <c:pt idx="19">
                  <c:v>0.0070028654268639</c:v>
                </c:pt>
                <c:pt idx="20">
                  <c:v>0.00580221739743259</c:v>
                </c:pt>
              </c:numCache>
            </c:numRef>
          </c:val>
          <c:smooth val="0"/>
        </c:ser>
        <c:ser>
          <c:idx val="2"/>
          <c:order val="2"/>
          <c:tx>
            <c:strRef>
              <c:f>'[Synchronized scenarios Co-existence simulation results data_Ericsson_ZTE_CMCC_QC_HW_CATT.xlsx]Scn2 4GHz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UL(V)'!$AI$33:$AI$53</c:f>
              <c:numCache>
                <c:formatCode>General</c:formatCode>
                <c:ptCount val="21"/>
                <c:pt idx="0">
                  <c:v>0.292275768411506</c:v>
                </c:pt>
                <c:pt idx="1">
                  <c:v>0.23247896540382</c:v>
                </c:pt>
                <c:pt idx="2">
                  <c:v>0.184919962124767</c:v>
                </c:pt>
                <c:pt idx="3">
                  <c:v>0.147104119508173</c:v>
                </c:pt>
                <c:pt idx="4">
                  <c:v>0.117041671780819</c:v>
                </c:pt>
                <c:pt idx="5">
                  <c:v>0.0931468970897715</c:v>
                </c:pt>
                <c:pt idx="6">
                  <c:v>0.0741569247696031</c:v>
                </c:pt>
                <c:pt idx="7">
                  <c:v>0.0590665423065939</c:v>
                </c:pt>
                <c:pt idx="8">
                  <c:v>0.0470759670874024</c:v>
                </c:pt>
                <c:pt idx="9">
                  <c:v>0.0375490789764545</c:v>
                </c:pt>
                <c:pt idx="10">
                  <c:v>0.0299800653562445</c:v>
                </c:pt>
                <c:pt idx="11">
                  <c:v>0.0239668137887208</c:v>
                </c:pt>
                <c:pt idx="12">
                  <c:v>0.0191897058909584</c:v>
                </c:pt>
                <c:pt idx="13">
                  <c:v>0.0153947277360156</c:v>
                </c:pt>
                <c:pt idx="14">
                  <c:v>0.0123800255521739</c:v>
                </c:pt>
                <c:pt idx="15">
                  <c:v>0.00998520858795582</c:v>
                </c:pt>
                <c:pt idx="16">
                  <c:v>0.00808284074214699</c:v>
                </c:pt>
                <c:pt idx="17">
                  <c:v>0.00657167496968372</c:v>
                </c:pt>
                <c:pt idx="18">
                  <c:v>0.00537127466196873</c:v>
                </c:pt>
                <c:pt idx="19">
                  <c:v>0.00441773840597119</c:v>
                </c:pt>
                <c:pt idx="20">
                  <c:v>0.00366030223992194</c:v>
                </c:pt>
              </c:numCache>
            </c:numRef>
          </c:val>
          <c:smooth val="0"/>
        </c:ser>
        <c:ser>
          <c:idx val="3"/>
          <c:order val="3"/>
          <c:tx>
            <c:strRef>
              <c:f>'[Synchronized scenarios Co-existence simulation results data_Ericsson_ZTE_CMCC_QC_HW_CATT.xlsx]Scn2 4GHz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UL(V)'!$AJ$33:$AJ$53</c:f>
              <c:numCache>
                <c:formatCode>General</c:formatCode>
                <c:ptCount val="21"/>
                <c:pt idx="0">
                  <c:v>0.00529682725427527</c:v>
                </c:pt>
                <c:pt idx="1">
                  <c:v>0.00432441765085279</c:v>
                </c:pt>
                <c:pt idx="2">
                  <c:v>0.0033520080474303</c:v>
                </c:pt>
                <c:pt idx="3">
                  <c:v>0.0027354961389725</c:v>
                </c:pt>
                <c:pt idx="4">
                  <c:v>0.00211898423051471</c:v>
                </c:pt>
                <c:pt idx="5">
                  <c:v>0.00172879169814677</c:v>
                </c:pt>
                <c:pt idx="6">
                  <c:v>0.00133859916577883</c:v>
                </c:pt>
                <c:pt idx="7">
                  <c:v>0.00109192143833425</c:v>
                </c:pt>
                <c:pt idx="8">
                  <c:v>0.000845243710889676</c:v>
                </c:pt>
                <c:pt idx="9">
                  <c:v>0.000689407009818455</c:v>
                </c:pt>
                <c:pt idx="10">
                  <c:v>0.000533570308747233</c:v>
                </c:pt>
                <c:pt idx="11">
                  <c:v>0.000435166594536796</c:v>
                </c:pt>
                <c:pt idx="12">
                  <c:v>0.000336762880326358</c:v>
                </c:pt>
                <c:pt idx="13">
                  <c:v>0.000274643432734978</c:v>
                </c:pt>
                <c:pt idx="14">
                  <c:v>0.000212523985143598</c:v>
                </c:pt>
                <c:pt idx="15">
                  <c:v>0.000173316940532686</c:v>
                </c:pt>
                <c:pt idx="16">
                  <c:v>0.000134109895921775</c:v>
                </c:pt>
                <c:pt idx="17">
                  <c:v>0.000109367011186245</c:v>
                </c:pt>
                <c:pt idx="18">
                  <c:v>8.46241264507164e-5</c:v>
                </c:pt>
                <c:pt idx="19">
                  <c:v>6.90104651035473e-5</c:v>
                </c:pt>
                <c:pt idx="20">
                  <c:v>5.33968037563781e-5</c:v>
                </c:pt>
              </c:numCache>
            </c:numRef>
          </c:val>
          <c:smooth val="0"/>
        </c:ser>
        <c:ser>
          <c:idx val="4"/>
          <c:order val="4"/>
          <c:tx>
            <c:strRef>
              <c:f>'[Synchronized scenarios Co-existence simulation results data_Ericsson_ZTE_CMCC_QC_HW_CATT.xlsx]Scn2 4GHz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UL(V)'!$AK$33:$AK$53</c:f>
              <c:numCache>
                <c:formatCode>General</c:formatCode>
                <c:ptCount val="21"/>
                <c:pt idx="0">
                  <c:v>0.00268</c:v>
                </c:pt>
                <c:pt idx="1">
                  <c:v>0.00165</c:v>
                </c:pt>
                <c:pt idx="2">
                  <c:v>0.00125</c:v>
                </c:pt>
                <c:pt idx="3">
                  <c:v>0.00089</c:v>
                </c:pt>
                <c:pt idx="4">
                  <c:v>0.00052046</c:v>
                </c:pt>
                <c:pt idx="5">
                  <c:v>0</c:v>
                </c:pt>
                <c:pt idx="6">
                  <c:v>0</c:v>
                </c:pt>
                <c:pt idx="7">
                  <c:v>0</c:v>
                </c:pt>
                <c:pt idx="8">
                  <c:v>0</c:v>
                </c:pt>
                <c:pt idx="9">
                  <c:v>0</c:v>
                </c:pt>
                <c:pt idx="10">
                  <c:v>0</c:v>
                </c:pt>
              </c:numCache>
            </c:numRef>
          </c:val>
          <c:smooth val="0"/>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data_Ericsson_ZTE_CMCC_QC_HW_CATT.xlsx]Scn2 4GHz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UL(V)'!$AH$33:$AH$53</c15:sqref>
                        </c15:formulaRef>
                      </c:ext>
                    </c:extLst>
                    <c:numCache>
                      <c:formatCode>General</c:formatCode>
                      <c:ptCount val="21"/>
                    </c:numCache>
                  </c:numRef>
                </c:val>
                <c:smooth val="0"/>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UL(V)'!$AV$33:$AV$53</c:f>
              <c:numCache>
                <c:formatCode>General</c:formatCode>
                <c:ptCount val="21"/>
                <c:pt idx="0">
                  <c:v>0.0459832707098373</c:v>
                </c:pt>
                <c:pt idx="1">
                  <c:v>0.0366057025958377</c:v>
                </c:pt>
                <c:pt idx="2">
                  <c:v>0.029136369682603</c:v>
                </c:pt>
                <c:pt idx="3">
                  <c:v>0.0231902527078498</c:v>
                </c:pt>
                <c:pt idx="4">
                  <c:v>0.018458820448386</c:v>
                </c:pt>
                <c:pt idx="5">
                  <c:v>0.0146952699571323</c:v>
                </c:pt>
                <c:pt idx="6">
                  <c:v>0.0117024558932255</c:v>
                </c:pt>
                <c:pt idx="7">
                  <c:v>0.00932307792980147</c:v>
                </c:pt>
                <c:pt idx="8">
                  <c:v>0.0074317416576597</c:v>
                </c:pt>
                <c:pt idx="9">
                  <c:v>0.00592855950377613</c:v>
                </c:pt>
                <c:pt idx="10">
                  <c:v>0.00473400839651195</c:v>
                </c:pt>
                <c:pt idx="11">
                  <c:v>0.00378480720556462</c:v>
                </c:pt>
                <c:pt idx="12">
                  <c:v>0.00303061798549997</c:v>
                </c:pt>
                <c:pt idx="13">
                  <c:v>0.00243141037679084</c:v>
                </c:pt>
                <c:pt idx="14">
                  <c:v>0.00195535836772232</c:v>
                </c:pt>
                <c:pt idx="15">
                  <c:v>0.0015771634807038</c:v>
                </c:pt>
                <c:pt idx="16">
                  <c:v>0.00127671893792591</c:v>
                </c:pt>
                <c:pt idx="17">
                  <c:v>0.00103804610603886</c:v>
                </c:pt>
                <c:pt idx="18">
                  <c:v>0.000848448126455903</c:v>
                </c:pt>
                <c:pt idx="19">
                  <c:v>0.000697836634921956</c:v>
                </c:pt>
                <c:pt idx="20">
                  <c:v>0.000578196334022341</c:v>
                </c:pt>
              </c:numCache>
            </c:numRef>
          </c:val>
          <c:smooth val="0"/>
        </c:ser>
        <c:ser>
          <c:idx val="2"/>
          <c:order val="2"/>
          <c:tx>
            <c:strRef>
              <c:f>'[Synchronized scenarios Co-existence simulation results data_Ericsson_ZTE_CMCC_QC_HW_CATT.xlsx]Scn2 4GHz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UL(V)'!$AX$33:$AX$53</c:f>
              <c:numCache>
                <c:formatCode>General</c:formatCode>
                <c:ptCount val="21"/>
                <c:pt idx="0">
                  <c:v>0.0536409205769596</c:v>
                </c:pt>
                <c:pt idx="1">
                  <c:v>0.0426592456482422</c:v>
                </c:pt>
                <c:pt idx="2">
                  <c:v>0.0339277127125543</c:v>
                </c:pt>
                <c:pt idx="3">
                  <c:v>0.0269866493909408</c:v>
                </c:pt>
                <c:pt idx="4">
                  <c:v>0.0214697794336768</c:v>
                </c:pt>
                <c:pt idx="5">
                  <c:v>0.0170854338847917</c:v>
                </c:pt>
                <c:pt idx="6">
                  <c:v>0.0136014728458963</c:v>
                </c:pt>
                <c:pt idx="7">
                  <c:v>0.0108332107600584</c:v>
                </c:pt>
                <c:pt idx="8">
                  <c:v>0.00863376318589526</c:v>
                </c:pt>
                <c:pt idx="9">
                  <c:v>0.00688633972297295</c:v>
                </c:pt>
                <c:pt idx="10">
                  <c:v>0.00549809722044884</c:v>
                </c:pt>
                <c:pt idx="11">
                  <c:v>0.00439524148976762</c:v>
                </c:pt>
                <c:pt idx="12">
                  <c:v>0.00351912651888895</c:v>
                </c:pt>
                <c:pt idx="13">
                  <c:v>0.00282314968717053</c:v>
                </c:pt>
                <c:pt idx="14">
                  <c:v>0.00227028157867094</c:v>
                </c:pt>
                <c:pt idx="15">
                  <c:v>0.00183110133668004</c:v>
                </c:pt>
                <c:pt idx="16">
                  <c:v>0.00148223450760584</c:v>
                </c:pt>
                <c:pt idx="17">
                  <c:v>0.00120511117693158</c:v>
                </c:pt>
                <c:pt idx="18">
                  <c:v>0.000984978890685857</c:v>
                </c:pt>
                <c:pt idx="19">
                  <c:v>0.000810118192889402</c:v>
                </c:pt>
                <c:pt idx="20">
                  <c:v>0.00067121925343765</c:v>
                </c:pt>
              </c:numCache>
            </c:numRef>
          </c:val>
          <c:smooth val="0"/>
        </c:ser>
        <c:ser>
          <c:idx val="3"/>
          <c:order val="3"/>
          <c:tx>
            <c:strRef>
              <c:f>'[Synchronized scenarios Co-existence simulation results data_Ericsson_ZTE_CMCC_QC_HW_CATT.xlsx]Scn2 4GHz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UL(V)'!$AY$33:$AY$53</c:f>
              <c:numCache>
                <c:formatCode>General</c:formatCode>
                <c:ptCount val="21"/>
                <c:pt idx="0">
                  <c:v>0.0010036172052752</c:v>
                </c:pt>
                <c:pt idx="1">
                  <c:v>0.000818484350467719</c:v>
                </c:pt>
                <c:pt idx="2">
                  <c:v>0.000633351495660239</c:v>
                </c:pt>
                <c:pt idx="3">
                  <c:v>0.000516506920295035</c:v>
                </c:pt>
                <c:pt idx="4">
                  <c:v>0.00039966234492983</c:v>
                </c:pt>
                <c:pt idx="5">
                  <c:v>0.000325924994587501</c:v>
                </c:pt>
                <c:pt idx="6">
                  <c:v>0.000252187644245172</c:v>
                </c:pt>
                <c:pt idx="7">
                  <c:v>0.000205657180180063</c:v>
                </c:pt>
                <c:pt idx="8">
                  <c:v>0.000159126716114955</c:v>
                </c:pt>
                <c:pt idx="9">
                  <c:v>0.000129765850753749</c:v>
                </c:pt>
                <c:pt idx="10">
                  <c:v>0.000100404985392544</c:v>
                </c:pt>
                <c:pt idx="11">
                  <c:v>8.18786845990793e-5</c:v>
                </c:pt>
                <c:pt idx="12">
                  <c:v>6.33523838056149e-5</c:v>
                </c:pt>
                <c:pt idx="13">
                  <c:v>5.16627409963277e-5</c:v>
                </c:pt>
                <c:pt idx="14">
                  <c:v>3.99730981870405e-5</c:v>
                </c:pt>
                <c:pt idx="15">
                  <c:v>3.25972978942879e-5</c:v>
                </c:pt>
                <c:pt idx="16">
                  <c:v>2.52214976015352e-5</c:v>
                </c:pt>
                <c:pt idx="17">
                  <c:v>2.05676287057255e-5</c:v>
                </c:pt>
                <c:pt idx="18">
                  <c:v>1.59137598099157e-5</c:v>
                </c:pt>
                <c:pt idx="19">
                  <c:v>1.29773458534821e-5</c:v>
                </c:pt>
                <c:pt idx="20">
                  <c:v>1.00409318970485e-5</c:v>
                </c:pt>
              </c:numCache>
            </c:numRef>
          </c:val>
          <c:smooth val="0"/>
        </c:ser>
        <c:ser>
          <c:idx val="4"/>
          <c:order val="4"/>
          <c:tx>
            <c:strRef>
              <c:f>'[Synchronized scenarios Co-existence simulation results data_Ericsson_ZTE_CMCC_QC_HW_CATT.xlsx]Scn2 4GHz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UL(V)'!$AZ$33:$AZ$53</c:f>
              <c:numCache>
                <c:formatCode>General</c:formatCode>
                <c:ptCount val="21"/>
                <c:pt idx="0">
                  <c:v>0.000269486</c:v>
                </c:pt>
                <c:pt idx="1">
                  <c:v>0.000178965</c:v>
                </c:pt>
                <c:pt idx="2">
                  <c:v>0.000129687</c:v>
                </c:pt>
                <c:pt idx="3">
                  <c:v>5.9687e-5</c:v>
                </c:pt>
                <c:pt idx="4">
                  <c:v>5.0763e-5</c:v>
                </c:pt>
                <c:pt idx="5">
                  <c:v>0</c:v>
                </c:pt>
                <c:pt idx="6">
                  <c:v>0</c:v>
                </c:pt>
                <c:pt idx="7">
                  <c:v>0</c:v>
                </c:pt>
                <c:pt idx="8">
                  <c:v>0</c:v>
                </c:pt>
                <c:pt idx="9">
                  <c:v>0</c:v>
                </c:pt>
                <c:pt idx="10">
                  <c:v>0</c:v>
                </c:pt>
              </c:numCache>
            </c:numRef>
          </c:val>
          <c:smooth val="0"/>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data_Ericsson_ZTE_CMCC_QC_HW_CATT.xlsx]Scn2 4GHz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UL(V)'!$AW$33:$AW$53</c15:sqref>
                        </c15:formulaRef>
                      </c:ext>
                    </c:extLst>
                    <c:numCache>
                      <c:formatCode>General</c:formatCode>
                      <c:ptCount val="21"/>
                    </c:numCache>
                  </c:numRef>
                </c:val>
                <c:smooth val="0"/>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UL(V)'!$B$94:$B$114</c:f>
              <c:numCache>
                <c:formatCode>General</c:formatCode>
                <c:ptCount val="21"/>
                <c:pt idx="0">
                  <c:v>1.49265785287511e-6</c:v>
                </c:pt>
                <c:pt idx="1">
                  <c:v>1.18642937696478e-6</c:v>
                </c:pt>
                <c:pt idx="2">
                  <c:v>9.43183708912443e-7</c:v>
                </c:pt>
                <c:pt idx="3">
                  <c:v>7.49966611035546e-7</c:v>
                </c:pt>
                <c:pt idx="4">
                  <c:v>5.96488880511004e-7</c:v>
                </c:pt>
                <c:pt idx="5">
                  <c:v>4.74577122044906e-7</c:v>
                </c:pt>
                <c:pt idx="6">
                  <c:v>3.77739228785146e-7</c:v>
                </c:pt>
                <c:pt idx="7">
                  <c:v>3.00818125964497e-7</c:v>
                </c:pt>
                <c:pt idx="8">
                  <c:v>2.39717579120224e-7</c:v>
                </c:pt>
                <c:pt idx="9">
                  <c:v>1.91183613384993e-7</c:v>
                </c:pt>
                <c:pt idx="10">
                  <c:v>1.5263180719316e-7</c:v>
                </c:pt>
                <c:pt idx="11">
                  <c:v>1.22008880776292e-7</c:v>
                </c:pt>
                <c:pt idx="12">
                  <c:v>9.76844050093462e-8</c:v>
                </c:pt>
                <c:pt idx="13">
                  <c:v>7.8362671906973e-8</c:v>
                </c:pt>
                <c:pt idx="14">
                  <c:v>6.30148822011734e-8</c:v>
                </c:pt>
                <c:pt idx="15">
                  <c:v>5.0823678598988e-8</c:v>
                </c:pt>
                <c:pt idx="16">
                  <c:v>4.1139847084537e-8</c:v>
                </c:pt>
                <c:pt idx="17">
                  <c:v>3.34478000851846e-8</c:v>
                </c:pt>
                <c:pt idx="18">
                  <c:v>2.73376765669298e-8</c:v>
                </c:pt>
                <c:pt idx="19">
                  <c:v>2.24843810237019e-8</c:v>
                </c:pt>
                <c:pt idx="20">
                  <c:v>1.8629131570691e-8</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15424102347551"/>
              <c:y val="0.28342635263866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UL(V)'!$Q$94:$Q$114</c:f>
              <c:numCache>
                <c:formatCode>General</c:formatCode>
                <c:ptCount val="21"/>
                <c:pt idx="0">
                  <c:v>0.0035413643553972</c:v>
                </c:pt>
                <c:pt idx="1">
                  <c:v>0.00281973225613186</c:v>
                </c:pt>
                <c:pt idx="2">
                  <c:v>0.0022447389107727</c:v>
                </c:pt>
                <c:pt idx="3">
                  <c:v>0.00178687091848539</c:v>
                </c:pt>
                <c:pt idx="4">
                  <c:v>0.00142245195345891</c:v>
                </c:pt>
                <c:pt idx="5">
                  <c:v>0.00113252558232579</c:v>
                </c:pt>
                <c:pt idx="6">
                  <c:v>0.000901938385744483</c:v>
                </c:pt>
                <c:pt idx="7">
                  <c:v>0.000718592441140142</c:v>
                </c:pt>
                <c:pt idx="8">
                  <c:v>0.000572839097845446</c:v>
                </c:pt>
                <c:pt idx="9">
                  <c:v>0.000456989419617138</c:v>
                </c:pt>
                <c:pt idx="10">
                  <c:v>0.000364920164608318</c:v>
                </c:pt>
                <c:pt idx="11">
                  <c:v>0.000291757515735736</c:v>
                </c:pt>
                <c:pt idx="12">
                  <c:v>0.000233623758538748</c:v>
                </c:pt>
                <c:pt idx="13">
                  <c:v>0.000187434726439673</c:v>
                </c:pt>
                <c:pt idx="14">
                  <c:v>0.000150738056303723</c:v>
                </c:pt>
                <c:pt idx="15">
                  <c:v>0.000121584171364209</c:v>
                </c:pt>
                <c:pt idx="16">
                  <c:v>9.84234607370738e-5</c:v>
                </c:pt>
                <c:pt idx="17">
                  <c:v>8.00243882159712e-5</c:v>
                </c:pt>
                <c:pt idx="18">
                  <c:v>6.5408307492465e-5</c:v>
                </c:pt>
                <c:pt idx="19">
                  <c:v>5.37975987535688e-5</c:v>
                </c:pt>
                <c:pt idx="20">
                  <c:v>4.45744153587668e-5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UL(V)'!$AG$94:$AG$114</c:f>
              <c:numCache>
                <c:formatCode>General</c:formatCode>
                <c:ptCount val="21"/>
                <c:pt idx="0">
                  <c:v>0.462770152540548</c:v>
                </c:pt>
                <c:pt idx="1">
                  <c:v>0.36818056109762</c:v>
                </c:pt>
                <c:pt idx="2">
                  <c:v>0.292916748664784</c:v>
                </c:pt>
                <c:pt idx="3">
                  <c:v>0.233051229312087</c:v>
                </c:pt>
                <c:pt idx="4">
                  <c:v>0.18544693508209</c:v>
                </c:pt>
                <c:pt idx="5">
                  <c:v>0.147601007448006</c:v>
                </c:pt>
                <c:pt idx="6">
                  <c:v>0.117518393197857</c:v>
                </c:pt>
                <c:pt idx="7">
                  <c:v>0.093609960704133</c:v>
                </c:pt>
                <c:pt idx="8">
                  <c:v>0.0746106328480045</c:v>
                </c:pt>
                <c:pt idx="9">
                  <c:v>0.0595137629636477</c:v>
                </c:pt>
                <c:pt idx="10">
                  <c:v>0.0475186310811448</c:v>
                </c:pt>
                <c:pt idx="11">
                  <c:v>0.0379885002830926</c:v>
                </c:pt>
                <c:pt idx="12">
                  <c:v>0.0304171488730742</c:v>
                </c:pt>
                <c:pt idx="13">
                  <c:v>0.0244021905932423</c:v>
                </c:pt>
                <c:pt idx="14">
                  <c:v>0.0196238218699407</c:v>
                </c:pt>
                <c:pt idx="15">
                  <c:v>0.0158279020890384</c:v>
                </c:pt>
                <c:pt idx="16">
                  <c:v>0.0128124897431303</c:v>
                </c:pt>
                <c:pt idx="17">
                  <c:v>0.0104171325332025</c:v>
                </c:pt>
                <c:pt idx="18">
                  <c:v>0.00851435061076655</c:v>
                </c:pt>
                <c:pt idx="19">
                  <c:v>0.0070028654268639</c:v>
                </c:pt>
                <c:pt idx="20">
                  <c:v>0.00580221739743259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endParaRPr lang="en-US"/>
          </a:p>
        </c:rich>
      </c:tx>
      <c:layout>
        <c:manualLayout>
          <c:xMode val="edge"/>
          <c:yMode val="edge"/>
          <c:x val="0.135015842143238"/>
          <c:y val="0.0298507462686567"/>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UL(V)'!$AV$94:$AV$114</c:f>
              <c:numCache>
                <c:formatCode>General</c:formatCode>
                <c:ptCount val="21"/>
                <c:pt idx="0">
                  <c:v>0.0459832707098373</c:v>
                </c:pt>
                <c:pt idx="1">
                  <c:v>0.0366057025958377</c:v>
                </c:pt>
                <c:pt idx="2">
                  <c:v>0.029136369682603</c:v>
                </c:pt>
                <c:pt idx="3">
                  <c:v>0.0231902527078498</c:v>
                </c:pt>
                <c:pt idx="4">
                  <c:v>0.018458820448386</c:v>
                </c:pt>
                <c:pt idx="5">
                  <c:v>0.0146952699571323</c:v>
                </c:pt>
                <c:pt idx="6">
                  <c:v>0.0117024558932255</c:v>
                </c:pt>
                <c:pt idx="7">
                  <c:v>0.00932307792980147</c:v>
                </c:pt>
                <c:pt idx="8">
                  <c:v>0.0074317416576597</c:v>
                </c:pt>
                <c:pt idx="9">
                  <c:v>0.00592855950377613</c:v>
                </c:pt>
                <c:pt idx="10">
                  <c:v>0.00473400839651195</c:v>
                </c:pt>
                <c:pt idx="11">
                  <c:v>0.00378480720556462</c:v>
                </c:pt>
                <c:pt idx="12">
                  <c:v>0.00303061798549997</c:v>
                </c:pt>
                <c:pt idx="13">
                  <c:v>0.00243141037679084</c:v>
                </c:pt>
                <c:pt idx="14">
                  <c:v>0.00195535836772232</c:v>
                </c:pt>
                <c:pt idx="15">
                  <c:v>0.0015771634807038</c:v>
                </c:pt>
                <c:pt idx="16">
                  <c:v>0.00127671893792591</c:v>
                </c:pt>
                <c:pt idx="17">
                  <c:v>0.00103804610603886</c:v>
                </c:pt>
                <c:pt idx="18">
                  <c:v>0.000848448126455903</c:v>
                </c:pt>
                <c:pt idx="19">
                  <c:v>0.000697836634921956</c:v>
                </c:pt>
                <c:pt idx="20">
                  <c:v>0.000578196334022341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UL(V)'!$BK$33:$BK$53</c:f>
              <c:numCache>
                <c:formatCode>General</c:formatCode>
                <c:ptCount val="21"/>
                <c:pt idx="0">
                  <c:v>0.00216252782172521</c:v>
                </c:pt>
                <c:pt idx="1">
                  <c:v>0.00216183887872257</c:v>
                </c:pt>
                <c:pt idx="2">
                  <c:v>0.00216129163177481</c:v>
                </c:pt>
                <c:pt idx="3">
                  <c:v>0.00216085693822699</c:v>
                </c:pt>
                <c:pt idx="4">
                  <c:v>0.00216051164865227</c:v>
                </c:pt>
                <c:pt idx="5">
                  <c:v>0.00216023737545923</c:v>
                </c:pt>
                <c:pt idx="6">
                  <c:v>0.00216001951265365</c:v>
                </c:pt>
                <c:pt idx="7">
                  <c:v>0.00215984645798306</c:v>
                </c:pt>
                <c:pt idx="8">
                  <c:v>0.00215970899576368</c:v>
                </c:pt>
                <c:pt idx="9">
                  <c:v>0.00215959980564007</c:v>
                </c:pt>
                <c:pt idx="10">
                  <c:v>0.00215951307285245</c:v>
                </c:pt>
                <c:pt idx="11">
                  <c:v>0.00215944417859548</c:v>
                </c:pt>
                <c:pt idx="12">
                  <c:v>0.00215938945383742</c:v>
                </c:pt>
                <c:pt idx="13">
                  <c:v>0.00215934598454259</c:v>
                </c:pt>
                <c:pt idx="14">
                  <c:v>0.00215931145555182</c:v>
                </c:pt>
                <c:pt idx="15">
                  <c:v>0.00215928402824694</c:v>
                </c:pt>
                <c:pt idx="16">
                  <c:v>0.00215926224200746</c:v>
                </c:pt>
                <c:pt idx="17">
                  <c:v>0.00215924493647268</c:v>
                </c:pt>
                <c:pt idx="18">
                  <c:v>0.0021592311902241</c:v>
                </c:pt>
                <c:pt idx="19">
                  <c:v>0.00215922027123616</c:v>
                </c:pt>
                <c:pt idx="20">
                  <c:v>0.00202003504021775</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UL(V)'!$BZ$33:$BZ$53</c:f>
              <c:numCache>
                <c:formatCode>General</c:formatCode>
                <c:ptCount val="21"/>
                <c:pt idx="0">
                  <c:v>0.00555505439510107</c:v>
                </c:pt>
                <c:pt idx="1">
                  <c:v>0.0044553219743726</c:v>
                </c:pt>
                <c:pt idx="2">
                  <c:v>0.00357620027247041</c:v>
                </c:pt>
                <c:pt idx="3">
                  <c:v>0.00287427587045697</c:v>
                </c:pt>
                <c:pt idx="4">
                  <c:v>0.00231438627703584</c:v>
                </c:pt>
                <c:pt idx="5">
                  <c:v>0.00175092552450185</c:v>
                </c:pt>
                <c:pt idx="6">
                  <c:v>0.00139534617089598</c:v>
                </c:pt>
                <c:pt idx="7">
                  <c:v>0.00111228656106688</c:v>
                </c:pt>
                <c:pt idx="8">
                  <c:v>0.00088705385258292</c:v>
                </c:pt>
                <c:pt idx="9">
                  <c:v>0.000707896859641899</c:v>
                </c:pt>
                <c:pt idx="10">
                  <c:v>0.000565429757792835</c:v>
                </c:pt>
                <c:pt idx="11">
                  <c:v>0.00045216415057725</c:v>
                </c:pt>
                <c:pt idx="12">
                  <c:v>0.000362130754671952</c:v>
                </c:pt>
                <c:pt idx="13">
                  <c:v>0.000290574602213045</c:v>
                </c:pt>
                <c:pt idx="14">
                  <c:v>0.00023371017384699</c:v>
                </c:pt>
                <c:pt idx="15">
                  <c:v>0.000188525121891381</c:v>
                </c:pt>
                <c:pt idx="16">
                  <c:v>0.000152623228288906</c:v>
                </c:pt>
                <c:pt idx="17">
                  <c:v>0.000124098940124107</c:v>
                </c:pt>
                <c:pt idx="18">
                  <c:v>0.000101437249755421</c:v>
                </c:pt>
                <c:pt idx="19">
                  <c:v>8.3433876707506e-5</c:v>
                </c:pt>
                <c:pt idx="20">
                  <c:v>6.91316772605255e-5</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UL(V)'!$CO$33:$CO$53</c:f>
              <c:numCache>
                <c:formatCode>General</c:formatCode>
                <c:ptCount val="21"/>
                <c:pt idx="0">
                  <c:v>0.390969755621873</c:v>
                </c:pt>
                <c:pt idx="1">
                  <c:v>0.242380354405192</c:v>
                </c:pt>
                <c:pt idx="2">
                  <c:v>0.192782718303275</c:v>
                </c:pt>
                <c:pt idx="3">
                  <c:v>0.15335067689719</c:v>
                </c:pt>
                <c:pt idx="4">
                  <c:v>0.122006432005861</c:v>
                </c:pt>
                <c:pt idx="5">
                  <c:v>0.0970947539934763</c:v>
                </c:pt>
                <c:pt idx="6">
                  <c:v>0.0772978271687652</c:v>
                </c:pt>
                <c:pt idx="7">
                  <c:v>0.061566964436377</c:v>
                </c:pt>
                <c:pt idx="8">
                  <c:v>0.0490679579170705</c:v>
                </c:pt>
                <c:pt idx="9">
                  <c:v>0.0391374108899667</c:v>
                </c:pt>
                <c:pt idx="10">
                  <c:v>0.031247887489716</c:v>
                </c:pt>
                <c:pt idx="11">
                  <c:v>0.0249801267382388</c:v>
                </c:pt>
                <c:pt idx="12">
                  <c:v>0.0200009060248085</c:v>
                </c:pt>
                <c:pt idx="13">
                  <c:v>0.0160454161642565</c:v>
                </c:pt>
                <c:pt idx="14">
                  <c:v>0.0129032353352598</c:v>
                </c:pt>
                <c:pt idx="15">
                  <c:v>0.0104071713196374</c:v>
                </c:pt>
                <c:pt idx="16">
                  <c:v>0.0084243881838697</c:v>
                </c:pt>
                <c:pt idx="17">
                  <c:v>0.00684935138922649</c:v>
                </c:pt>
                <c:pt idx="18">
                  <c:v>0.00559821975214536</c:v>
                </c:pt>
                <c:pt idx="19">
                  <c:v>0.00460438820515385</c:v>
                </c:pt>
                <c:pt idx="20">
                  <c:v>0.0038149456369041</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DL(V)'!$Q$33:$Q$53</c:f>
              <c:numCache>
                <c:formatCode>General</c:formatCode>
                <c:ptCount val="21"/>
                <c:pt idx="0">
                  <c:v>0.014339934963159</c:v>
                </c:pt>
                <c:pt idx="1">
                  <c:v>0.0135391873917312</c:v>
                </c:pt>
                <c:pt idx="2">
                  <c:v>0.0128866540036188</c:v>
                </c:pt>
                <c:pt idx="3">
                  <c:v>0.0123471091627358</c:v>
                </c:pt>
                <c:pt idx="4">
                  <c:v>0.0119082690014261</c:v>
                </c:pt>
                <c:pt idx="5">
                  <c:v>0.0115636216665438</c:v>
                </c:pt>
                <c:pt idx="6">
                  <c:v>0.011276745441724</c:v>
                </c:pt>
                <c:pt idx="7">
                  <c:v>0.0110458543365111</c:v>
                </c:pt>
                <c:pt idx="8">
                  <c:v>0.0108604797691481</c:v>
                </c:pt>
                <c:pt idx="9">
                  <c:v>0.0107119520366128</c:v>
                </c:pt>
                <c:pt idx="10">
                  <c:v>0.0105931462697884</c:v>
                </c:pt>
                <c:pt idx="11">
                  <c:v>0.01049824461824</c:v>
                </c:pt>
                <c:pt idx="12">
                  <c:v>0.0104225215899589</c:v>
                </c:pt>
                <c:pt idx="13">
                  <c:v>0.0103621555784028</c:v>
                </c:pt>
                <c:pt idx="14">
                  <c:v>0.0103140668774371</c:v>
                </c:pt>
                <c:pt idx="15">
                  <c:v>0.010275780753044</c:v>
                </c:pt>
              </c:numCache>
            </c:numRef>
          </c:val>
          <c:smooth val="0"/>
        </c:ser>
        <c:ser>
          <c:idx val="1"/>
          <c:order val="1"/>
          <c:tx>
            <c:strRef>
              <c:f>'[Synchronized scenarios Co-existence simulation results data_Ericsson_ZTE_CMCC_QC_HW_CATT.xlsx]Scn1 4GHz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DL(V)'!$R$33:$R$53</c:f>
              <c:numCache>
                <c:formatCode>General</c:formatCode>
                <c:ptCount val="21"/>
                <c:pt idx="0">
                  <c:v>0.0166949928391724</c:v>
                </c:pt>
                <c:pt idx="1">
                  <c:v>0.015928160872114</c:v>
                </c:pt>
                <c:pt idx="2">
                  <c:v>0.0152942657009492</c:v>
                </c:pt>
                <c:pt idx="3">
                  <c:v>0.0147733613869994</c:v>
                </c:pt>
                <c:pt idx="4">
                  <c:v>0.0143475933336412</c:v>
                </c:pt>
                <c:pt idx="5">
                  <c:v>0.0140019395074908</c:v>
                </c:pt>
                <c:pt idx="6">
                  <c:v>0.0137236258178741</c:v>
                </c:pt>
                <c:pt idx="7">
                  <c:v>0.0134989301249999</c:v>
                </c:pt>
                <c:pt idx="8">
                  <c:v>0.0133180628132834</c:v>
                </c:pt>
                <c:pt idx="9">
                  <c:v>0.0131728369498818</c:v>
                </c:pt>
                <c:pt idx="10">
                  <c:v>0.0130564690848267</c:v>
                </c:pt>
                <c:pt idx="11">
                  <c:v>0.0129633823996445</c:v>
                </c:pt>
                <c:pt idx="12">
                  <c:v>0.012889021812279</c:v>
                </c:pt>
                <c:pt idx="13">
                  <c:v>0.0128296867012656</c:v>
                </c:pt>
                <c:pt idx="14">
                  <c:v>0.0127823838044883</c:v>
                </c:pt>
                <c:pt idx="15">
                  <c:v>0.0127447006500359</c:v>
                </c:pt>
              </c:numCache>
            </c:numRef>
          </c:val>
          <c:smooth val="0"/>
        </c:ser>
        <c:ser>
          <c:idx val="2"/>
          <c:order val="2"/>
          <c:tx>
            <c:strRef>
              <c:f>'[Synchronized scenarios Co-existence simulation results data_Ericsson_ZTE_CMCC_QC_HW_CATT.xlsx]Scn1 4GHz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DL(V)'!$S$33:$S$53</c:f>
              <c:numCache>
                <c:formatCode>General</c:formatCode>
                <c:ptCount val="21"/>
                <c:pt idx="0">
                  <c:v>0.0235363680119912</c:v>
                </c:pt>
                <c:pt idx="1">
                  <c:v>0.0221281552029403</c:v>
                </c:pt>
                <c:pt idx="2">
                  <c:v>0.0209750833780487</c:v>
                </c:pt>
                <c:pt idx="3">
                  <c:v>0.0200356898722413</c:v>
                </c:pt>
                <c:pt idx="4">
                  <c:v>0.0192737251805214</c:v>
                </c:pt>
                <c:pt idx="5">
                  <c:v>0.0186579868611864</c:v>
                </c:pt>
                <c:pt idx="6">
                  <c:v>0.0181619815083915</c:v>
                </c:pt>
                <c:pt idx="7">
                  <c:v>0.0177634775588663</c:v>
                </c:pt>
                <c:pt idx="8">
                  <c:v>0.0174440053016931</c:v>
                </c:pt>
                <c:pt idx="9">
                  <c:v>0.0171883483373916</c:v>
                </c:pt>
                <c:pt idx="10">
                  <c:v>0.0169840573240088</c:v>
                </c:pt>
                <c:pt idx="11">
                  <c:v>0.0168210048262452</c:v>
                </c:pt>
                <c:pt idx="12">
                  <c:v>0.0166909906200524</c:v>
                </c:pt>
                <c:pt idx="13">
                  <c:v>0.016587400075814</c:v>
                </c:pt>
                <c:pt idx="14">
                  <c:v>0.016504913900964</c:v>
                </c:pt>
                <c:pt idx="15">
                  <c:v>0.0164392650298126</c:v>
                </c:pt>
                <c:pt idx="16">
                  <c:v>0.016387037266735</c:v>
                </c:pt>
                <c:pt idx="17">
                  <c:v>0.0163454999676239</c:v>
                </c:pt>
                <c:pt idx="18">
                  <c:v>0.0163124732426322</c:v>
                </c:pt>
                <c:pt idx="19">
                  <c:v>0.0162862186416205</c:v>
                </c:pt>
                <c:pt idx="20">
                  <c:v>0.0162653508850979</c:v>
                </c:pt>
              </c:numCache>
            </c:numRef>
          </c:val>
          <c:smooth val="0"/>
        </c:ser>
        <c:ser>
          <c:idx val="3"/>
          <c:order val="3"/>
          <c:tx>
            <c:strRef>
              <c:f>'[Synchronized scenarios Co-existence simulation results data_Ericsson_ZTE_CMCC_QC_HW_CATT.xlsx]Scn1 4GHz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DL(V)'!$T$33:$T$53</c:f>
              <c:numCache>
                <c:formatCode>General</c:formatCode>
                <c:ptCount val="21"/>
                <c:pt idx="0">
                  <c:v>0.531126820638372</c:v>
                </c:pt>
                <c:pt idx="1">
                  <c:v>0.443917811020278</c:v>
                </c:pt>
                <c:pt idx="2">
                  <c:v>0.379173619723366</c:v>
                </c:pt>
                <c:pt idx="3">
                  <c:v>0.314429428426455</c:v>
                </c:pt>
                <c:pt idx="4">
                  <c:v>0.256010153587916</c:v>
                </c:pt>
                <c:pt idx="5">
                  <c:v>0.197590878749376</c:v>
                </c:pt>
                <c:pt idx="6">
                  <c:v>0.166824981321539</c:v>
                </c:pt>
                <c:pt idx="7">
                  <c:v>0.136059083893703</c:v>
                </c:pt>
                <c:pt idx="8">
                  <c:v>0.11414245540432</c:v>
                </c:pt>
                <c:pt idx="9">
                  <c:v>0.0922258269149379</c:v>
                </c:pt>
                <c:pt idx="10">
                  <c:v>0.080895278280313</c:v>
                </c:pt>
                <c:pt idx="11">
                  <c:v>0.0695647296456881</c:v>
                </c:pt>
                <c:pt idx="12">
                  <c:v>0.057965873070509</c:v>
                </c:pt>
                <c:pt idx="13">
                  <c:v>0.04636701649533</c:v>
                </c:pt>
                <c:pt idx="14">
                  <c:v>0.0385020165876437</c:v>
                </c:pt>
                <c:pt idx="15">
                  <c:v>0.0306370166799574</c:v>
                </c:pt>
              </c:numCache>
            </c:numRef>
          </c:val>
          <c:smooth val="0"/>
        </c:ser>
        <c:ser>
          <c:idx val="4"/>
          <c:order val="4"/>
          <c:tx>
            <c:strRef>
              <c:f>'[Synchronized scenarios Co-existence simulation results data_Ericsson_ZTE_CMCC_QC_HW_CATT.xlsx]Scn1 4GHz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DL(V)'!$U$33:$U$53</c:f>
              <c:numCache>
                <c:formatCode>General</c:formatCode>
                <c:ptCount val="21"/>
                <c:pt idx="0">
                  <c:v>0.082739</c:v>
                </c:pt>
                <c:pt idx="1">
                  <c:v>0.077104</c:v>
                </c:pt>
                <c:pt idx="2">
                  <c:v>0.07586</c:v>
                </c:pt>
                <c:pt idx="3">
                  <c:v>0.07156</c:v>
                </c:pt>
                <c:pt idx="4">
                  <c:v>0.06765</c:v>
                </c:pt>
                <c:pt idx="5">
                  <c:v>0.06271</c:v>
                </c:pt>
                <c:pt idx="6">
                  <c:v>0.05946</c:v>
                </c:pt>
                <c:pt idx="7">
                  <c:v>0.05672</c:v>
                </c:pt>
                <c:pt idx="8">
                  <c:v>0.03568</c:v>
                </c:pt>
                <c:pt idx="9">
                  <c:v>0.01759</c:v>
                </c:pt>
                <c:pt idx="10">
                  <c:v>0</c:v>
                </c:pt>
              </c:numCache>
            </c:numRef>
          </c:val>
          <c:smooth val="0"/>
        </c:ser>
        <c:ser>
          <c:idx val="5"/>
          <c:order val="5"/>
          <c:tx>
            <c:strRef>
              <c:f>'[Synchronized scenarios Co-existence simulation results data_Ericsson_ZTE_CMCC_QC_HW_CATT.xlsx]Scn1 4GHz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DL(V)'!$V$33:$V$53</c:f>
              <c:numCache>
                <c:formatCode>General</c:formatCode>
                <c:ptCount val="21"/>
                <c:pt idx="0">
                  <c:v>0.02602135</c:v>
                </c:pt>
                <c:pt idx="1">
                  <c:v>0.02456985</c:v>
                </c:pt>
                <c:pt idx="2">
                  <c:v>0.02339195</c:v>
                </c:pt>
                <c:pt idx="3">
                  <c:v>0.0224392</c:v>
                </c:pt>
                <c:pt idx="4">
                  <c:v>0.02167075</c:v>
                </c:pt>
                <c:pt idx="5">
                  <c:v>0.02105255</c:v>
                </c:pt>
                <c:pt idx="6">
                  <c:v>0.0205563</c:v>
                </c:pt>
                <c:pt idx="7">
                  <c:v>0.02015865</c:v>
                </c:pt>
                <c:pt idx="8">
                  <c:v>0.0198406</c:v>
                </c:pt>
                <c:pt idx="9">
                  <c:v>0.0195865</c:v>
                </c:pt>
                <c:pt idx="10">
                  <c:v>0.0193837</c:v>
                </c:pt>
                <c:pt idx="11">
                  <c:v>0.019222</c:v>
                </c:pt>
                <c:pt idx="12">
                  <c:v>0.0190932</c:v>
                </c:pt>
                <c:pt idx="13">
                  <c:v>0.01899065</c:v>
                </c:pt>
                <c:pt idx="14">
                  <c:v>0.018909</c:v>
                </c:pt>
                <c:pt idx="15">
                  <c:v>0.01884405</c:v>
                </c:pt>
                <c:pt idx="16">
                  <c:v>0.0187924</c:v>
                </c:pt>
                <c:pt idx="17">
                  <c:v>0.01875135</c:v>
                </c:pt>
                <c:pt idx="18">
                  <c:v>0.0187187</c:v>
                </c:pt>
                <c:pt idx="19">
                  <c:v>0.01869275</c:v>
                </c:pt>
                <c:pt idx="20">
                  <c:v>0.01867215</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UL(V)'!$DD$33:$DD$53</c:f>
              <c:numCache>
                <c:formatCode>General</c:formatCode>
                <c:ptCount val="21"/>
                <c:pt idx="0">
                  <c:v>0.0555153285149324</c:v>
                </c:pt>
                <c:pt idx="1">
                  <c:v>0.0453767808045513</c:v>
                </c:pt>
                <c:pt idx="2">
                  <c:v>0.0375458967450504</c:v>
                </c:pt>
                <c:pt idx="3">
                  <c:v>0.0312925137143427</c:v>
                </c:pt>
                <c:pt idx="4">
                  <c:v>0.0263040729672981</c:v>
                </c:pt>
                <c:pt idx="5">
                  <c:v>0.0181172226945914</c:v>
                </c:pt>
                <c:pt idx="6">
                  <c:v>0.0144583827398348</c:v>
                </c:pt>
                <c:pt idx="7">
                  <c:v>0.0115384732949808</c:v>
                </c:pt>
                <c:pt idx="8">
                  <c:v>0.00921039106261956</c:v>
                </c:pt>
                <c:pt idx="9">
                  <c:v>0.00735555754090012</c:v>
                </c:pt>
                <c:pt idx="10">
                  <c:v>0.00587865783270303</c:v>
                </c:pt>
                <c:pt idx="11">
                  <c:v>0.00470325380699244</c:v>
                </c:pt>
                <c:pt idx="12">
                  <c:v>0.00376816099137978</c:v>
                </c:pt>
                <c:pt idx="13">
                  <c:v>0.00302447926663341</c:v>
                </c:pt>
                <c:pt idx="14">
                  <c:v>0.00243317452586211</c:v>
                </c:pt>
                <c:pt idx="15">
                  <c:v>0.00196311893806422</c:v>
                </c:pt>
                <c:pt idx="16">
                  <c:v>0.00158950924226131</c:v>
                </c:pt>
                <c:pt idx="17">
                  <c:v>0.00129259427188444</c:v>
                </c:pt>
                <c:pt idx="18">
                  <c:v>0.0010566538960477</c:v>
                </c:pt>
                <c:pt idx="19">
                  <c:v>0.000869181392937346</c:v>
                </c:pt>
                <c:pt idx="20">
                  <c:v>0.000720229801620675</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UL(V)'!$BK$94:$BK$114</c:f>
              <c:numCache>
                <c:formatCode>General</c:formatCode>
                <c:ptCount val="21"/>
                <c:pt idx="0">
                  <c:v>0.00216252782172521</c:v>
                </c:pt>
                <c:pt idx="1">
                  <c:v>0.00216183887872257</c:v>
                </c:pt>
                <c:pt idx="2">
                  <c:v>0.00216129163177481</c:v>
                </c:pt>
                <c:pt idx="3">
                  <c:v>0.00216085693822699</c:v>
                </c:pt>
                <c:pt idx="4">
                  <c:v>0.00216051164865227</c:v>
                </c:pt>
                <c:pt idx="5">
                  <c:v>0.00216023737545923</c:v>
                </c:pt>
                <c:pt idx="6">
                  <c:v>0.00216001951265365</c:v>
                </c:pt>
                <c:pt idx="7">
                  <c:v>0.00215984645798306</c:v>
                </c:pt>
                <c:pt idx="8">
                  <c:v>0.00215970899576368</c:v>
                </c:pt>
                <c:pt idx="9">
                  <c:v>0.00215959980564007</c:v>
                </c:pt>
                <c:pt idx="10">
                  <c:v>0.00215951307285245</c:v>
                </c:pt>
                <c:pt idx="11">
                  <c:v>0.00215944417859548</c:v>
                </c:pt>
                <c:pt idx="12">
                  <c:v>0.00215938945383742</c:v>
                </c:pt>
                <c:pt idx="13">
                  <c:v>0.00215934598454259</c:v>
                </c:pt>
                <c:pt idx="14">
                  <c:v>0.00215931145555182</c:v>
                </c:pt>
                <c:pt idx="15">
                  <c:v>0.00215928402824694</c:v>
                </c:pt>
                <c:pt idx="16">
                  <c:v>0.00215926224200746</c:v>
                </c:pt>
                <c:pt idx="17">
                  <c:v>0.00215924493647268</c:v>
                </c:pt>
                <c:pt idx="18">
                  <c:v>0.0021592311902241</c:v>
                </c:pt>
                <c:pt idx="19">
                  <c:v>0.00215922027123616</c:v>
                </c:pt>
                <c:pt idx="20">
                  <c:v>0.00202003504021775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UL(V)'!$BZ$94:$BZ$114</c:f>
              <c:numCache>
                <c:formatCode>General</c:formatCode>
                <c:ptCount val="21"/>
                <c:pt idx="0">
                  <c:v>0.00555505439510107</c:v>
                </c:pt>
                <c:pt idx="1">
                  <c:v>0.0044553219743726</c:v>
                </c:pt>
                <c:pt idx="2">
                  <c:v>0.00357620027247041</c:v>
                </c:pt>
                <c:pt idx="3">
                  <c:v>0.00287427587045697</c:v>
                </c:pt>
                <c:pt idx="4">
                  <c:v>0.00231438627703584</c:v>
                </c:pt>
                <c:pt idx="5">
                  <c:v>0.00175092552450185</c:v>
                </c:pt>
                <c:pt idx="6">
                  <c:v>0.00139534617089598</c:v>
                </c:pt>
                <c:pt idx="7">
                  <c:v>0.00111228656106688</c:v>
                </c:pt>
                <c:pt idx="8">
                  <c:v>0.00088705385258292</c:v>
                </c:pt>
                <c:pt idx="9">
                  <c:v>0.000707896859641899</c:v>
                </c:pt>
                <c:pt idx="10">
                  <c:v>0.000565429757792835</c:v>
                </c:pt>
                <c:pt idx="11">
                  <c:v>0.00045216415057725</c:v>
                </c:pt>
                <c:pt idx="12">
                  <c:v>0.000362130754671952</c:v>
                </c:pt>
                <c:pt idx="13">
                  <c:v>0.000290574602213045</c:v>
                </c:pt>
                <c:pt idx="14">
                  <c:v>0.00023371017384699</c:v>
                </c:pt>
                <c:pt idx="15">
                  <c:v>0.000188525121891381</c:v>
                </c:pt>
                <c:pt idx="16">
                  <c:v>0.000152623228288906</c:v>
                </c:pt>
                <c:pt idx="17">
                  <c:v>0.000124098940124107</c:v>
                </c:pt>
                <c:pt idx="18">
                  <c:v>0.000101437249755421</c:v>
                </c:pt>
                <c:pt idx="19">
                  <c:v>8.3433876707506e-5</c:v>
                </c:pt>
                <c:pt idx="20">
                  <c:v>6.91316772605255e-5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endParaRPr lang="en-US"/>
          </a:p>
        </c:rich>
      </c:tx>
      <c:layout>
        <c:manualLayout>
          <c:xMode val="edge"/>
          <c:yMode val="edge"/>
          <c:x val="0.122299802130468"/>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UL(V)'!$CO$94:$CO$114</c:f>
              <c:numCache>
                <c:formatCode>General</c:formatCode>
                <c:ptCount val="21"/>
                <c:pt idx="0">
                  <c:v>0.390969755621873</c:v>
                </c:pt>
                <c:pt idx="1">
                  <c:v>0.242380354405192</c:v>
                </c:pt>
                <c:pt idx="2">
                  <c:v>0.192782718303275</c:v>
                </c:pt>
                <c:pt idx="3">
                  <c:v>0.15335067689719</c:v>
                </c:pt>
                <c:pt idx="4">
                  <c:v>0.122006432005861</c:v>
                </c:pt>
                <c:pt idx="5">
                  <c:v>0.0970947539934763</c:v>
                </c:pt>
                <c:pt idx="6">
                  <c:v>0.0772978271687652</c:v>
                </c:pt>
                <c:pt idx="7">
                  <c:v>0.061566964436377</c:v>
                </c:pt>
                <c:pt idx="8">
                  <c:v>0.0490679579170705</c:v>
                </c:pt>
                <c:pt idx="9">
                  <c:v>0.0391374108899667</c:v>
                </c:pt>
                <c:pt idx="10">
                  <c:v>0.031247887489716</c:v>
                </c:pt>
                <c:pt idx="11">
                  <c:v>0.0249801267382388</c:v>
                </c:pt>
                <c:pt idx="12">
                  <c:v>0.0200009060248085</c:v>
                </c:pt>
                <c:pt idx="13">
                  <c:v>0.0160454161642565</c:v>
                </c:pt>
                <c:pt idx="14">
                  <c:v>0.0129032353352598</c:v>
                </c:pt>
                <c:pt idx="15">
                  <c:v>0.0104071713196374</c:v>
                </c:pt>
                <c:pt idx="16">
                  <c:v>0.0084243881838697</c:v>
                </c:pt>
                <c:pt idx="17">
                  <c:v>0.00684935138922649</c:v>
                </c:pt>
                <c:pt idx="18">
                  <c:v>0.00559821975214536</c:v>
                </c:pt>
                <c:pt idx="19">
                  <c:v>0.00460438820515385</c:v>
                </c:pt>
                <c:pt idx="20">
                  <c:v>0.0038149456369041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endParaRPr lang="en-US"/>
          </a:p>
        </c:rich>
      </c:tx>
      <c:layout>
        <c:manualLayout>
          <c:xMode val="edge"/>
          <c:yMode val="edge"/>
          <c:x val="0.1414156922141"/>
          <c:y val="0.0298507462686567"/>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UL(V)'!$DD$94:$DD$114</c:f>
              <c:numCache>
                <c:formatCode>General</c:formatCode>
                <c:ptCount val="21"/>
                <c:pt idx="0">
                  <c:v>0.0555153285149324</c:v>
                </c:pt>
                <c:pt idx="1">
                  <c:v>0.0453767808045513</c:v>
                </c:pt>
                <c:pt idx="2">
                  <c:v>0.0375458967450504</c:v>
                </c:pt>
                <c:pt idx="3">
                  <c:v>0.0312925137143427</c:v>
                </c:pt>
                <c:pt idx="4">
                  <c:v>0.0263040729672981</c:v>
                </c:pt>
                <c:pt idx="5">
                  <c:v>0.0181172226945914</c:v>
                </c:pt>
                <c:pt idx="6">
                  <c:v>0.0144583827398348</c:v>
                </c:pt>
                <c:pt idx="7">
                  <c:v>0.0115384732949808</c:v>
                </c:pt>
                <c:pt idx="8">
                  <c:v>0.00921039106261956</c:v>
                </c:pt>
                <c:pt idx="9">
                  <c:v>0.00735555754090012</c:v>
                </c:pt>
                <c:pt idx="10">
                  <c:v>0.00587865783270303</c:v>
                </c:pt>
                <c:pt idx="11">
                  <c:v>0.00470325380699244</c:v>
                </c:pt>
                <c:pt idx="12">
                  <c:v>0.00376816099137978</c:v>
                </c:pt>
                <c:pt idx="13">
                  <c:v>0.00302447926663341</c:v>
                </c:pt>
                <c:pt idx="14">
                  <c:v>0.00243317452586211</c:v>
                </c:pt>
                <c:pt idx="15">
                  <c:v>0.00196311893806422</c:v>
                </c:pt>
                <c:pt idx="16">
                  <c:v>0.00158950924226131</c:v>
                </c:pt>
                <c:pt idx="17">
                  <c:v>0.00129259427188444</c:v>
                </c:pt>
                <c:pt idx="18">
                  <c:v>0.0010566538960477</c:v>
                </c:pt>
                <c:pt idx="19">
                  <c:v>0.000869181392937346</c:v>
                </c:pt>
                <c:pt idx="20">
                  <c:v>0.000720229801620675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DL(V)'!$B$33:$B$53</c:f>
              <c:numCache>
                <c:formatCode>General</c:formatCode>
                <c:ptCount val="21"/>
                <c:pt idx="0">
                  <c:v>23.2015906648504</c:v>
                </c:pt>
                <c:pt idx="1">
                  <c:v>20.1627116443231</c:v>
                </c:pt>
                <c:pt idx="2">
                  <c:v>17.3305014424335</c:v>
                </c:pt>
                <c:pt idx="3">
                  <c:v>14.8162384569773</c:v>
                </c:pt>
                <c:pt idx="4">
                  <c:v>12.5064852764703</c:v>
                </c:pt>
                <c:pt idx="5">
                  <c:v>10.4394198922443</c:v>
                </c:pt>
                <c:pt idx="6">
                  <c:v>8.62723360704076</c:v>
                </c:pt>
                <c:pt idx="7">
                  <c:v>7.02434684963236</c:v>
                </c:pt>
                <c:pt idx="8">
                  <c:v>5.70262660990349</c:v>
                </c:pt>
                <c:pt idx="9">
                  <c:v>4.56413595227031</c:v>
                </c:pt>
                <c:pt idx="10">
                  <c:v>3.60131778553694</c:v>
                </c:pt>
                <c:pt idx="11">
                  <c:v>2.83701598692705</c:v>
                </c:pt>
                <c:pt idx="12">
                  <c:v>2.28952858504843</c:v>
                </c:pt>
                <c:pt idx="13">
                  <c:v>1.85909249642993</c:v>
                </c:pt>
                <c:pt idx="14">
                  <c:v>1.51326035423147</c:v>
                </c:pt>
                <c:pt idx="15">
                  <c:v>1.26080879260597</c:v>
                </c:pt>
                <c:pt idx="16">
                  <c:v>1.03186150995475</c:v>
                </c:pt>
                <c:pt idx="17">
                  <c:v>0.86525167563547</c:v>
                </c:pt>
                <c:pt idx="18">
                  <c:v>0.743112739579144</c:v>
                </c:pt>
                <c:pt idx="19">
                  <c:v>0.641458835723852</c:v>
                </c:pt>
                <c:pt idx="20">
                  <c:v>0.568188458212815</c:v>
                </c:pt>
              </c:numCache>
            </c:numRef>
          </c:val>
          <c:smooth val="0"/>
        </c:ser>
        <c:ser>
          <c:idx val="1"/>
          <c:order val="1"/>
          <c:tx>
            <c:strRef>
              <c:f>'[Synchronized scenarios Co-existence simulation results data_Ericsson_ZTE_CMCC_QC_HW_CATT.xlsx]Scn3 4GHz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DL(V)'!$C$33:$C$53</c:f>
              <c:numCache>
                <c:formatCode>General</c:formatCode>
                <c:ptCount val="21"/>
                <c:pt idx="0">
                  <c:v>8.80657768297662</c:v>
                </c:pt>
                <c:pt idx="1">
                  <c:v>7.30845370324004</c:v>
                </c:pt>
                <c:pt idx="2">
                  <c:v>5.8120971032802</c:v>
                </c:pt>
                <c:pt idx="3">
                  <c:v>4.64013466705192</c:v>
                </c:pt>
                <c:pt idx="4">
                  <c:v>3.87745058637247</c:v>
                </c:pt>
                <c:pt idx="5">
                  <c:v>3.01693176048116</c:v>
                </c:pt>
                <c:pt idx="6">
                  <c:v>2.29067537987108</c:v>
                </c:pt>
                <c:pt idx="7">
                  <c:v>1.75659901610672</c:v>
                </c:pt>
                <c:pt idx="8">
                  <c:v>1.38085194834943</c:v>
                </c:pt>
                <c:pt idx="9">
                  <c:v>1.07535948805658</c:v>
                </c:pt>
                <c:pt idx="10">
                  <c:v>0.903151629200183</c:v>
                </c:pt>
                <c:pt idx="11">
                  <c:v>0.730676132422137</c:v>
                </c:pt>
                <c:pt idx="12">
                  <c:v>0.620039029024311</c:v>
                </c:pt>
                <c:pt idx="13">
                  <c:v>0.483572047617809</c:v>
                </c:pt>
                <c:pt idx="14">
                  <c:v>0.441448688989055</c:v>
                </c:pt>
                <c:pt idx="15">
                  <c:v>0.366848798084607</c:v>
                </c:pt>
                <c:pt idx="16">
                  <c:v>0.34634911227549</c:v>
                </c:pt>
                <c:pt idx="17">
                  <c:v>0.286944036719694</c:v>
                </c:pt>
                <c:pt idx="18">
                  <c:v>0.245057030476981</c:v>
                </c:pt>
                <c:pt idx="19">
                  <c:v>0.187582326122959</c:v>
                </c:pt>
                <c:pt idx="20">
                  <c:v>0.152486687692177</c:v>
                </c:pt>
              </c:numCache>
            </c:numRef>
          </c:val>
          <c:smooth val="0"/>
        </c:ser>
        <c:ser>
          <c:idx val="2"/>
          <c:order val="2"/>
          <c:tx>
            <c:strRef>
              <c:f>'[Synchronized scenarios Co-existence simulation results data_Ericsson_ZTE_CMCC_QC_HW_CATT.xlsx]Scn3 4GHz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DL(V)'!$D$33:$D$53</c:f>
              <c:numCache>
                <c:formatCode>General</c:formatCode>
                <c:ptCount val="21"/>
                <c:pt idx="0">
                  <c:v>14.7351134562582</c:v>
                </c:pt>
                <c:pt idx="1">
                  <c:v>12.6520947470989</c:v>
                </c:pt>
                <c:pt idx="2">
                  <c:v>10.7733974138517</c:v>
                </c:pt>
                <c:pt idx="3">
                  <c:v>9.1013241731857</c:v>
                </c:pt>
                <c:pt idx="4">
                  <c:v>7.63267627912111</c:v>
                </c:pt>
                <c:pt idx="5">
                  <c:v>6.35912385669281</c:v>
                </c:pt>
                <c:pt idx="6">
                  <c:v>5.26805226867211</c:v>
                </c:pt>
                <c:pt idx="7">
                  <c:v>4.34372030441151</c:v>
                </c:pt>
                <c:pt idx="8">
                  <c:v>3.568528259711</c:v>
                </c:pt>
                <c:pt idx="9">
                  <c:v>2.92421207700107</c:v>
                </c:pt>
                <c:pt idx="10">
                  <c:v>2.39283550541911</c:v>
                </c:pt>
                <c:pt idx="11">
                  <c:v>1.95751967797937</c:v>
                </c:pt>
                <c:pt idx="12">
                  <c:v>1.60290740560097</c:v>
                </c:pt>
                <c:pt idx="13">
                  <c:v>1.31539746115617</c:v>
                </c:pt>
                <c:pt idx="14">
                  <c:v>1.0832016068398</c:v>
                </c:pt>
                <c:pt idx="15">
                  <c:v>0.896279111558542</c:v>
                </c:pt>
                <c:pt idx="16">
                  <c:v>0.746196444666874</c:v>
                </c:pt>
                <c:pt idx="17">
                  <c:v>0.625949099389652</c:v>
                </c:pt>
                <c:pt idx="18">
                  <c:v>0.529771592309601</c:v>
                </c:pt>
                <c:pt idx="19">
                  <c:v>0.452952382751594</c:v>
                </c:pt>
                <c:pt idx="20">
                  <c:v>0.391663343894303</c:v>
                </c:pt>
              </c:numCache>
            </c:numRef>
          </c:val>
          <c:smooth val="0"/>
        </c:ser>
        <c:ser>
          <c:idx val="3"/>
          <c:order val="3"/>
          <c:tx>
            <c:strRef>
              <c:f>'[Synchronized scenarios Co-existence simulation results data_Ericsson_ZTE_CMCC_QC_HW_CATT.xlsx]Scn3 4GHz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DL(V)'!$E$33:$E$53</c:f>
              <c:numCache>
                <c:formatCode>General</c:formatCode>
                <c:ptCount val="21"/>
                <c:pt idx="0">
                  <c:v>14.1053381532223</c:v>
                </c:pt>
                <c:pt idx="1">
                  <c:v>11.7608749824203</c:v>
                </c:pt>
                <c:pt idx="2">
                  <c:v>9.85783784586232</c:v>
                </c:pt>
                <c:pt idx="3">
                  <c:v>7.95480070930439</c:v>
                </c:pt>
                <c:pt idx="4">
                  <c:v>6.56665165317578</c:v>
                </c:pt>
                <c:pt idx="5">
                  <c:v>5.17850259704716</c:v>
                </c:pt>
                <c:pt idx="6">
                  <c:v>4.27853536878749</c:v>
                </c:pt>
                <c:pt idx="7">
                  <c:v>3.37856814052782</c:v>
                </c:pt>
                <c:pt idx="8">
                  <c:v>2.76187098022986</c:v>
                </c:pt>
                <c:pt idx="9">
                  <c:v>2.14517381993191</c:v>
                </c:pt>
                <c:pt idx="10">
                  <c:v>1.75425103562578</c:v>
                </c:pt>
                <c:pt idx="11">
                  <c:v>1.36332825131965</c:v>
                </c:pt>
                <c:pt idx="12">
                  <c:v>1.10400002907697</c:v>
                </c:pt>
                <c:pt idx="13">
                  <c:v>0.844671806834285</c:v>
                </c:pt>
                <c:pt idx="14">
                  <c:v>0.687454592415876</c:v>
                </c:pt>
                <c:pt idx="15">
                  <c:v>0.530237377997467</c:v>
                </c:pt>
                <c:pt idx="16">
                  <c:v>0.348288562039512</c:v>
                </c:pt>
                <c:pt idx="17">
                  <c:v>0.166339746081556</c:v>
                </c:pt>
                <c:pt idx="18">
                  <c:v>0.149601727505244</c:v>
                </c:pt>
                <c:pt idx="19">
                  <c:v>0.132863708928932</c:v>
                </c:pt>
                <c:pt idx="20">
                  <c:v>0.106213766107999</c:v>
                </c:pt>
              </c:numCache>
            </c:numRef>
          </c:val>
          <c:smooth val="0"/>
        </c:ser>
        <c:ser>
          <c:idx val="4"/>
          <c:order val="4"/>
          <c:tx>
            <c:strRef>
              <c:f>'[Synchronized scenarios Co-existence simulation results data_Ericsson_ZTE_CMCC_QC_HW_CATT.xlsx]Scn3 4GHz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DL(V)'!$F$33:$F$53</c:f>
              <c:numCache>
                <c:formatCode>General</c:formatCode>
                <c:ptCount val="21"/>
                <c:pt idx="0">
                  <c:v>4.8956</c:v>
                </c:pt>
                <c:pt idx="1">
                  <c:v>3.5017</c:v>
                </c:pt>
                <c:pt idx="2">
                  <c:v>2.3621</c:v>
                </c:pt>
                <c:pt idx="3">
                  <c:v>1.62563</c:v>
                </c:pt>
                <c:pt idx="4">
                  <c:v>1.25104</c:v>
                </c:pt>
                <c:pt idx="5">
                  <c:v>1.15013</c:v>
                </c:pt>
                <c:pt idx="6">
                  <c:v>0.95954</c:v>
                </c:pt>
                <c:pt idx="7">
                  <c:v>0.51178</c:v>
                </c:pt>
                <c:pt idx="8">
                  <c:v>0.48804</c:v>
                </c:pt>
                <c:pt idx="9">
                  <c:v>0.30314</c:v>
                </c:pt>
                <c:pt idx="10">
                  <c:v>0.1777</c:v>
                </c:pt>
              </c:numCache>
            </c:numRef>
          </c:val>
          <c:smooth val="0"/>
        </c:ser>
        <c:ser>
          <c:idx val="5"/>
          <c:order val="5"/>
          <c:tx>
            <c:strRef>
              <c:f>'[Synchronized scenarios Co-existence simulation results data_Ericsson_ZTE_CMCC_QC_HW_CATT.xlsx]Scn3 4GHz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DL(V)'!$G$33:$G$53</c:f>
              <c:numCache>
                <c:formatCode>General</c:formatCode>
                <c:ptCount val="21"/>
                <c:pt idx="0">
                  <c:v>12.314756</c:v>
                </c:pt>
                <c:pt idx="1">
                  <c:v>10.665802</c:v>
                </c:pt>
                <c:pt idx="2">
                  <c:v>9.679197</c:v>
                </c:pt>
                <c:pt idx="3">
                  <c:v>8.779181</c:v>
                </c:pt>
                <c:pt idx="4">
                  <c:v>7.511112</c:v>
                </c:pt>
                <c:pt idx="5">
                  <c:v>6.485614</c:v>
                </c:pt>
                <c:pt idx="6">
                  <c:v>5.486703</c:v>
                </c:pt>
                <c:pt idx="7">
                  <c:v>4.324376</c:v>
                </c:pt>
                <c:pt idx="8">
                  <c:v>3.494708</c:v>
                </c:pt>
                <c:pt idx="9">
                  <c:v>3.006626</c:v>
                </c:pt>
                <c:pt idx="10">
                  <c:v>2.035651</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endParaRPr lang="en-US"/>
          </a:p>
          <a:p>
            <a:pPr>
              <a:defRPr lang="zh-CN" sz="1400" b="0" i="0" u="none" strike="noStrike" kern="1200" spc="0" baseline="0">
                <a:solidFill>
                  <a:schemeClr val="tx1">
                    <a:lumMod val="65000"/>
                    <a:lumOff val="35000"/>
                  </a:schemeClr>
                </a:solidFill>
                <a:latin typeface="+mn-lt"/>
                <a:ea typeface="+mn-ea"/>
                <a:cs typeface="+mn-cs"/>
              </a:defRPr>
            </a:pPr>
            <a:r>
              <a:rPr lang="en-US"/>
              <a:t>(20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DL(V)'!$Q$33:$Q$53</c:f>
              <c:numCache>
                <c:formatCode>General</c:formatCode>
                <c:ptCount val="21"/>
                <c:pt idx="0">
                  <c:v>8.1257428571471</c:v>
                </c:pt>
                <c:pt idx="1">
                  <c:v>6.92079722959025</c:v>
                </c:pt>
                <c:pt idx="2">
                  <c:v>5.86258488713989</c:v>
                </c:pt>
                <c:pt idx="3">
                  <c:v>4.94074234797042</c:v>
                </c:pt>
                <c:pt idx="4">
                  <c:v>4.14405902610687</c:v>
                </c:pt>
                <c:pt idx="5">
                  <c:v>3.46085014811677</c:v>
                </c:pt>
                <c:pt idx="6">
                  <c:v>2.87930733849275</c:v>
                </c:pt>
                <c:pt idx="7">
                  <c:v>2.38781232504047</c:v>
                </c:pt>
                <c:pt idx="8">
                  <c:v>1.97520243253577</c:v>
                </c:pt>
                <c:pt idx="9">
                  <c:v>1.6309805432687</c:v>
                </c:pt>
                <c:pt idx="10">
                  <c:v>1.34546662317461</c:v>
                </c:pt>
                <c:pt idx="11">
                  <c:v>1.1098922301825</c:v>
                </c:pt>
                <c:pt idx="12">
                  <c:v>0.916443120564969</c:v>
                </c:pt>
                <c:pt idx="13">
                  <c:v>0.75825776276337</c:v>
                </c:pt>
                <c:pt idx="14">
                  <c:v>0.629391079617225</c:v>
                </c:pt>
                <c:pt idx="15">
                  <c:v>0.524753107072473</c:v>
                </c:pt>
                <c:pt idx="16">
                  <c:v>0.440031682223085</c:v>
                </c:pt>
                <c:pt idx="17">
                  <c:v>0.37160704613538</c:v>
                </c:pt>
                <c:pt idx="18">
                  <c:v>0.316464672073458</c:v>
                </c:pt>
                <c:pt idx="19">
                  <c:v>0.272110971440376</c:v>
                </c:pt>
                <c:pt idx="20">
                  <c:v>0.236494981942181</c:v>
                </c:pt>
              </c:numCache>
            </c:numRef>
          </c:val>
          <c:smooth val="0"/>
        </c:ser>
        <c:ser>
          <c:idx val="1"/>
          <c:order val="1"/>
          <c:tx>
            <c:strRef>
              <c:f>'[Synchronized scenarios Co-existence simulation results data_Ericsson_ZTE_CMCC_QC_HW_CATT.xlsx]Scn3 4GHz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DL(V)'!$R$33:$R$53</c:f>
              <c:numCache>
                <c:formatCode>General</c:formatCode>
                <c:ptCount val="21"/>
                <c:pt idx="0">
                  <c:v>2.98541526465966</c:v>
                </c:pt>
                <c:pt idx="1">
                  <c:v>2.29579065523176</c:v>
                </c:pt>
                <c:pt idx="2">
                  <c:v>1.75345421216442</c:v>
                </c:pt>
                <c:pt idx="3">
                  <c:v>1.33543803471197</c:v>
                </c:pt>
                <c:pt idx="4">
                  <c:v>1.02599906726176</c:v>
                </c:pt>
                <c:pt idx="5">
                  <c:v>0.797861547628331</c:v>
                </c:pt>
                <c:pt idx="6">
                  <c:v>0.6193286411043</c:v>
                </c:pt>
                <c:pt idx="7">
                  <c:v>0.484628161223377</c:v>
                </c:pt>
                <c:pt idx="8">
                  <c:v>0.38269012948754</c:v>
                </c:pt>
                <c:pt idx="9">
                  <c:v>0.303279380936028</c:v>
                </c:pt>
                <c:pt idx="10">
                  <c:v>0.241158154618959</c:v>
                </c:pt>
                <c:pt idx="11">
                  <c:v>0.193485744761013</c:v>
                </c:pt>
                <c:pt idx="12">
                  <c:v>0.156553712232199</c:v>
                </c:pt>
                <c:pt idx="13">
                  <c:v>0.127341090579391</c:v>
                </c:pt>
                <c:pt idx="14">
                  <c:v>0.10405027152367</c:v>
                </c:pt>
                <c:pt idx="15">
                  <c:v>0.0856075906551346</c:v>
                </c:pt>
                <c:pt idx="16">
                  <c:v>0.0709929639145845</c:v>
                </c:pt>
                <c:pt idx="17">
                  <c:v>0.0593226022370108</c:v>
                </c:pt>
                <c:pt idx="18">
                  <c:v>0.0500253449144505</c:v>
                </c:pt>
                <c:pt idx="19">
                  <c:v>0.0426950667571036</c:v>
                </c:pt>
                <c:pt idx="20">
                  <c:v>0.0368546739306641</c:v>
                </c:pt>
              </c:numCache>
            </c:numRef>
          </c:val>
          <c:smooth val="0"/>
        </c:ser>
        <c:ser>
          <c:idx val="2"/>
          <c:order val="2"/>
          <c:tx>
            <c:strRef>
              <c:f>'[Synchronized scenarios Co-existence simulation results data_Ericsson_ZTE_CMCC_QC_HW_CATT.xlsx]Scn3 4GHz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DL(V)'!$S$33:$S$53</c:f>
              <c:numCache>
                <c:formatCode>General</c:formatCode>
                <c:ptCount val="21"/>
                <c:pt idx="0">
                  <c:v>3.41887543855178</c:v>
                </c:pt>
                <c:pt idx="1">
                  <c:v>2.79569981678497</c:v>
                </c:pt>
                <c:pt idx="2">
                  <c:v>2.30235931411208</c:v>
                </c:pt>
                <c:pt idx="3">
                  <c:v>1.90852999174799</c:v>
                </c:pt>
                <c:pt idx="4">
                  <c:v>1.57456996659176</c:v>
                </c:pt>
                <c:pt idx="5">
                  <c:v>1.29362547648231</c:v>
                </c:pt>
                <c:pt idx="6">
                  <c:v>1.05907568418291</c:v>
                </c:pt>
                <c:pt idx="7">
                  <c:v>0.864649607594576</c:v>
                </c:pt>
                <c:pt idx="8">
                  <c:v>0.704529441194367</c:v>
                </c:pt>
                <c:pt idx="9">
                  <c:v>0.573427980355157</c:v>
                </c:pt>
                <c:pt idx="10">
                  <c:v>0.466633653705484</c:v>
                </c:pt>
                <c:pt idx="11">
                  <c:v>0.380022897769148</c:v>
                </c:pt>
                <c:pt idx="12">
                  <c:v>0.310044398775167</c:v>
                </c:pt>
                <c:pt idx="13">
                  <c:v>0.253682310340135</c:v>
                </c:pt>
                <c:pt idx="14">
                  <c:v>0.208406104874717</c:v>
                </c:pt>
                <c:pt idx="15">
                  <c:v>0.172113881046935</c:v>
                </c:pt>
                <c:pt idx="16">
                  <c:v>0.143074440688892</c:v>
                </c:pt>
                <c:pt idx="17">
                  <c:v>0.119871810152195</c:v>
                </c:pt>
                <c:pt idx="18">
                  <c:v>0.101354432437303</c:v>
                </c:pt>
                <c:pt idx="19">
                  <c:v>0.0865901296228376</c:v>
                </c:pt>
                <c:pt idx="20">
                  <c:v>0.0748271424996988</c:v>
                </c:pt>
              </c:numCache>
            </c:numRef>
          </c:val>
          <c:smooth val="0"/>
        </c:ser>
        <c:ser>
          <c:idx val="3"/>
          <c:order val="3"/>
          <c:tx>
            <c:strRef>
              <c:f>'[Synchronized scenarios Co-existence simulation results data_Ericsson_ZTE_CMCC_QC_HW_CATT.xlsx]Scn3 4GHz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DL(V)'!$T$33:$T$53</c:f>
              <c:numCache>
                <c:formatCode>General</c:formatCode>
                <c:ptCount val="21"/>
                <c:pt idx="0">
                  <c:v>4.09850653001873</c:v>
                </c:pt>
                <c:pt idx="1">
                  <c:v>3.38650089372372</c:v>
                </c:pt>
                <c:pt idx="2">
                  <c:v>2.85892491581024</c:v>
                </c:pt>
                <c:pt idx="3">
                  <c:v>2.33134893789676</c:v>
                </c:pt>
                <c:pt idx="4">
                  <c:v>1.94990119495786</c:v>
                </c:pt>
                <c:pt idx="5">
                  <c:v>1.56845345201896</c:v>
                </c:pt>
                <c:pt idx="6">
                  <c:v>1.30152963790146</c:v>
                </c:pt>
                <c:pt idx="7">
                  <c:v>1.03460582378395</c:v>
                </c:pt>
                <c:pt idx="8">
                  <c:v>0.853774829258186</c:v>
                </c:pt>
                <c:pt idx="9">
                  <c:v>0.67294383473242</c:v>
                </c:pt>
                <c:pt idx="10">
                  <c:v>0.553080459680572</c:v>
                </c:pt>
                <c:pt idx="11">
                  <c:v>0.433217084628723</c:v>
                </c:pt>
                <c:pt idx="12">
                  <c:v>0.354987175149696</c:v>
                </c:pt>
                <c:pt idx="13">
                  <c:v>0.276757265670669</c:v>
                </c:pt>
                <c:pt idx="14">
                  <c:v>0.226458751008701</c:v>
                </c:pt>
                <c:pt idx="15">
                  <c:v>0.176160236346734</c:v>
                </c:pt>
                <c:pt idx="16">
                  <c:v>0.145835110059162</c:v>
                </c:pt>
                <c:pt idx="17">
                  <c:v>0.115509983771589</c:v>
                </c:pt>
                <c:pt idx="18">
                  <c:v>0.0930179356888716</c:v>
                </c:pt>
                <c:pt idx="19">
                  <c:v>0.0705258876061543</c:v>
                </c:pt>
                <c:pt idx="20">
                  <c:v>0.0575496791136776</c:v>
                </c:pt>
              </c:numCache>
            </c:numRef>
          </c:val>
          <c:smooth val="0"/>
        </c:ser>
        <c:ser>
          <c:idx val="4"/>
          <c:order val="4"/>
          <c:tx>
            <c:strRef>
              <c:f>'[Synchronized scenarios Co-existence simulation results data_Ericsson_ZTE_CMCC_QC_HW_CATT.xlsx]Scn3 4GHz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DL(V)'!$U$33:$U$53</c:f>
              <c:numCache>
                <c:formatCode>General</c:formatCode>
                <c:ptCount val="21"/>
                <c:pt idx="0">
                  <c:v>2.3079</c:v>
                </c:pt>
                <c:pt idx="1">
                  <c:v>1.89331</c:v>
                </c:pt>
                <c:pt idx="2">
                  <c:v>1.41334</c:v>
                </c:pt>
                <c:pt idx="3">
                  <c:v>0.98829</c:v>
                </c:pt>
                <c:pt idx="4">
                  <c:v>0.88668</c:v>
                </c:pt>
                <c:pt idx="5">
                  <c:v>0.78848</c:v>
                </c:pt>
                <c:pt idx="6">
                  <c:v>0.58237</c:v>
                </c:pt>
                <c:pt idx="7">
                  <c:v>0.38139</c:v>
                </c:pt>
                <c:pt idx="8">
                  <c:v>0.34044</c:v>
                </c:pt>
                <c:pt idx="9">
                  <c:v>0.24167</c:v>
                </c:pt>
                <c:pt idx="10">
                  <c:v>0.2344</c:v>
                </c:pt>
              </c:numCache>
            </c:numRef>
          </c:val>
          <c:smooth val="0"/>
        </c:ser>
        <c:ser>
          <c:idx val="5"/>
          <c:order val="5"/>
          <c:tx>
            <c:strRef>
              <c:f>'[Synchronized scenarios Co-existence simulation results data_Ericsson_ZTE_CMCC_QC_HW_CATT.xlsx]Scn3 4GHz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DL(V)'!$V$33:$V$53</c:f>
              <c:numCache>
                <c:formatCode>General</c:formatCode>
                <c:ptCount val="21"/>
                <c:pt idx="0">
                  <c:v>3.911557</c:v>
                </c:pt>
                <c:pt idx="1">
                  <c:v>3.426457</c:v>
                </c:pt>
                <c:pt idx="2">
                  <c:v>3.067896</c:v>
                </c:pt>
                <c:pt idx="3">
                  <c:v>2.622179</c:v>
                </c:pt>
                <c:pt idx="4">
                  <c:v>2.265901</c:v>
                </c:pt>
                <c:pt idx="5">
                  <c:v>1.989496</c:v>
                </c:pt>
                <c:pt idx="6">
                  <c:v>1.650209</c:v>
                </c:pt>
                <c:pt idx="7">
                  <c:v>1.346703</c:v>
                </c:pt>
                <c:pt idx="8">
                  <c:v>1.047875</c:v>
                </c:pt>
                <c:pt idx="9">
                  <c:v>0.782817</c:v>
                </c:pt>
                <c:pt idx="10">
                  <c:v>0.619627</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DL(V)'!$B$94:$B$114</c:f>
              <c:numCache>
                <c:formatCode>General</c:formatCode>
                <c:ptCount val="21"/>
                <c:pt idx="0">
                  <c:v>37.9595734338075</c:v>
                </c:pt>
                <c:pt idx="1">
                  <c:v>33.4470019181625</c:v>
                </c:pt>
                <c:pt idx="2">
                  <c:v>29.1660684100514</c:v>
                </c:pt>
                <c:pt idx="3">
                  <c:v>25.2077836979816</c:v>
                </c:pt>
                <c:pt idx="4">
                  <c:v>21.5600438612399</c:v>
                </c:pt>
                <c:pt idx="5">
                  <c:v>18.3345293885482</c:v>
                </c:pt>
                <c:pt idx="6">
                  <c:v>15.4076954640879</c:v>
                </c:pt>
                <c:pt idx="7">
                  <c:v>12.8168992072357</c:v>
                </c:pt>
                <c:pt idx="8">
                  <c:v>10.5338777951233</c:v>
                </c:pt>
                <c:pt idx="9">
                  <c:v>8.68156349469922</c:v>
                </c:pt>
                <c:pt idx="10">
                  <c:v>7.01855084183608</c:v>
                </c:pt>
                <c:pt idx="11">
                  <c:v>5.68284766241946</c:v>
                </c:pt>
                <c:pt idx="12">
                  <c:v>4.5731039469555</c:v>
                </c:pt>
                <c:pt idx="13">
                  <c:v>3.70081217216306</c:v>
                </c:pt>
                <c:pt idx="14">
                  <c:v>2.96688887050021</c:v>
                </c:pt>
                <c:pt idx="15">
                  <c:v>2.38038538330859</c:v>
                </c:pt>
                <c:pt idx="16">
                  <c:v>1.90207984322957</c:v>
                </c:pt>
                <c:pt idx="17">
                  <c:v>1.53043781105781</c:v>
                </c:pt>
                <c:pt idx="18">
                  <c:v>1.26834957967668</c:v>
                </c:pt>
                <c:pt idx="19">
                  <c:v>1.04131082438049</c:v>
                </c:pt>
                <c:pt idx="20">
                  <c:v>0.907613674272612</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DL(V)'!$Q$94:$Q$114</c:f>
              <c:numCache>
                <c:formatCode>General</c:formatCode>
                <c:ptCount val="21"/>
                <c:pt idx="0">
                  <c:v>13.1800511653356</c:v>
                </c:pt>
                <c:pt idx="1">
                  <c:v>11.2625710798339</c:v>
                </c:pt>
                <c:pt idx="2">
                  <c:v>9.5675534983518</c:v>
                </c:pt>
                <c:pt idx="3">
                  <c:v>8.08312958125255</c:v>
                </c:pt>
                <c:pt idx="4">
                  <c:v>6.79427291908359</c:v>
                </c:pt>
                <c:pt idx="5">
                  <c:v>5.6846160543262</c:v>
                </c:pt>
                <c:pt idx="6">
                  <c:v>4.73691286730977</c:v>
                </c:pt>
                <c:pt idx="7">
                  <c:v>3.93368193218862</c:v>
                </c:pt>
                <c:pt idx="8">
                  <c:v>3.25775638713564</c:v>
                </c:pt>
                <c:pt idx="9">
                  <c:v>2.69272667389283</c:v>
                </c:pt>
                <c:pt idx="10">
                  <c:v>2.22327114051598</c:v>
                </c:pt>
                <c:pt idx="11">
                  <c:v>1.83537759952129</c:v>
                </c:pt>
                <c:pt idx="12">
                  <c:v>1.51646568044984</c:v>
                </c:pt>
                <c:pt idx="13">
                  <c:v>1.25542462583844</c:v>
                </c:pt>
                <c:pt idx="14">
                  <c:v>1.04258381688317</c:v>
                </c:pt>
                <c:pt idx="15">
                  <c:v>0.86963389546344</c:v>
                </c:pt>
                <c:pt idx="16">
                  <c:v>0.729515254287438</c:v>
                </c:pt>
                <c:pt idx="17">
                  <c:v>0.616288419962607</c:v>
                </c:pt>
                <c:pt idx="18">
                  <c:v>0.524997997629806</c:v>
                </c:pt>
                <c:pt idx="19">
                  <c:v>0.451538849434041</c:v>
                </c:pt>
                <c:pt idx="20">
                  <c:v>0.392530386884249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DL(V)'!$AG$33:$AG$53</c:f>
              <c:numCache>
                <c:formatCode>General</c:formatCode>
                <c:ptCount val="21"/>
                <c:pt idx="0">
                  <c:v>31.0721053564767</c:v>
                </c:pt>
                <c:pt idx="1">
                  <c:v>27.7625762323547</c:v>
                </c:pt>
                <c:pt idx="2">
                  <c:v>24.5623207378577</c:v>
                </c:pt>
                <c:pt idx="3">
                  <c:v>21.5566596665576</c:v>
                </c:pt>
                <c:pt idx="4">
                  <c:v>18.7126444486289</c:v>
                </c:pt>
                <c:pt idx="5">
                  <c:v>16.0390190817151</c:v>
                </c:pt>
                <c:pt idx="6">
                  <c:v>13.628836351887</c:v>
                </c:pt>
                <c:pt idx="7">
                  <c:v>11.4638137059233</c:v>
                </c:pt>
                <c:pt idx="8">
                  <c:v>9.53001648307852</c:v>
                </c:pt>
                <c:pt idx="9">
                  <c:v>7.83893583728812</c:v>
                </c:pt>
                <c:pt idx="10">
                  <c:v>6.34715353727033</c:v>
                </c:pt>
                <c:pt idx="11">
                  <c:v>5.14934698067694</c:v>
                </c:pt>
                <c:pt idx="12">
                  <c:v>4.11957608113396</c:v>
                </c:pt>
                <c:pt idx="13">
                  <c:v>3.28342638697003</c:v>
                </c:pt>
                <c:pt idx="14">
                  <c:v>2.5669505349486</c:v>
                </c:pt>
                <c:pt idx="15">
                  <c:v>2.05852269586495</c:v>
                </c:pt>
                <c:pt idx="16">
                  <c:v>1.68755887147632</c:v>
                </c:pt>
                <c:pt idx="17">
                  <c:v>1.43046230216789</c:v>
                </c:pt>
                <c:pt idx="18">
                  <c:v>1.19806277582128</c:v>
                </c:pt>
                <c:pt idx="19">
                  <c:v>1.02688058305495</c:v>
                </c:pt>
                <c:pt idx="20">
                  <c:v>0.894953653444386</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DL(V)'!$AG$33:$AG$53</c:f>
              <c:numCache>
                <c:formatCode>General</c:formatCode>
                <c:ptCount val="21"/>
                <c:pt idx="0">
                  <c:v>4.78175357449389</c:v>
                </c:pt>
                <c:pt idx="1">
                  <c:v>4.77759306745513</c:v>
                </c:pt>
                <c:pt idx="2">
                  <c:v>4.77428796119153</c:v>
                </c:pt>
                <c:pt idx="3">
                  <c:v>4.77166243388343</c:v>
                </c:pt>
                <c:pt idx="4">
                  <c:v>4.76957678472538</c:v>
                </c:pt>
                <c:pt idx="5">
                  <c:v>4.76792001981898</c:v>
                </c:pt>
                <c:pt idx="6">
                  <c:v>4.76660395741833</c:v>
                </c:pt>
                <c:pt idx="7">
                  <c:v>4.6471955449755</c:v>
                </c:pt>
                <c:pt idx="8">
                  <c:v>3.76115551641624</c:v>
                </c:pt>
                <c:pt idx="9">
                  <c:v>3.04410652963483</c:v>
                </c:pt>
                <c:pt idx="10">
                  <c:v>2.46594358428697</c:v>
                </c:pt>
                <c:pt idx="11">
                  <c:v>2.00114979834958</c:v>
                </c:pt>
                <c:pt idx="12">
                  <c:v>1.8056922905008</c:v>
                </c:pt>
                <c:pt idx="13">
                  <c:v>1.80569229049812</c:v>
                </c:pt>
                <c:pt idx="14">
                  <c:v>1.805692290496</c:v>
                </c:pt>
                <c:pt idx="15">
                  <c:v>1.80569229049429</c:v>
                </c:pt>
              </c:numCache>
            </c:numRef>
          </c:val>
          <c:smooth val="0"/>
        </c:ser>
        <c:ser>
          <c:idx val="1"/>
          <c:order val="1"/>
          <c:tx>
            <c:strRef>
              <c:f>'[Synchronized scenarios Co-existence simulation results data_Ericsson_ZTE_CMCC_QC_HW_CATT.xlsx]Scn1 4GHz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DL(V)'!$AH$33:$AH$53</c:f>
              <c:numCache>
                <c:formatCode>General</c:formatCode>
                <c:ptCount val="21"/>
                <c:pt idx="0">
                  <c:v>2.86351211097556</c:v>
                </c:pt>
                <c:pt idx="1">
                  <c:v>2.86351203078645</c:v>
                </c:pt>
                <c:pt idx="2">
                  <c:v>2.86351196708999</c:v>
                </c:pt>
                <c:pt idx="3">
                  <c:v>2.856366257378</c:v>
                </c:pt>
                <c:pt idx="4">
                  <c:v>2.85636615142878</c:v>
                </c:pt>
                <c:pt idx="5">
                  <c:v>2.85636606727034</c:v>
                </c:pt>
                <c:pt idx="6">
                  <c:v>2.53634222008515</c:v>
                </c:pt>
                <c:pt idx="7">
                  <c:v>2.53634221978863</c:v>
                </c:pt>
                <c:pt idx="8">
                  <c:v>2.43624484248659</c:v>
                </c:pt>
                <c:pt idx="9">
                  <c:v>2.38873453129532</c:v>
                </c:pt>
                <c:pt idx="10">
                  <c:v>2.38832467585551</c:v>
                </c:pt>
                <c:pt idx="11">
                  <c:v>2.38799911332199</c:v>
                </c:pt>
                <c:pt idx="12">
                  <c:v>2.38774050805193</c:v>
                </c:pt>
                <c:pt idx="13">
                  <c:v>2.38753508947529</c:v>
                </c:pt>
                <c:pt idx="14">
                  <c:v>2.38737191900021</c:v>
                </c:pt>
                <c:pt idx="15">
                  <c:v>2.38724230764331</c:v>
                </c:pt>
              </c:numCache>
            </c:numRef>
          </c:val>
          <c:smooth val="0"/>
        </c:ser>
        <c:ser>
          <c:idx val="2"/>
          <c:order val="2"/>
          <c:tx>
            <c:strRef>
              <c:f>'[Synchronized scenarios Co-existence simulation results data_Ericsson_ZTE_CMCC_QC_HW_CATT.xlsx]Scn1 4GHz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DL(V)'!$AI$33:$AI$53</c:f>
              <c:numCache>
                <c:formatCode>General</c:formatCode>
                <c:ptCount val="21"/>
                <c:pt idx="0">
                  <c:v>5.09131887480647</c:v>
                </c:pt>
                <c:pt idx="1">
                  <c:v>4.72871021278078</c:v>
                </c:pt>
                <c:pt idx="2">
                  <c:v>4.43611546538873</c:v>
                </c:pt>
                <c:pt idx="3">
                  <c:v>4.20073691301803</c:v>
                </c:pt>
                <c:pt idx="4">
                  <c:v>4.01185713965673</c:v>
                </c:pt>
                <c:pt idx="5">
                  <c:v>3.86059608845529</c:v>
                </c:pt>
                <c:pt idx="6">
                  <c:v>3.73965863985569</c:v>
                </c:pt>
                <c:pt idx="7">
                  <c:v>3.64309252598844</c:v>
                </c:pt>
                <c:pt idx="8">
                  <c:v>3.56606757812832</c:v>
                </c:pt>
                <c:pt idx="9">
                  <c:v>3.50468122992073</c:v>
                </c:pt>
                <c:pt idx="10">
                  <c:v>3.4557913120363</c:v>
                </c:pt>
                <c:pt idx="11">
                  <c:v>3.4168748863798</c:v>
                </c:pt>
                <c:pt idx="12">
                  <c:v>3.38591067471406</c:v>
                </c:pt>
                <c:pt idx="13">
                  <c:v>3.36128214830523</c:v>
                </c:pt>
                <c:pt idx="14">
                  <c:v>3.34169828316477</c:v>
                </c:pt>
                <c:pt idx="15">
                  <c:v>3.32612916087655</c:v>
                </c:pt>
                <c:pt idx="16">
                  <c:v>3.31375388616168</c:v>
                </c:pt>
                <c:pt idx="17">
                  <c:v>3.30391862465908</c:v>
                </c:pt>
                <c:pt idx="18">
                  <c:v>3.29610289483765</c:v>
                </c:pt>
                <c:pt idx="19">
                  <c:v>3.28989255376418</c:v>
                </c:pt>
                <c:pt idx="20">
                  <c:v>3.28495818740913</c:v>
                </c:pt>
              </c:numCache>
            </c:numRef>
          </c:val>
          <c:smooth val="0"/>
        </c:ser>
        <c:ser>
          <c:idx val="3"/>
          <c:order val="3"/>
          <c:tx>
            <c:strRef>
              <c:f>'[Synchronized scenarios Co-existence simulation results data_Ericsson_ZTE_CMCC_QC_HW_CATT.xlsx]Scn1 4GHz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DL(V)'!$AJ$33:$AJ$53</c:f>
              <c:numCache>
                <c:formatCode>General</c:formatCode>
                <c:ptCount val="21"/>
                <c:pt idx="0">
                  <c:v>4.93479702103512</c:v>
                </c:pt>
                <c:pt idx="1">
                  <c:v>3.64795693114456</c:v>
                </c:pt>
                <c:pt idx="2">
                  <c:v>2.94118119331138</c:v>
                </c:pt>
                <c:pt idx="3">
                  <c:v>2.23440545547819</c:v>
                </c:pt>
                <c:pt idx="4">
                  <c:v>1.80690809704945</c:v>
                </c:pt>
                <c:pt idx="5">
                  <c:v>1.37941073862071</c:v>
                </c:pt>
                <c:pt idx="6">
                  <c:v>1.37941073862071</c:v>
                </c:pt>
                <c:pt idx="7">
                  <c:v>1.37941073862071</c:v>
                </c:pt>
                <c:pt idx="8">
                  <c:v>0.952190123122026</c:v>
                </c:pt>
                <c:pt idx="9">
                  <c:v>0.524969507623341</c:v>
                </c:pt>
                <c:pt idx="10">
                  <c:v>0.524969507623341</c:v>
                </c:pt>
                <c:pt idx="11">
                  <c:v>0.524969507623341</c:v>
                </c:pt>
                <c:pt idx="12">
                  <c:v>0.384725357894711</c:v>
                </c:pt>
                <c:pt idx="13">
                  <c:v>0.244481208166081</c:v>
                </c:pt>
                <c:pt idx="14">
                  <c:v>0.176220222213208</c:v>
                </c:pt>
                <c:pt idx="15">
                  <c:v>0.107959236260335</c:v>
                </c:pt>
              </c:numCache>
            </c:numRef>
          </c:val>
          <c:smooth val="0"/>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DL(V)'!$AV$33:$AV$53</c:f>
              <c:numCache>
                <c:formatCode>General</c:formatCode>
                <c:ptCount val="21"/>
                <c:pt idx="0">
                  <c:v>10.3555137634622</c:v>
                </c:pt>
                <c:pt idx="1">
                  <c:v>8.95468848602635</c:v>
                </c:pt>
                <c:pt idx="2">
                  <c:v>7.70267880933331</c:v>
                </c:pt>
                <c:pt idx="3">
                  <c:v>6.59199230654842</c:v>
                </c:pt>
                <c:pt idx="4">
                  <c:v>5.61393279574635</c:v>
                </c:pt>
                <c:pt idx="5">
                  <c:v>4.75892767332957</c:v>
                </c:pt>
                <c:pt idx="6">
                  <c:v>4.01684754087628</c:v>
                </c:pt>
                <c:pt idx="7">
                  <c:v>3.37730473897705</c:v>
                </c:pt>
                <c:pt idx="8">
                  <c:v>2.82992032627245</c:v>
                </c:pt>
                <c:pt idx="9">
                  <c:v>2.36455246156287</c:v>
                </c:pt>
                <c:pt idx="10">
                  <c:v>1.97148260797017</c:v>
                </c:pt>
                <c:pt idx="11">
                  <c:v>1.64155904233463</c:v>
                </c:pt>
                <c:pt idx="12">
                  <c:v>1.36629954012861</c:v>
                </c:pt>
                <c:pt idx="13">
                  <c:v>1.13795673881988</c:v>
                </c:pt>
                <c:pt idx="14">
                  <c:v>0.94955064273422</c:v>
                </c:pt>
                <c:pt idx="15">
                  <c:v>0.79487318200967</c:v>
                </c:pt>
                <c:pt idx="16">
                  <c:v>0.668469848302777</c:v>
                </c:pt>
                <c:pt idx="17">
                  <c:v>0.565603335509812</c:v>
                </c:pt>
                <c:pt idx="18">
                  <c:v>0.482203895020461</c:v>
                </c:pt>
                <c:pt idx="19">
                  <c:v>0.414810799847976</c:v>
                </c:pt>
                <c:pt idx="20">
                  <c:v>0.36050889616478</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DL(V)'!$AG$94:$AG$114</c:f>
              <c:numCache>
                <c:formatCode>General</c:formatCode>
                <c:ptCount val="21"/>
                <c:pt idx="0">
                  <c:v>49.222481277433</c:v>
                </c:pt>
                <c:pt idx="1">
                  <c:v>44.5556709698493</c:v>
                </c:pt>
                <c:pt idx="2">
                  <c:v>39.9686983426153</c:v>
                </c:pt>
                <c:pt idx="3">
                  <c:v>35.5010180232106</c:v>
                </c:pt>
                <c:pt idx="4">
                  <c:v>31.3428908147353</c:v>
                </c:pt>
                <c:pt idx="5">
                  <c:v>27.3712152986893</c:v>
                </c:pt>
                <c:pt idx="6">
                  <c:v>23.6527487735453</c:v>
                </c:pt>
                <c:pt idx="7">
                  <c:v>20.2066163873332</c:v>
                </c:pt>
                <c:pt idx="8">
                  <c:v>17.1714510331424</c:v>
                </c:pt>
                <c:pt idx="9">
                  <c:v>14.3874299613384</c:v>
                </c:pt>
                <c:pt idx="10">
                  <c:v>11.9327416136693</c:v>
                </c:pt>
                <c:pt idx="11">
                  <c:v>9.82837281189306</c:v>
                </c:pt>
                <c:pt idx="12">
                  <c:v>8.09374120830331</c:v>
                </c:pt>
                <c:pt idx="13">
                  <c:v>6.60986264654098</c:v>
                </c:pt>
                <c:pt idx="14">
                  <c:v>5.35012876863552</c:v>
                </c:pt>
                <c:pt idx="15">
                  <c:v>4.31163055056875</c:v>
                </c:pt>
                <c:pt idx="16">
                  <c:v>3.5204877292736</c:v>
                </c:pt>
                <c:pt idx="17">
                  <c:v>2.85014842858194</c:v>
                </c:pt>
                <c:pt idx="18">
                  <c:v>2.31589515829764</c:v>
                </c:pt>
                <c:pt idx="19">
                  <c:v>1.91960791201332</c:v>
                </c:pt>
                <c:pt idx="20">
                  <c:v>1.61892658407751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DL(V)'!$AV$94:$AV$114</c:f>
              <c:numCache>
                <c:formatCode>General</c:formatCode>
                <c:ptCount val="21"/>
                <c:pt idx="0">
                  <c:v>16.4433023924347</c:v>
                </c:pt>
                <c:pt idx="1">
                  <c:v>14.2742230790024</c:v>
                </c:pt>
                <c:pt idx="2">
                  <c:v>12.3210525790949</c:v>
                </c:pt>
                <c:pt idx="3">
                  <c:v>10.5769628552072</c:v>
                </c:pt>
                <c:pt idx="4">
                  <c:v>9.03229508505828</c:v>
                </c:pt>
                <c:pt idx="5">
                  <c:v>7.67517611825174</c:v>
                </c:pt>
                <c:pt idx="6">
                  <c:v>6.49213023509454</c:v>
                </c:pt>
                <c:pt idx="7">
                  <c:v>5.46865877735063</c:v>
                </c:pt>
                <c:pt idx="8">
                  <c:v>4.58976606892565</c:v>
                </c:pt>
                <c:pt idx="9">
                  <c:v>3.84041677257637</c:v>
                </c:pt>
                <c:pt idx="10">
                  <c:v>3.20591660083345</c:v>
                </c:pt>
                <c:pt idx="11">
                  <c:v>2.67221430747984</c:v>
                </c:pt>
                <c:pt idx="12">
                  <c:v>2.22612760775736</c:v>
                </c:pt>
                <c:pt idx="13">
                  <c:v>1.85549895760802</c:v>
                </c:pt>
                <c:pt idx="14">
                  <c:v>1.54928910554132</c:v>
                </c:pt>
                <c:pt idx="15">
                  <c:v>1.2976173093655</c:v>
                </c:pt>
                <c:pt idx="16">
                  <c:v>1.09175740265418</c:v>
                </c:pt>
                <c:pt idx="17">
                  <c:v>0.924098761833525</c:v>
                </c:pt>
                <c:pt idx="18">
                  <c:v>0.78808082727968</c:v>
                </c:pt>
                <c:pt idx="19">
                  <c:v>0.678109240496927</c:v>
                </c:pt>
                <c:pt idx="20">
                  <c:v>0.589460883442616</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UL(V)'!$B$33:$B$53</c:f>
              <c:numCache>
                <c:formatCode>General</c:formatCode>
                <c:ptCount val="21"/>
                <c:pt idx="0">
                  <c:v>1.22348621728551</c:v>
                </c:pt>
                <c:pt idx="1">
                  <c:v>1.18140792287185</c:v>
                </c:pt>
                <c:pt idx="2">
                  <c:v>1.18119697880358</c:v>
                </c:pt>
                <c:pt idx="3">
                  <c:v>1.16420838371971</c:v>
                </c:pt>
                <c:pt idx="4">
                  <c:v>1.11859929555466</c:v>
                </c:pt>
                <c:pt idx="5">
                  <c:v>1.116661980558</c:v>
                </c:pt>
                <c:pt idx="6">
                  <c:v>1.11069649180855</c:v>
                </c:pt>
                <c:pt idx="7">
                  <c:v>1.09685942770789</c:v>
                </c:pt>
                <c:pt idx="8">
                  <c:v>1.09561421323905</c:v>
                </c:pt>
                <c:pt idx="9">
                  <c:v>1.090454105917</c:v>
                </c:pt>
                <c:pt idx="10">
                  <c:v>1.08125576501444</c:v>
                </c:pt>
                <c:pt idx="11">
                  <c:v>1.08116101297141</c:v>
                </c:pt>
                <c:pt idx="12">
                  <c:v>1.08108574861042</c:v>
                </c:pt>
                <c:pt idx="13">
                  <c:v>1.08049615671998</c:v>
                </c:pt>
                <c:pt idx="14">
                  <c:v>1.07936699993199</c:v>
                </c:pt>
              </c:numCache>
            </c:numRef>
          </c:val>
          <c:smooth val="0"/>
        </c:ser>
        <c:ser>
          <c:idx val="1"/>
          <c:order val="1"/>
          <c:tx>
            <c:strRef>
              <c:f>'[Synchronized scenarios Co-existence simulation results data_Ericsson_ZTE_CMCC_QC_HW_CATT.xlsx]Scn4 4GHz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UL(V)'!$C$33:$C$53</c:f>
              <c:numCache>
                <c:formatCode>General</c:formatCode>
                <c:ptCount val="21"/>
                <c:pt idx="0">
                  <c:v>0.447262363700107</c:v>
                </c:pt>
                <c:pt idx="1">
                  <c:v>0.446474065310853</c:v>
                </c:pt>
                <c:pt idx="2">
                  <c:v>0.445847887971185</c:v>
                </c:pt>
                <c:pt idx="3">
                  <c:v>0.445350491527852</c:v>
                </c:pt>
                <c:pt idx="4">
                  <c:v>0.44495539163848</c:v>
                </c:pt>
                <c:pt idx="5">
                  <c:v>0.444641550211311</c:v>
                </c:pt>
                <c:pt idx="6">
                  <c:v>0.444392255571524</c:v>
                </c:pt>
                <c:pt idx="7">
                  <c:v>0.444194232833139</c:v>
                </c:pt>
                <c:pt idx="8">
                  <c:v>0.444036937170611</c:v>
                </c:pt>
                <c:pt idx="9">
                  <c:v>0.443911992399604</c:v>
                </c:pt>
                <c:pt idx="10">
                  <c:v>0.443812744997263</c:v>
                </c:pt>
                <c:pt idx="11">
                  <c:v>0.443733909830057</c:v>
                </c:pt>
                <c:pt idx="12">
                  <c:v>0.443671288734104</c:v>
                </c:pt>
                <c:pt idx="13">
                  <c:v>0.44362154696852</c:v>
                </c:pt>
                <c:pt idx="14">
                  <c:v>0.44358203564111</c:v>
                </c:pt>
              </c:numCache>
            </c:numRef>
          </c:val>
          <c:smooth val="0"/>
        </c:ser>
        <c:ser>
          <c:idx val="2"/>
          <c:order val="2"/>
          <c:tx>
            <c:strRef>
              <c:f>'[Synchronized scenarios Co-existence simulation results data_Ericsson_ZTE_CMCC_QC_HW_CATT.xlsx]Scn4 4GHz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UL(V)'!$D$33:$D$53</c:f>
              <c:numCache>
                <c:formatCode>General</c:formatCode>
                <c:ptCount val="21"/>
                <c:pt idx="0">
                  <c:v>1.13424802398525</c:v>
                </c:pt>
                <c:pt idx="1">
                  <c:v>1.08796031370186</c:v>
                </c:pt>
                <c:pt idx="2">
                  <c:v>1.05115955471885</c:v>
                </c:pt>
                <c:pt idx="3">
                  <c:v>1.02190674602796</c:v>
                </c:pt>
                <c:pt idx="4">
                  <c:v>0.998657196646999</c:v>
                </c:pt>
                <c:pt idx="5">
                  <c:v>0.980181076633503</c:v>
                </c:pt>
                <c:pt idx="6">
                  <c:v>0.965499703133593</c:v>
                </c:pt>
                <c:pt idx="7">
                  <c:v>0.953834546962304</c:v>
                </c:pt>
                <c:pt idx="8">
                  <c:v>0.944566484201564</c:v>
                </c:pt>
                <c:pt idx="9">
                  <c:v>0.937203274921111</c:v>
                </c:pt>
                <c:pt idx="10">
                  <c:v>0.931353633436712</c:v>
                </c:pt>
                <c:pt idx="11">
                  <c:v>0.926706570166833</c:v>
                </c:pt>
                <c:pt idx="12">
                  <c:v>0.923014943481493</c:v>
                </c:pt>
                <c:pt idx="13">
                  <c:v>0.920082369960532</c:v>
                </c:pt>
                <c:pt idx="14">
                  <c:v>0.917752811363469</c:v>
                </c:pt>
                <c:pt idx="15">
                  <c:v>0.915902293492743</c:v>
                </c:pt>
                <c:pt idx="16">
                  <c:v>0.914432322082881</c:v>
                </c:pt>
                <c:pt idx="17">
                  <c:v>0.91326464896126</c:v>
                </c:pt>
                <c:pt idx="18">
                  <c:v>0.91233711220337</c:v>
                </c:pt>
                <c:pt idx="19">
                  <c:v>0.9116003302993</c:v>
                </c:pt>
                <c:pt idx="20">
                  <c:v>0.911015075258019</c:v>
                </c:pt>
              </c:numCache>
            </c:numRef>
          </c:val>
          <c:smooth val="0"/>
        </c:ser>
        <c:ser>
          <c:idx val="3"/>
          <c:order val="3"/>
          <c:tx>
            <c:strRef>
              <c:f>'[Synchronized scenarios Co-existence simulation results data_Ericsson_ZTE_CMCC_QC_HW_CATT.xlsx]Scn4 4GHz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UL(V)'!$E$33:$E$53</c:f>
              <c:numCache>
                <c:formatCode>General</c:formatCode>
                <c:ptCount val="21"/>
                <c:pt idx="0">
                  <c:v>0.0279978459999719</c:v>
                </c:pt>
                <c:pt idx="1">
                  <c:v>0.0242172392879547</c:v>
                </c:pt>
                <c:pt idx="2">
                  <c:v>0.0204366325759375</c:v>
                </c:pt>
                <c:pt idx="3">
                  <c:v>0.0208151598468764</c:v>
                </c:pt>
                <c:pt idx="4">
                  <c:v>0.0211936871178153</c:v>
                </c:pt>
                <c:pt idx="5">
                  <c:v>0.0172841060880891</c:v>
                </c:pt>
                <c:pt idx="6">
                  <c:v>0.0133745250583628</c:v>
                </c:pt>
                <c:pt idx="7">
                  <c:v>0.010907080472794</c:v>
                </c:pt>
                <c:pt idx="8">
                  <c:v>0.00843963588722518</c:v>
                </c:pt>
                <c:pt idx="9">
                  <c:v>0.00511075652537274</c:v>
                </c:pt>
                <c:pt idx="10">
                  <c:v>0.0017818771635203</c:v>
                </c:pt>
                <c:pt idx="11">
                  <c:v>0.00145309053865006</c:v>
                </c:pt>
                <c:pt idx="12">
                  <c:v>0.00112430391377982</c:v>
                </c:pt>
                <c:pt idx="13">
                  <c:v>0.000916848934356951</c:v>
                </c:pt>
                <c:pt idx="14">
                  <c:v>0.000709393954934079</c:v>
                </c:pt>
              </c:numCache>
            </c:numRef>
          </c:val>
          <c:smooth val="0"/>
        </c:ser>
        <c:ser>
          <c:idx val="4"/>
          <c:order val="4"/>
          <c:tx>
            <c:strRef>
              <c:f>'[Synchronized scenarios Co-existence simulation results data_Ericsson_ZTE_CMCC_QC_HW_CATT.xlsx]Scn4 4GHz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UL(V)'!$F$33:$F$53</c:f>
              <c:numCache>
                <c:formatCode>General</c:formatCode>
                <c:ptCount val="21"/>
                <c:pt idx="0">
                  <c:v>0.57676</c:v>
                </c:pt>
                <c:pt idx="1">
                  <c:v>0.5071</c:v>
                </c:pt>
                <c:pt idx="2">
                  <c:v>0.41334</c:v>
                </c:pt>
                <c:pt idx="3">
                  <c:v>0.40871</c:v>
                </c:pt>
                <c:pt idx="4">
                  <c:v>0.31313</c:v>
                </c:pt>
                <c:pt idx="5">
                  <c:v>0.30478</c:v>
                </c:pt>
                <c:pt idx="6">
                  <c:v>0.29602</c:v>
                </c:pt>
                <c:pt idx="7">
                  <c:v>0.27195</c:v>
                </c:pt>
                <c:pt idx="8">
                  <c:v>0.24527</c:v>
                </c:pt>
                <c:pt idx="9">
                  <c:v>0.23587</c:v>
                </c:pt>
                <c:pt idx="10">
                  <c:v>0.22464</c:v>
                </c:pt>
              </c:numCache>
            </c:numRef>
          </c:val>
          <c:smooth val="0"/>
        </c:ser>
        <c:ser>
          <c:idx val="5"/>
          <c:order val="5"/>
          <c:tx>
            <c:strRef>
              <c:f>'[Synchronized scenarios Co-existence simulation results data_Ericsson_ZTE_CMCC_QC_HW_CATT.xlsx]Scn4 4GHz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UL(V)'!$G$33:$G$53</c:f>
              <c:numCache>
                <c:formatCode>General</c:formatCode>
                <c:ptCount val="21"/>
                <c:pt idx="0">
                  <c:v>0.31868</c:v>
                </c:pt>
                <c:pt idx="1">
                  <c:v>0.30417</c:v>
                </c:pt>
                <c:pt idx="2">
                  <c:v>0.293375</c:v>
                </c:pt>
                <c:pt idx="3">
                  <c:v>0.28671</c:v>
                </c:pt>
                <c:pt idx="4">
                  <c:v>0.27938</c:v>
                </c:pt>
                <c:pt idx="5">
                  <c:v>0.27462</c:v>
                </c:pt>
                <c:pt idx="6">
                  <c:v>0.274185</c:v>
                </c:pt>
                <c:pt idx="7">
                  <c:v>0.272265</c:v>
                </c:pt>
                <c:pt idx="8">
                  <c:v>0.27119</c:v>
                </c:pt>
                <c:pt idx="9">
                  <c:v>0.27066</c:v>
                </c:pt>
                <c:pt idx="10">
                  <c:v>0.27028</c:v>
                </c:pt>
                <c:pt idx="11">
                  <c:v>0.26969</c:v>
                </c:pt>
                <c:pt idx="12">
                  <c:v>0.269365</c:v>
                </c:pt>
                <c:pt idx="13">
                  <c:v>0.269105</c:v>
                </c:pt>
                <c:pt idx="14">
                  <c:v>0.268695</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UL(V)'!$Q$33:$Q$53</c:f>
              <c:numCache>
                <c:formatCode>General</c:formatCode>
                <c:ptCount val="21"/>
                <c:pt idx="0">
                  <c:v>0.403443016359695</c:v>
                </c:pt>
                <c:pt idx="1">
                  <c:v>0.389057175903007</c:v>
                </c:pt>
                <c:pt idx="2">
                  <c:v>0.377532716402751</c:v>
                </c:pt>
                <c:pt idx="3">
                  <c:v>0.3683153607281</c:v>
                </c:pt>
                <c:pt idx="4">
                  <c:v>0.360953009691867</c:v>
                </c:pt>
                <c:pt idx="5">
                  <c:v>0.355078709471346</c:v>
                </c:pt>
                <c:pt idx="6">
                  <c:v>0.350395828114813</c:v>
                </c:pt>
                <c:pt idx="7">
                  <c:v>0.346665384551359</c:v>
                </c:pt>
                <c:pt idx="8">
                  <c:v>0.343695373764208</c:v>
                </c:pt>
                <c:pt idx="9">
                  <c:v>0.341331878443363</c:v>
                </c:pt>
                <c:pt idx="10">
                  <c:v>0.339451737649799</c:v>
                </c:pt>
                <c:pt idx="11">
                  <c:v>0.337956545421736</c:v>
                </c:pt>
                <c:pt idx="12">
                  <c:v>0.336767767843971</c:v>
                </c:pt>
                <c:pt idx="13">
                  <c:v>0.335822789432916</c:v>
                </c:pt>
                <c:pt idx="14">
                  <c:v>0.335071724403901</c:v>
                </c:pt>
              </c:numCache>
            </c:numRef>
          </c:val>
          <c:smooth val="0"/>
        </c:ser>
        <c:ser>
          <c:idx val="1"/>
          <c:order val="1"/>
          <c:tx>
            <c:strRef>
              <c:f>'[Synchronized scenarios Co-existence simulation results data_Ericsson_ZTE_CMCC_QC_HW_CATT.xlsx]Scn4 4GHz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UL(V)'!$R$33:$R$53</c:f>
              <c:numCache>
                <c:formatCode>General</c:formatCode>
                <c:ptCount val="21"/>
                <c:pt idx="0">
                  <c:v>0.148516925631337</c:v>
                </c:pt>
                <c:pt idx="1">
                  <c:v>0.143504878138756</c:v>
                </c:pt>
                <c:pt idx="2">
                  <c:v>0.139487194776</c:v>
                </c:pt>
                <c:pt idx="3">
                  <c:v>0.13627181378727</c:v>
                </c:pt>
                <c:pt idx="4">
                  <c:v>0.133702048892459</c:v>
                </c:pt>
                <c:pt idx="5">
                  <c:v>0.131650622162627</c:v>
                </c:pt>
                <c:pt idx="6">
                  <c:v>0.130014536982959</c:v>
                </c:pt>
                <c:pt idx="7">
                  <c:v>0.128710719601477</c:v>
                </c:pt>
                <c:pt idx="8">
                  <c:v>0.127672352461627</c:v>
                </c:pt>
                <c:pt idx="9">
                  <c:v>0.126845818854759</c:v>
                </c:pt>
                <c:pt idx="10">
                  <c:v>0.126188178304854</c:v>
                </c:pt>
                <c:pt idx="11">
                  <c:v>0.125665095478988</c:v>
                </c:pt>
                <c:pt idx="12">
                  <c:v>0.12524915141805</c:v>
                </c:pt>
                <c:pt idx="13">
                  <c:v>0.124918473415114</c:v>
                </c:pt>
                <c:pt idx="14">
                  <c:v>0.124655627989656</c:v>
                </c:pt>
              </c:numCache>
            </c:numRef>
          </c:val>
          <c:smooth val="0"/>
        </c:ser>
        <c:ser>
          <c:idx val="2"/>
          <c:order val="2"/>
          <c:tx>
            <c:strRef>
              <c:f>'[Synchronized scenarios Co-existence simulation results data_Ericsson_ZTE_CMCC_QC_HW_CATT.xlsx]Scn4 4GHz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UL(V)'!$S$33:$S$53</c:f>
              <c:numCache>
                <c:formatCode>General</c:formatCode>
                <c:ptCount val="21"/>
                <c:pt idx="0">
                  <c:v>0.182623041900354</c:v>
                </c:pt>
                <c:pt idx="1">
                  <c:v>0.175263519024531</c:v>
                </c:pt>
                <c:pt idx="2">
                  <c:v>0.169406929121017</c:v>
                </c:pt>
                <c:pt idx="3">
                  <c:v>0.164748088497602</c:v>
                </c:pt>
                <c:pt idx="4">
                  <c:v>0.161043144925981</c:v>
                </c:pt>
                <c:pt idx="5">
                  <c:v>0.158097487025777</c:v>
                </c:pt>
                <c:pt idx="6">
                  <c:v>0.155755950348822</c:v>
                </c:pt>
                <c:pt idx="7">
                  <c:v>0.153894916330383</c:v>
                </c:pt>
                <c:pt idx="8">
                  <c:v>0.152415958820206</c:v>
                </c:pt>
                <c:pt idx="9">
                  <c:v>0.151240748072878</c:v>
                </c:pt>
                <c:pt idx="10">
                  <c:v>0.150306971550941</c:v>
                </c:pt>
                <c:pt idx="11">
                  <c:v>0.149565073855822</c:v>
                </c:pt>
                <c:pt idx="12">
                  <c:v>0.148975654587612</c:v>
                </c:pt>
                <c:pt idx="13">
                  <c:v>0.148507393430906</c:v>
                </c:pt>
                <c:pt idx="14">
                  <c:v>0.148135396955858</c:v>
                </c:pt>
                <c:pt idx="15">
                  <c:v>0.147839882251399</c:v>
                </c:pt>
                <c:pt idx="16">
                  <c:v>0.147605129285522</c:v>
                </c:pt>
                <c:pt idx="17">
                  <c:v>0.147418647464099</c:v>
                </c:pt>
                <c:pt idx="18">
                  <c:v>0.147270512801934</c:v>
                </c:pt>
                <c:pt idx="19">
                  <c:v>0.147152840911944</c:v>
                </c:pt>
                <c:pt idx="20">
                  <c:v>0.14705936806538</c:v>
                </c:pt>
              </c:numCache>
            </c:numRef>
          </c:val>
          <c:smooth val="0"/>
        </c:ser>
        <c:ser>
          <c:idx val="3"/>
          <c:order val="3"/>
          <c:tx>
            <c:strRef>
              <c:f>'[Synchronized scenarios Co-existence simulation results data_Ericsson_ZTE_CMCC_QC_HW_CATT.xlsx]Scn4 4GHz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UL(V)'!$T$33:$T$53</c:f>
              <c:numCache>
                <c:formatCode>General</c:formatCode>
                <c:ptCount val="21"/>
                <c:pt idx="0">
                  <c:v>0.0301394677824418</c:v>
                </c:pt>
                <c:pt idx="1">
                  <c:v>0.0246552921222165</c:v>
                </c:pt>
                <c:pt idx="2">
                  <c:v>0.0191711164619912</c:v>
                </c:pt>
                <c:pt idx="3">
                  <c:v>0.0175255259145968</c:v>
                </c:pt>
                <c:pt idx="4">
                  <c:v>0.0158799353672023</c:v>
                </c:pt>
                <c:pt idx="5">
                  <c:v>0.0129721835032959</c:v>
                </c:pt>
                <c:pt idx="6">
                  <c:v>0.0100644316393894</c:v>
                </c:pt>
                <c:pt idx="7">
                  <c:v>0.00821641758290137</c:v>
                </c:pt>
                <c:pt idx="8">
                  <c:v>0.00636840352641332</c:v>
                </c:pt>
                <c:pt idx="9">
                  <c:v>0.0047220111194124</c:v>
                </c:pt>
                <c:pt idx="10">
                  <c:v>0.00307561871241147</c:v>
                </c:pt>
                <c:pt idx="11">
                  <c:v>0.00250894724554418</c:v>
                </c:pt>
                <c:pt idx="12">
                  <c:v>0.00194227577867689</c:v>
                </c:pt>
                <c:pt idx="13">
                  <c:v>0.00158422252528045</c:v>
                </c:pt>
                <c:pt idx="14">
                  <c:v>0.00122616927188401</c:v>
                </c:pt>
              </c:numCache>
            </c:numRef>
          </c:val>
          <c:smooth val="0"/>
        </c:ser>
        <c:ser>
          <c:idx val="4"/>
          <c:order val="4"/>
          <c:tx>
            <c:strRef>
              <c:f>'[Synchronized scenarios Co-existence simulation results data_Ericsson_ZTE_CMCC_QC_HW_CATT.xlsx]Scn4 4GHz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UL(V)'!$U$33:$U$53</c:f>
              <c:numCache>
                <c:formatCode>General</c:formatCode>
                <c:ptCount val="21"/>
                <c:pt idx="0">
                  <c:v>0.08633</c:v>
                </c:pt>
                <c:pt idx="1">
                  <c:v>0.079682</c:v>
                </c:pt>
                <c:pt idx="2">
                  <c:v>0.075489</c:v>
                </c:pt>
                <c:pt idx="3">
                  <c:v>0.071095</c:v>
                </c:pt>
                <c:pt idx="4">
                  <c:v>0.062057</c:v>
                </c:pt>
                <c:pt idx="5">
                  <c:v>0.057801</c:v>
                </c:pt>
                <c:pt idx="6">
                  <c:v>0.045876</c:v>
                </c:pt>
                <c:pt idx="7">
                  <c:v>0.042005</c:v>
                </c:pt>
                <c:pt idx="8">
                  <c:v>0.038359</c:v>
                </c:pt>
                <c:pt idx="9">
                  <c:v>0.038085</c:v>
                </c:pt>
                <c:pt idx="10">
                  <c:v>0.001773</c:v>
                </c:pt>
              </c:numCache>
            </c:numRef>
          </c:val>
          <c:smooth val="0"/>
        </c:ser>
        <c:ser>
          <c:idx val="5"/>
          <c:order val="5"/>
          <c:tx>
            <c:strRef>
              <c:f>'[Synchronized scenarios Co-existence simulation results data_Ericsson_ZTE_CMCC_QC_HW_CATT.xlsx]Scn4 4GHz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UL(V)'!$V$33:$V$53</c:f>
              <c:numCache>
                <c:formatCode>General</c:formatCode>
                <c:ptCount val="21"/>
                <c:pt idx="0">
                  <c:v>0.065736</c:v>
                </c:pt>
                <c:pt idx="1">
                  <c:v>0.060834</c:v>
                </c:pt>
                <c:pt idx="2">
                  <c:v>0.058675</c:v>
                </c:pt>
                <c:pt idx="3">
                  <c:v>0.055342</c:v>
                </c:pt>
                <c:pt idx="4">
                  <c:v>0.053656</c:v>
                </c:pt>
                <c:pt idx="5">
                  <c:v>0.052924</c:v>
                </c:pt>
                <c:pt idx="6">
                  <c:v>0.052837</c:v>
                </c:pt>
                <c:pt idx="7">
                  <c:v>0.052453</c:v>
                </c:pt>
                <c:pt idx="8">
                  <c:v>0.052238</c:v>
                </c:pt>
                <c:pt idx="9">
                  <c:v>0.052132</c:v>
                </c:pt>
                <c:pt idx="10">
                  <c:v>0.052056</c:v>
                </c:pt>
                <c:pt idx="11">
                  <c:v>0.051938</c:v>
                </c:pt>
                <c:pt idx="12">
                  <c:v>0.051873</c:v>
                </c:pt>
                <c:pt idx="13">
                  <c:v>0.051821</c:v>
                </c:pt>
                <c:pt idx="14">
                  <c:v>0.051739</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UL(V)'!$AG$33:$AG$53</c:f>
              <c:numCache>
                <c:formatCode>General</c:formatCode>
                <c:ptCount val="21"/>
                <c:pt idx="0">
                  <c:v>1.06613352663342</c:v>
                </c:pt>
                <c:pt idx="1">
                  <c:v>1.05367271765281</c:v>
                </c:pt>
                <c:pt idx="2">
                  <c:v>1.04410371107851</c:v>
                </c:pt>
                <c:pt idx="3">
                  <c:v>1.0139720347805</c:v>
                </c:pt>
                <c:pt idx="4">
                  <c:v>0.997782384226453</c:v>
                </c:pt>
                <c:pt idx="5">
                  <c:v>0.986224019035409</c:v>
                </c:pt>
                <c:pt idx="6">
                  <c:v>0.977040786392946</c:v>
                </c:pt>
                <c:pt idx="7">
                  <c:v>0.937891204518038</c:v>
                </c:pt>
                <c:pt idx="8">
                  <c:v>0.930802433815181</c:v>
                </c:pt>
                <c:pt idx="9">
                  <c:v>0.915828948246866</c:v>
                </c:pt>
                <c:pt idx="10">
                  <c:v>0.907962338225499</c:v>
                </c:pt>
                <c:pt idx="11">
                  <c:v>0.906752428771251</c:v>
                </c:pt>
                <c:pt idx="12">
                  <c:v>0.905791340574336</c:v>
                </c:pt>
                <c:pt idx="13">
                  <c:v>0.90502790659871</c:v>
                </c:pt>
                <c:pt idx="14">
                  <c:v>0.904421480297069</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UL(V)'!$AV$33:$AV$53</c:f>
              <c:numCache>
                <c:formatCode>General</c:formatCode>
                <c:ptCount val="21"/>
                <c:pt idx="0">
                  <c:v>0.579033492342895</c:v>
                </c:pt>
                <c:pt idx="1">
                  <c:v>0.558786550795631</c:v>
                </c:pt>
                <c:pt idx="2">
                  <c:v>0.542550632585348</c:v>
                </c:pt>
                <c:pt idx="3">
                  <c:v>0.529554450588587</c:v>
                </c:pt>
                <c:pt idx="4">
                  <c:v>0.51916690303343</c:v>
                </c:pt>
                <c:pt idx="5">
                  <c:v>0.510874413096618</c:v>
                </c:pt>
                <c:pt idx="6">
                  <c:v>0.504260944663715</c:v>
                </c:pt>
                <c:pt idx="7">
                  <c:v>0.498990743494721</c:v>
                </c:pt>
                <c:pt idx="8">
                  <c:v>0.494793680196604</c:v>
                </c:pt>
                <c:pt idx="9">
                  <c:v>0.49145296914429</c:v>
                </c:pt>
                <c:pt idx="10">
                  <c:v>0.488794988561669</c:v>
                </c:pt>
                <c:pt idx="11">
                  <c:v>0.486680914794557</c:v>
                </c:pt>
                <c:pt idx="12">
                  <c:v>0.484999894746763</c:v>
                </c:pt>
                <c:pt idx="13">
                  <c:v>0.483663504299614</c:v>
                </c:pt>
                <c:pt idx="14">
                  <c:v>0.482601270241423</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DL(V)'!$B$33:$B$53</c:f>
              <c:numCache>
                <c:formatCode>General</c:formatCode>
                <c:ptCount val="21"/>
                <c:pt idx="0">
                  <c:v>0.232001523931524</c:v>
                </c:pt>
                <c:pt idx="1">
                  <c:v>0.23200151369841</c:v>
                </c:pt>
                <c:pt idx="2">
                  <c:v>0.232001505569968</c:v>
                </c:pt>
                <c:pt idx="3">
                  <c:v>0.180480565295693</c:v>
                </c:pt>
                <c:pt idx="4">
                  <c:v>0.156575288680327</c:v>
                </c:pt>
                <c:pt idx="5">
                  <c:v>0.156575269762038</c:v>
                </c:pt>
                <c:pt idx="6">
                  <c:v>0.156575254734714</c:v>
                </c:pt>
                <c:pt idx="7">
                  <c:v>0.156575242798085</c:v>
                </c:pt>
                <c:pt idx="8">
                  <c:v>0.156575233316492</c:v>
                </c:pt>
                <c:pt idx="9">
                  <c:v>0.156575225785027</c:v>
                </c:pt>
                <c:pt idx="10">
                  <c:v>0.156575219802524</c:v>
                </c:pt>
                <c:pt idx="11">
                  <c:v>0.15657521505047</c:v>
                </c:pt>
                <c:pt idx="12">
                  <c:v>0.156575211275767</c:v>
                </c:pt>
                <c:pt idx="13">
                  <c:v>0.156575208277454</c:v>
                </c:pt>
                <c:pt idx="14">
                  <c:v>0.156575205895748</c:v>
                </c:pt>
                <c:pt idx="15">
                  <c:v>0.156575204003939</c:v>
                </c:pt>
              </c:numCache>
            </c:numRef>
          </c:val>
          <c:smooth val="0"/>
        </c:ser>
        <c:ser>
          <c:idx val="1"/>
          <c:order val="1"/>
          <c:tx>
            <c:strRef>
              <c:f>'[Synchronized scenarios Co-existence simulation results data_Ericsson_ZTE_CMCC_QC_HW_CATT.xlsx]Scn9 2GHz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DL(V)'!$C$33:$C$53</c:f>
              <c:numCache>
                <c:formatCode>General</c:formatCode>
                <c:ptCount val="21"/>
                <c:pt idx="0">
                  <c:v>0.0693501558329701</c:v>
                </c:pt>
                <c:pt idx="1">
                  <c:v>0.0693501434791188</c:v>
                </c:pt>
                <c:pt idx="2">
                  <c:v>0.0693501336661129</c:v>
                </c:pt>
                <c:pt idx="3">
                  <c:v>0.0693501258713702</c:v>
                </c:pt>
                <c:pt idx="4">
                  <c:v>0.0591407154478696</c:v>
                </c:pt>
                <c:pt idx="5">
                  <c:v>0.0591407154477586</c:v>
                </c:pt>
                <c:pt idx="6">
                  <c:v>0.0591407154476253</c:v>
                </c:pt>
                <c:pt idx="7">
                  <c:v>0.0591407154475254</c:v>
                </c:pt>
                <c:pt idx="8">
                  <c:v>0.0591407154474588</c:v>
                </c:pt>
                <c:pt idx="9">
                  <c:v>0.0591407154473922</c:v>
                </c:pt>
                <c:pt idx="10">
                  <c:v>0.05914071544737</c:v>
                </c:pt>
                <c:pt idx="11">
                  <c:v>0.0591407154473145</c:v>
                </c:pt>
                <c:pt idx="12">
                  <c:v>0.0591407154472812</c:v>
                </c:pt>
                <c:pt idx="13">
                  <c:v>0.0591407154472701</c:v>
                </c:pt>
                <c:pt idx="14">
                  <c:v>0.0591407154472368</c:v>
                </c:pt>
                <c:pt idx="15">
                  <c:v>0.0591407154472257</c:v>
                </c:pt>
              </c:numCache>
            </c:numRef>
          </c:val>
          <c:smooth val="0"/>
        </c:ser>
        <c:ser>
          <c:idx val="2"/>
          <c:order val="2"/>
          <c:tx>
            <c:strRef>
              <c:f>'[Synchronized scenarios Co-existence simulation results data_Ericsson_ZTE_CMCC_QC_HW_CATT.xlsx]Scn9 2GHz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DL(V)'!$D$33:$D$53</c:f>
              <c:numCache>
                <c:formatCode>General</c:formatCode>
                <c:ptCount val="21"/>
                <c:pt idx="0">
                  <c:v>0.00040509966164565</c:v>
                </c:pt>
                <c:pt idx="1">
                  <c:v>0.000372867406302977</c:v>
                </c:pt>
                <c:pt idx="2">
                  <c:v>0.000347264385966368</c:v>
                </c:pt>
                <c:pt idx="3">
                  <c:v>0.000326927165269451</c:v>
                </c:pt>
                <c:pt idx="4">
                  <c:v>0.000310772724797438</c:v>
                </c:pt>
                <c:pt idx="5">
                  <c:v>0.000297940789086467</c:v>
                </c:pt>
                <c:pt idx="6">
                  <c:v>0.000287748015566573</c:v>
                </c:pt>
                <c:pt idx="7">
                  <c:v>0.000279651604766772</c:v>
                </c:pt>
                <c:pt idx="8">
                  <c:v>0.000273220395200494</c:v>
                </c:pt>
                <c:pt idx="9">
                  <c:v>0.000268111902649952</c:v>
                </c:pt>
                <c:pt idx="10">
                  <c:v>0.000264054082050996</c:v>
                </c:pt>
                <c:pt idx="11">
                  <c:v>0.000260830840123376</c:v>
                </c:pt>
                <c:pt idx="12">
                  <c:v>0.000258270527701301</c:v>
                </c:pt>
                <c:pt idx="13">
                  <c:v>0.000256236799120231</c:v>
                </c:pt>
                <c:pt idx="14">
                  <c:v>0.000254621350944901</c:v>
                </c:pt>
                <c:pt idx="15">
                  <c:v>0.000253338154803299</c:v>
                </c:pt>
                <c:pt idx="16">
                  <c:v>0.000252318875780907</c:v>
                </c:pt>
                <c:pt idx="17">
                  <c:v>0.000251509233666767</c:v>
                </c:pt>
                <c:pt idx="18">
                  <c:v>0.000250866112071769</c:v>
                </c:pt>
                <c:pt idx="19">
                  <c:v>0.000250355262380495</c:v>
                </c:pt>
                <c:pt idx="20">
                  <c:v>0.00024994948007589</c:v>
                </c:pt>
              </c:numCache>
            </c:numRef>
          </c:val>
          <c:smooth val="0"/>
        </c:ser>
        <c:ser>
          <c:idx val="3"/>
          <c:order val="3"/>
          <c:tx>
            <c:strRef>
              <c:f>'[Synchronized scenarios Co-existence simulation results data_Ericsson_ZTE_CMCC_QC_HW_CATT.xlsx]Scn9 2GHz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DL(V)'!$E$33:$E$53</c:f>
              <c:numCache>
                <c:formatCode>0.00E+00</c:formatCode>
                <c:ptCount val="21"/>
                <c:pt idx="0">
                  <c:v>1.7861215628745e-5</c:v>
                </c:pt>
                <c:pt idx="1">
                  <c:v>1.38196946886104e-5</c:v>
                </c:pt>
                <c:pt idx="2">
                  <c:v>1.12696666998424e-5</c:v>
                </c:pt>
                <c:pt idx="3">
                  <c:v>8.7196387110744e-6</c:v>
                </c:pt>
                <c:pt idx="4">
                  <c:v>8.7196387110744e-6</c:v>
                </c:pt>
                <c:pt idx="5">
                  <c:v>8.7196387110744e-6</c:v>
                </c:pt>
                <c:pt idx="6">
                  <c:v>5.45495660864148e-6</c:v>
                </c:pt>
                <c:pt idx="7">
                  <c:v>2.19027450620857e-6</c:v>
                </c:pt>
                <c:pt idx="8">
                  <c:v>2.19027450620857e-6</c:v>
                </c:pt>
                <c:pt idx="9">
                  <c:v>2.19027450620857e-6</c:v>
                </c:pt>
                <c:pt idx="10">
                  <c:v>1.78612215573359e-6</c:v>
                </c:pt>
                <c:pt idx="11">
                  <c:v>1.38196980525862e-6</c:v>
                </c:pt>
                <c:pt idx="12">
                  <c:v>1.12696690868219e-6</c:v>
                </c:pt>
                <c:pt idx="13">
                  <c:v>8.71964012105764e-7</c:v>
                </c:pt>
                <c:pt idx="14">
                  <c:v>7.11068059988662e-7</c:v>
                </c:pt>
                <c:pt idx="15">
                  <c:v>5.50172107871561e-7</c:v>
                </c:pt>
              </c:numCache>
            </c:numRef>
          </c:val>
          <c:smooth val="0"/>
        </c:ser>
        <c:ser>
          <c:idx val="4"/>
          <c:order val="4"/>
          <c:tx>
            <c:strRef>
              <c:f>'[Synchronized scenarios Co-existence simulation results data_Ericsson_ZTE_CMCC_QC_HW_CATT.xlsx]Scn9 2GHz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DL(V)'!$F$33:$F$53</c:f>
              <c:numCache>
                <c:formatCode>General</c:formatCode>
                <c:ptCount val="21"/>
                <c:pt idx="0">
                  <c:v>0.39105</c:v>
                </c:pt>
                <c:pt idx="1">
                  <c:v>0.38363</c:v>
                </c:pt>
                <c:pt idx="2">
                  <c:v>0.377482</c:v>
                </c:pt>
                <c:pt idx="3">
                  <c:v>0.350508</c:v>
                </c:pt>
                <c:pt idx="4">
                  <c:v>0.32733</c:v>
                </c:pt>
                <c:pt idx="5">
                  <c:v>0.29859</c:v>
                </c:pt>
                <c:pt idx="6">
                  <c:v>0.28541</c:v>
                </c:pt>
                <c:pt idx="7">
                  <c:v>0.26619</c:v>
                </c:pt>
                <c:pt idx="8">
                  <c:v>0.24044</c:v>
                </c:pt>
                <c:pt idx="9">
                  <c:v>0.22515</c:v>
                </c:pt>
                <c:pt idx="10">
                  <c:v>0.21915</c:v>
                </c:pt>
              </c:numCache>
            </c:numRef>
          </c:val>
          <c:smooth val="0"/>
        </c:ser>
        <c:ser>
          <c:idx val="5"/>
          <c:order val="5"/>
          <c:tx>
            <c:strRef>
              <c:f>'[Synchronized scenarios Co-existence simulation results data_Ericsson_ZTE_CMCC_QC_HW_CATT.xlsx]Scn9 2GHz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DL(V)'!$G$33:$G$53</c:f>
              <c:numCache>
                <c:formatCode>General</c:formatCode>
                <c:ptCount val="21"/>
                <c:pt idx="0">
                  <c:v>0.29616</c:v>
                </c:pt>
                <c:pt idx="1">
                  <c:v>0.293467</c:v>
                </c:pt>
                <c:pt idx="2">
                  <c:v>0.28812</c:v>
                </c:pt>
                <c:pt idx="3">
                  <c:v>0.277373</c:v>
                </c:pt>
                <c:pt idx="4">
                  <c:v>0.240658</c:v>
                </c:pt>
                <c:pt idx="5">
                  <c:v>0.233719</c:v>
                </c:pt>
                <c:pt idx="6">
                  <c:v>0.228197</c:v>
                </c:pt>
                <c:pt idx="7">
                  <c:v>0.223804</c:v>
                </c:pt>
                <c:pt idx="8">
                  <c:v>0.22031</c:v>
                </c:pt>
                <c:pt idx="9">
                  <c:v>0.217532</c:v>
                </c:pt>
                <c:pt idx="10">
                  <c:v>0.215323</c:v>
                </c:pt>
                <c:pt idx="11">
                  <c:v>0.213568</c:v>
                </c:pt>
                <c:pt idx="12">
                  <c:v>0.212173</c:v>
                </c:pt>
                <c:pt idx="13">
                  <c:v>0.211065</c:v>
                </c:pt>
                <c:pt idx="14">
                  <c:v>0.210184</c:v>
                </c:pt>
                <c:pt idx="15">
                  <c:v>0.209484</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DL(V)'!$Q$33:$Q$53</c:f>
              <c:numCache>
                <c:formatCode>General</c:formatCode>
                <c:ptCount val="21"/>
                <c:pt idx="0">
                  <c:v>0.0320335659062421</c:v>
                </c:pt>
                <c:pt idx="1">
                  <c:v>0.0308345555534717</c:v>
                </c:pt>
                <c:pt idx="2">
                  <c:v>0.02983177069108</c:v>
                </c:pt>
                <c:pt idx="3">
                  <c:v>0.0290045807165407</c:v>
                </c:pt>
                <c:pt idx="4">
                  <c:v>0.0283222699654528</c:v>
                </c:pt>
                <c:pt idx="5">
                  <c:v>0.0277644788056253</c:v>
                </c:pt>
                <c:pt idx="6">
                  <c:v>0.0273107512272608</c:v>
                </c:pt>
                <c:pt idx="7">
                  <c:v>0.0269432407036918</c:v>
                </c:pt>
                <c:pt idx="8">
                  <c:v>0.0266475576961134</c:v>
                </c:pt>
                <c:pt idx="9">
                  <c:v>0.0264089019291314</c:v>
                </c:pt>
                <c:pt idx="10">
                  <c:v>0.026217338430834</c:v>
                </c:pt>
                <c:pt idx="11">
                  <c:v>0.0260638865461904</c:v>
                </c:pt>
                <c:pt idx="12">
                  <c:v>0.025941167172483</c:v>
                </c:pt>
                <c:pt idx="13">
                  <c:v>0.0258431569992168</c:v>
                </c:pt>
                <c:pt idx="14">
                  <c:v>0.0257649657184111</c:v>
                </c:pt>
                <c:pt idx="15">
                  <c:v>0.0257026401292326</c:v>
                </c:pt>
              </c:numCache>
            </c:numRef>
          </c:val>
          <c:smooth val="0"/>
        </c:ser>
        <c:ser>
          <c:idx val="1"/>
          <c:order val="1"/>
          <c:tx>
            <c:strRef>
              <c:f>'[Synchronized scenarios Co-existence simulation results data_Ericsson_ZTE_CMCC_QC_HW_CATT.xlsx]Scn9 2GHz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DL(V)'!$R$33:$R$53</c:f>
              <c:numCache>
                <c:formatCode>General</c:formatCode>
                <c:ptCount val="21"/>
                <c:pt idx="0">
                  <c:v>0.0143552759643284</c:v>
                </c:pt>
                <c:pt idx="1">
                  <c:v>0.0139346163564258</c:v>
                </c:pt>
                <c:pt idx="2">
                  <c:v>0.0135866460523881</c:v>
                </c:pt>
                <c:pt idx="3">
                  <c:v>0.0133006389633872</c:v>
                </c:pt>
                <c:pt idx="4">
                  <c:v>0.0130668885658158</c:v>
                </c:pt>
                <c:pt idx="5">
                  <c:v>0.0128767850830269</c:v>
                </c:pt>
                <c:pt idx="6">
                  <c:v>0.0127228284333203</c:v>
                </c:pt>
                <c:pt idx="7">
                  <c:v>0.0125985881578305</c:v>
                </c:pt>
                <c:pt idx="8">
                  <c:v>0.0124541220475227</c:v>
                </c:pt>
                <c:pt idx="9">
                  <c:v>0.012373291090606</c:v>
                </c:pt>
                <c:pt idx="10">
                  <c:v>0.0123085376974252</c:v>
                </c:pt>
                <c:pt idx="11">
                  <c:v>0.0122567502648163</c:v>
                </c:pt>
                <c:pt idx="12">
                  <c:v>0.0122153884531073</c:v>
                </c:pt>
                <c:pt idx="13">
                  <c:v>0.012182389462112</c:v>
                </c:pt>
                <c:pt idx="14">
                  <c:v>0.0121560855717795</c:v>
                </c:pt>
              </c:numCache>
            </c:numRef>
          </c:val>
          <c:smooth val="0"/>
        </c:ser>
        <c:ser>
          <c:idx val="2"/>
          <c:order val="2"/>
          <c:tx>
            <c:strRef>
              <c:f>'[Synchronized scenarios Co-existence simulation results data_Ericsson_ZTE_CMCC_QC_HW_CATT.xlsx]Scn9 2GHz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DL(V)'!$S$33:$S$53</c:f>
              <c:numCache>
                <c:formatCode>General</c:formatCode>
                <c:ptCount val="21"/>
                <c:pt idx="0">
                  <c:v>0.0167959725354264</c:v>
                </c:pt>
                <c:pt idx="1">
                  <c:v>0.0159234604464414</c:v>
                </c:pt>
                <c:pt idx="2">
                  <c:v>0.0152041950895324</c:v>
                </c:pt>
                <c:pt idx="3">
                  <c:v>0.0146146709341435</c:v>
                </c:pt>
                <c:pt idx="4">
                  <c:v>0.0141339559817647</c:v>
                </c:pt>
                <c:pt idx="5">
                  <c:v>0.0137437172692642</c:v>
                </c:pt>
                <c:pt idx="6">
                  <c:v>0.0134281415973135</c:v>
                </c:pt>
                <c:pt idx="7">
                  <c:v>0.0131737740006222</c:v>
                </c:pt>
                <c:pt idx="8">
                  <c:v>0.0129693015244599</c:v>
                </c:pt>
                <c:pt idx="9">
                  <c:v>0.0128053087145455</c:v>
                </c:pt>
                <c:pt idx="10">
                  <c:v>0.0126740265002388</c:v>
                </c:pt>
                <c:pt idx="11">
                  <c:v>0.012569090151026</c:v>
                </c:pt>
                <c:pt idx="12">
                  <c:v>0.0124853162437295</c:v>
                </c:pt>
                <c:pt idx="13">
                  <c:v>0.0124185038662577</c:v>
                </c:pt>
                <c:pt idx="14">
                  <c:v>0.0123652618269638</c:v>
                </c:pt>
                <c:pt idx="15">
                  <c:v>0.0123228613442703</c:v>
                </c:pt>
                <c:pt idx="16">
                  <c:v>0.0122891123303554</c:v>
                </c:pt>
                <c:pt idx="17">
                  <c:v>0.0122622607015113</c:v>
                </c:pt>
                <c:pt idx="18">
                  <c:v>0.0122409039225923</c:v>
                </c:pt>
                <c:pt idx="19">
                  <c:v>0.01222392204943</c:v>
                </c:pt>
                <c:pt idx="20">
                  <c:v>0.0122104217463724</c:v>
                </c:pt>
              </c:numCache>
            </c:numRef>
          </c:val>
          <c:smooth val="0"/>
        </c:ser>
        <c:ser>
          <c:idx val="3"/>
          <c:order val="3"/>
          <c:tx>
            <c:strRef>
              <c:f>'[Synchronized scenarios Co-existence simulation results data_Ericsson_ZTE_CMCC_QC_HW_CATT.xlsx]Scn9 2GHz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DL(V)'!$T$33:$T$53</c:f>
              <c:numCache>
                <c:formatCode>0.00E+00</c:formatCode>
                <c:ptCount val="21"/>
                <c:pt idx="0">
                  <c:v>5.36379818893984e-6</c:v>
                </c:pt>
                <c:pt idx="1">
                  <c:v>4.15012099130863e-6</c:v>
                </c:pt>
                <c:pt idx="2">
                  <c:v>3.38433806534866e-6</c:v>
                </c:pt>
                <c:pt idx="3">
                  <c:v>2.61855513938869e-6</c:v>
                </c:pt>
                <c:pt idx="4">
                  <c:v>2.61855513938869e-6</c:v>
                </c:pt>
                <c:pt idx="5">
                  <c:v>2.61855513938869e-6</c:v>
                </c:pt>
                <c:pt idx="6">
                  <c:v>1.63815411791113e-6</c:v>
                </c:pt>
                <c:pt idx="7">
                  <c:v>6.57753096433567e-7</c:v>
                </c:pt>
                <c:pt idx="8">
                  <c:v>6.57753096433567e-7</c:v>
                </c:pt>
                <c:pt idx="9">
                  <c:v>6.57753096433567e-7</c:v>
                </c:pt>
                <c:pt idx="10">
                  <c:v>5.36383687466113e-7</c:v>
                </c:pt>
                <c:pt idx="11">
                  <c:v>4.1501427849866e-7</c:v>
                </c:pt>
                <c:pt idx="12">
                  <c:v>3.38435329760856e-7</c:v>
                </c:pt>
                <c:pt idx="13">
                  <c:v>2.61856381023051e-7</c:v>
                </c:pt>
                <c:pt idx="14">
                  <c:v>2.13538281501613e-7</c:v>
                </c:pt>
                <c:pt idx="15">
                  <c:v>1.65220181980175e-7</c:v>
                </c:pt>
              </c:numCache>
            </c:numRef>
          </c:val>
          <c:smooth val="0"/>
        </c:ser>
        <c:ser>
          <c:idx val="4"/>
          <c:order val="4"/>
          <c:tx>
            <c:strRef>
              <c:f>'[Synchronized scenarios Co-existence simulation results data_Ericsson_ZTE_CMCC_QC_HW_CATT.xlsx]Scn9 2GHz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DL(V)'!$U$33:$U$53</c:f>
              <c:numCache>
                <c:formatCode>General</c:formatCode>
                <c:ptCount val="21"/>
                <c:pt idx="0">
                  <c:v>0.028149</c:v>
                </c:pt>
                <c:pt idx="1">
                  <c:v>0.024485</c:v>
                </c:pt>
                <c:pt idx="2">
                  <c:v>0.021012</c:v>
                </c:pt>
                <c:pt idx="3">
                  <c:v>0.019192</c:v>
                </c:pt>
                <c:pt idx="4">
                  <c:v>0.017867</c:v>
                </c:pt>
                <c:pt idx="5">
                  <c:v>0.014088</c:v>
                </c:pt>
                <c:pt idx="6">
                  <c:v>0.012177</c:v>
                </c:pt>
                <c:pt idx="7">
                  <c:v>0.011901</c:v>
                </c:pt>
                <c:pt idx="8">
                  <c:v>0.011871</c:v>
                </c:pt>
                <c:pt idx="9">
                  <c:v>0.011813</c:v>
                </c:pt>
                <c:pt idx="10">
                  <c:v>0.011378</c:v>
                </c:pt>
              </c:numCache>
            </c:numRef>
          </c:val>
          <c:smooth val="0"/>
        </c:ser>
        <c:ser>
          <c:idx val="5"/>
          <c:order val="5"/>
          <c:tx>
            <c:strRef>
              <c:f>'[Synchronized scenarios Co-existence simulation results data_Ericsson_ZTE_CMCC_QC_HW_CATT.xlsx]Scn9 2GHz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DL(V)'!$V$33:$V$53</c:f>
              <c:numCache>
                <c:formatCode>General</c:formatCode>
                <c:ptCount val="21"/>
                <c:pt idx="0">
                  <c:v>0.028613</c:v>
                </c:pt>
                <c:pt idx="1">
                  <c:v>0.026259</c:v>
                </c:pt>
                <c:pt idx="2">
                  <c:v>0.024854</c:v>
                </c:pt>
                <c:pt idx="3">
                  <c:v>0.022934</c:v>
                </c:pt>
                <c:pt idx="4">
                  <c:v>0.021966</c:v>
                </c:pt>
                <c:pt idx="5">
                  <c:v>0.021588</c:v>
                </c:pt>
                <c:pt idx="6">
                  <c:v>0.021097</c:v>
                </c:pt>
                <c:pt idx="7">
                  <c:v>0.020938</c:v>
                </c:pt>
                <c:pt idx="8">
                  <c:v>0.020899</c:v>
                </c:pt>
                <c:pt idx="9">
                  <c:v>0.020804</c:v>
                </c:pt>
                <c:pt idx="10">
                  <c:v>0.020808</c:v>
                </c:pt>
                <c:pt idx="11">
                  <c:v>0.020794</c:v>
                </c:pt>
                <c:pt idx="12">
                  <c:v>0.0207669999999999</c:v>
                </c:pt>
                <c:pt idx="13">
                  <c:v>0.0207499999999999</c:v>
                </c:pt>
                <c:pt idx="14">
                  <c:v>0.0207609999999999</c:v>
                </c:pt>
                <c:pt idx="15">
                  <c:v>0.020759</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DL(V)'!$AG$33:$AG$53</c:f>
              <c:numCache>
                <c:formatCode>General</c:formatCode>
                <c:ptCount val="21"/>
                <c:pt idx="0">
                  <c:v>5.3987219571056</c:v>
                </c:pt>
                <c:pt idx="1">
                  <c:v>5.39542508330461</c:v>
                </c:pt>
                <c:pt idx="2">
                  <c:v>5.39280610656254</c:v>
                </c:pt>
                <c:pt idx="3">
                  <c:v>5.39072566782884</c:v>
                </c:pt>
                <c:pt idx="4">
                  <c:v>5.3890730462061</c:v>
                </c:pt>
                <c:pt idx="5">
                  <c:v>5.38776027777019</c:v>
                </c:pt>
                <c:pt idx="6">
                  <c:v>5.38671748070769</c:v>
                </c:pt>
                <c:pt idx="7">
                  <c:v>5.38588913987252</c:v>
                </c:pt>
                <c:pt idx="8">
                  <c:v>5.38523115420017</c:v>
                </c:pt>
                <c:pt idx="9">
                  <c:v>5.38470849056152</c:v>
                </c:pt>
                <c:pt idx="10">
                  <c:v>5.38429331963342</c:v>
                </c:pt>
                <c:pt idx="11">
                  <c:v>5.38396353483979</c:v>
                </c:pt>
                <c:pt idx="12">
                  <c:v>5.38370157569811</c:v>
                </c:pt>
                <c:pt idx="13">
                  <c:v>5.38349349303953</c:v>
                </c:pt>
                <c:pt idx="14">
                  <c:v>5.38332820640453</c:v>
                </c:pt>
                <c:pt idx="15">
                  <c:v>5.38319691411923</c:v>
                </c:pt>
              </c:numCache>
            </c:numRef>
          </c:val>
          <c:smooth val="0"/>
        </c:ser>
        <c:ser>
          <c:idx val="1"/>
          <c:order val="1"/>
          <c:tx>
            <c:strRef>
              <c:f>'[Synchronized scenarios Co-existence simulation results data_Ericsson_ZTE_CMCC_QC_HW_CATT.xlsx]Scn9 2GHz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DL(V)'!$AH$33:$AH$53</c:f>
              <c:numCache>
                <c:formatCode>General</c:formatCode>
                <c:ptCount val="21"/>
                <c:pt idx="0">
                  <c:v>1.05947139403464</c:v>
                </c:pt>
                <c:pt idx="1">
                  <c:v>1.04450784717739</c:v>
                </c:pt>
                <c:pt idx="2">
                  <c:v>1.04450780662768</c:v>
                </c:pt>
                <c:pt idx="3">
                  <c:v>1.04450777441792</c:v>
                </c:pt>
                <c:pt idx="4">
                  <c:v>1.04450774883279</c:v>
                </c:pt>
                <c:pt idx="5">
                  <c:v>1.0445077285098</c:v>
                </c:pt>
                <c:pt idx="6">
                  <c:v>1.04450771236668</c:v>
                </c:pt>
                <c:pt idx="7">
                  <c:v>1.04450769954373</c:v>
                </c:pt>
                <c:pt idx="8">
                  <c:v>1.04450768935811</c:v>
                </c:pt>
                <c:pt idx="9">
                  <c:v>1.04450768126737</c:v>
                </c:pt>
                <c:pt idx="10">
                  <c:v>1.04450767484069</c:v>
                </c:pt>
                <c:pt idx="11">
                  <c:v>1.04450766973581</c:v>
                </c:pt>
                <c:pt idx="12">
                  <c:v>1.04450766568081</c:v>
                </c:pt>
                <c:pt idx="13">
                  <c:v>1.04450766245985</c:v>
                </c:pt>
                <c:pt idx="14">
                  <c:v>1.04450765990133</c:v>
                </c:pt>
                <c:pt idx="15">
                  <c:v>1.04450765786903</c:v>
                </c:pt>
              </c:numCache>
            </c:numRef>
          </c:val>
          <c:smooth val="0"/>
        </c:ser>
        <c:ser>
          <c:idx val="2"/>
          <c:order val="2"/>
          <c:tx>
            <c:strRef>
              <c:f>'[Synchronized scenarios Co-existence simulation results data_Ericsson_ZTE_CMCC_QC_HW_CATT.xlsx]Scn9 2GHz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DL(V)'!$AI$33:$AI$53</c:f>
              <c:numCache>
                <c:formatCode>General</c:formatCode>
                <c:ptCount val="21"/>
                <c:pt idx="0">
                  <c:v>2.49635144377132</c:v>
                </c:pt>
                <c:pt idx="1">
                  <c:v>2.31215284862165</c:v>
                </c:pt>
                <c:pt idx="2">
                  <c:v>2.16422049219318</c:v>
                </c:pt>
                <c:pt idx="3">
                  <c:v>2.04567212975278</c:v>
                </c:pt>
                <c:pt idx="4">
                  <c:v>1.95083811449778</c:v>
                </c:pt>
                <c:pt idx="5">
                  <c:v>1.87508208135882</c:v>
                </c:pt>
                <c:pt idx="6">
                  <c:v>1.81463494145267</c:v>
                </c:pt>
                <c:pt idx="7">
                  <c:v>1.7664470607375</c:v>
                </c:pt>
                <c:pt idx="8">
                  <c:v>1.72806019433943</c:v>
                </c:pt>
                <c:pt idx="9">
                  <c:v>1.69749873899596</c:v>
                </c:pt>
                <c:pt idx="10">
                  <c:v>1.67317876366815</c:v>
                </c:pt>
                <c:pt idx="11">
                  <c:v>1.65383277352021</c:v>
                </c:pt>
                <c:pt idx="12">
                  <c:v>1.63844802794826</c:v>
                </c:pt>
                <c:pt idx="13">
                  <c:v>1.62621631211519</c:v>
                </c:pt>
                <c:pt idx="14">
                  <c:v>1.61649325038584</c:v>
                </c:pt>
                <c:pt idx="15">
                  <c:v>1.60876548470287</c:v>
                </c:pt>
                <c:pt idx="16">
                  <c:v>1.60262428319626</c:v>
                </c:pt>
                <c:pt idx="17">
                  <c:v>1.59774437328423</c:v>
                </c:pt>
                <c:pt idx="18">
                  <c:v>1.59386699911525</c:v>
                </c:pt>
                <c:pt idx="19">
                  <c:v>1.59078638180609</c:v>
                </c:pt>
                <c:pt idx="20">
                  <c:v>1.58833891262816</c:v>
                </c:pt>
              </c:numCache>
            </c:numRef>
          </c:val>
          <c:smooth val="0"/>
        </c:ser>
        <c:ser>
          <c:idx val="3"/>
          <c:order val="3"/>
          <c:tx>
            <c:strRef>
              <c:f>'[Synchronized scenarios Co-existence simulation results data_Ericsson_ZTE_CMCC_QC_HW_CATT.xlsx]Scn9 2GHz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DL(V)'!$AJ$33:$AJ$53</c:f>
              <c:numCache>
                <c:formatCode>0.00E+00</c:formatCode>
                <c:ptCount val="21"/>
                <c:pt idx="0">
                  <c:v>1.73829900029787e-5</c:v>
                </c:pt>
                <c:pt idx="1">
                  <c:v>1.3449678382127e-5</c:v>
                </c:pt>
                <c:pt idx="2">
                  <c:v>1.09679261284246e-5</c:v>
                </c:pt>
                <c:pt idx="3">
                  <c:v>8.48617387472217e-6</c:v>
                </c:pt>
                <c:pt idx="4">
                  <c:v>8.48617387472217e-6</c:v>
                </c:pt>
                <c:pt idx="5">
                  <c:v>8.48617387472217e-6</c:v>
                </c:pt>
                <c:pt idx="6">
                  <c:v>5.30890226779768e-6</c:v>
                </c:pt>
                <c:pt idx="7">
                  <c:v>2.13163066087319e-6</c:v>
                </c:pt>
                <c:pt idx="8">
                  <c:v>2.13163066087319e-6</c:v>
                </c:pt>
                <c:pt idx="9">
                  <c:v>2.13163066087319e-6</c:v>
                </c:pt>
                <c:pt idx="10">
                  <c:v>1.7382993489079e-6</c:v>
                </c:pt>
                <c:pt idx="11">
                  <c:v>1.34496803694262e-6</c:v>
                </c:pt>
                <c:pt idx="12">
                  <c:v>1.09679275106522e-6</c:v>
                </c:pt>
                <c:pt idx="13">
                  <c:v>8.48617465187829e-7</c:v>
                </c:pt>
                <c:pt idx="14">
                  <c:v>6.92029444859799e-7</c:v>
                </c:pt>
                <c:pt idx="15">
                  <c:v>5.35441424531769e-7</c:v>
                </c:pt>
              </c:numCache>
            </c:numRef>
          </c:val>
          <c:smooth val="0"/>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DL(V)'!$AV$33:$AV$53</c:f>
              <c:numCache>
                <c:formatCode>General</c:formatCode>
                <c:ptCount val="21"/>
                <c:pt idx="0">
                  <c:v>0.359019377212555</c:v>
                </c:pt>
                <c:pt idx="1">
                  <c:v>0.339774476915966</c:v>
                </c:pt>
                <c:pt idx="2">
                  <c:v>0.324231625892968</c:v>
                </c:pt>
                <c:pt idx="3">
                  <c:v>0.311142540111875</c:v>
                </c:pt>
                <c:pt idx="4">
                  <c:v>0.300477904581697</c:v>
                </c:pt>
                <c:pt idx="5">
                  <c:v>0.291826227094949</c:v>
                </c:pt>
                <c:pt idx="6">
                  <c:v>0.284833652711947</c:v>
                </c:pt>
                <c:pt idx="7">
                  <c:v>0.27919983545488</c:v>
                </c:pt>
                <c:pt idx="8">
                  <c:v>0.274672740104698</c:v>
                </c:pt>
                <c:pt idx="9">
                  <c:v>0.27104293386474</c:v>
                </c:pt>
                <c:pt idx="10">
                  <c:v>0.268137821308567</c:v>
                </c:pt>
                <c:pt idx="11">
                  <c:v>0.265816146107989</c:v>
                </c:pt>
                <c:pt idx="12">
                  <c:v>0.263962960453445</c:v>
                </c:pt>
                <c:pt idx="13">
                  <c:v>0.262485163368276</c:v>
                </c:pt>
                <c:pt idx="14">
                  <c:v>0.261307636567831</c:v>
                </c:pt>
                <c:pt idx="15">
                  <c:v>0.260369958845408</c:v>
                </c:pt>
              </c:numCache>
            </c:numRef>
          </c:val>
          <c:smooth val="0"/>
        </c:ser>
        <c:ser>
          <c:idx val="1"/>
          <c:order val="1"/>
          <c:tx>
            <c:strRef>
              <c:f>'[Synchronized scenarios Co-existence simulation results data_Ericsson_ZTE_CMCC_QC_HW_CATT.xlsx]Scn1 4GHz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DL(V)'!$AW$33:$AW$53</c:f>
              <c:numCache>
                <c:formatCode>General</c:formatCode>
                <c:ptCount val="21"/>
                <c:pt idx="0">
                  <c:v>0.234369219397967</c:v>
                </c:pt>
                <c:pt idx="1">
                  <c:v>0.221875274876604</c:v>
                </c:pt>
                <c:pt idx="2">
                  <c:v>0.211580324916705</c:v>
                </c:pt>
                <c:pt idx="3">
                  <c:v>0.203130860242162</c:v>
                </c:pt>
                <c:pt idx="4">
                  <c:v>0.196232997383561</c:v>
                </c:pt>
                <c:pt idx="5">
                  <c:v>0.190627975510049</c:v>
                </c:pt>
                <c:pt idx="6">
                  <c:v>0.186091669874178</c:v>
                </c:pt>
                <c:pt idx="7">
                  <c:v>0.1824327438535</c:v>
                </c:pt>
                <c:pt idx="8">
                  <c:v>0.179489885926076</c:v>
                </c:pt>
                <c:pt idx="9">
                  <c:v>0.177128544072447</c:v>
                </c:pt>
                <c:pt idx="10">
                  <c:v>0.175237492909885</c:v>
                </c:pt>
                <c:pt idx="11">
                  <c:v>0.173735955226095</c:v>
                </c:pt>
                <c:pt idx="12">
                  <c:v>0.172544637550331</c:v>
                </c:pt>
                <c:pt idx="13">
                  <c:v>0.171594312903667</c:v>
                </c:pt>
                <c:pt idx="14">
                  <c:v>0.170836874655889</c:v>
                </c:pt>
                <c:pt idx="15">
                  <c:v>0.170233585437651</c:v>
                </c:pt>
              </c:numCache>
            </c:numRef>
          </c:val>
          <c:smooth val="0"/>
        </c:ser>
        <c:ser>
          <c:idx val="2"/>
          <c:order val="2"/>
          <c:tx>
            <c:strRef>
              <c:f>'[Synchronized scenarios Co-existence simulation results data_Ericsson_ZTE_CMCC_QC_HW_CATT.xlsx]Scn1 4GHz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DL(V)'!$AX$33:$AX$53</c:f>
              <c:numCache>
                <c:formatCode>General</c:formatCode>
                <c:ptCount val="21"/>
                <c:pt idx="0">
                  <c:v>1.05408212068305</c:v>
                </c:pt>
                <c:pt idx="1">
                  <c:v>0.991278592014311</c:v>
                </c:pt>
                <c:pt idx="2">
                  <c:v>0.939827979564501</c:v>
                </c:pt>
                <c:pt idx="3">
                  <c:v>0.897894691943062</c:v>
                </c:pt>
                <c:pt idx="4">
                  <c:v>0.863870374700094</c:v>
                </c:pt>
                <c:pt idx="5">
                  <c:v>0.836368254713691</c:v>
                </c:pt>
                <c:pt idx="6">
                  <c:v>0.814209306844761</c:v>
                </c:pt>
                <c:pt idx="7">
                  <c:v>0.796403165109071</c:v>
                </c:pt>
                <c:pt idx="8">
                  <c:v>0.782126396006801</c:v>
                </c:pt>
                <c:pt idx="9">
                  <c:v>0.770700189899504</c:v>
                </c:pt>
                <c:pt idx="10">
                  <c:v>0.761568908458698</c:v>
                </c:pt>
                <c:pt idx="11">
                  <c:v>0.75428037309372</c:v>
                </c:pt>
                <c:pt idx="12">
                  <c:v>0.748468343698525</c:v>
                </c:pt>
                <c:pt idx="13">
                  <c:v>0.743837326751677</c:v>
                </c:pt>
                <c:pt idx="14">
                  <c:v>0.740149650780107</c:v>
                </c:pt>
                <c:pt idx="15">
                  <c:v>0.737214630863245</c:v>
                </c:pt>
                <c:pt idx="16">
                  <c:v>0.734879587660491</c:v>
                </c:pt>
                <c:pt idx="17">
                  <c:v>0.733022469802565</c:v>
                </c:pt>
                <c:pt idx="18">
                  <c:v>0.731545835823179</c:v>
                </c:pt>
                <c:pt idx="19">
                  <c:v>0.730371972191881</c:v>
                </c:pt>
                <c:pt idx="20">
                  <c:v>0.729438950240238</c:v>
                </c:pt>
              </c:numCache>
            </c:numRef>
          </c:val>
          <c:smooth val="0"/>
        </c:ser>
        <c:ser>
          <c:idx val="3"/>
          <c:order val="3"/>
          <c:tx>
            <c:strRef>
              <c:f>'[Synchronized scenarios Co-existence simulation results data_Ericsson_ZTE_CMCC_QC_HW_CATT.xlsx]Scn1 4GHz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DL(V)'!$AY$33:$AY$53</c:f>
              <c:numCache>
                <c:formatCode>General</c:formatCode>
                <c:ptCount val="21"/>
                <c:pt idx="0">
                  <c:v>0.977128692828266</c:v>
                </c:pt>
                <c:pt idx="1">
                  <c:v>0.82799684922501</c:v>
                </c:pt>
                <c:pt idx="2">
                  <c:v>0.714884302495489</c:v>
                </c:pt>
                <c:pt idx="3">
                  <c:v>0.601771755765967</c:v>
                </c:pt>
                <c:pt idx="4">
                  <c:v>0.517196490292898</c:v>
                </c:pt>
                <c:pt idx="5">
                  <c:v>0.432621224819829</c:v>
                </c:pt>
                <c:pt idx="6">
                  <c:v>0.432621224819829</c:v>
                </c:pt>
                <c:pt idx="7">
                  <c:v>0.432621224819829</c:v>
                </c:pt>
                <c:pt idx="8">
                  <c:v>0.291295426823002</c:v>
                </c:pt>
                <c:pt idx="9">
                  <c:v>0.149969628826174</c:v>
                </c:pt>
                <c:pt idx="10">
                  <c:v>0.149969628826174</c:v>
                </c:pt>
                <c:pt idx="11">
                  <c:v>0.149969628826174</c:v>
                </c:pt>
                <c:pt idx="12">
                  <c:v>0.126616622580361</c:v>
                </c:pt>
                <c:pt idx="13">
                  <c:v>0.103263616334548</c:v>
                </c:pt>
                <c:pt idx="14">
                  <c:v>0.086849042943099</c:v>
                </c:pt>
                <c:pt idx="15">
                  <c:v>0.0704344695516501</c:v>
                </c:pt>
              </c:numCache>
            </c:numRef>
          </c:val>
          <c:smooth val="0"/>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the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DL(V)'!$AV$33:$AV$53</c:f>
              <c:numCache>
                <c:formatCode>General</c:formatCode>
                <c:ptCount val="21"/>
                <c:pt idx="0">
                  <c:v>0.898845114772817</c:v>
                </c:pt>
                <c:pt idx="1">
                  <c:v>0.871551736060305</c:v>
                </c:pt>
                <c:pt idx="2">
                  <c:v>0.848469552338094</c:v>
                </c:pt>
                <c:pt idx="3">
                  <c:v>0.829262752316773</c:v>
                </c:pt>
                <c:pt idx="4">
                  <c:v>0.8133978619836</c:v>
                </c:pt>
                <c:pt idx="5">
                  <c:v>0.800378221651876</c:v>
                </c:pt>
                <c:pt idx="6">
                  <c:v>0.789753587963171</c:v>
                </c:pt>
                <c:pt idx="7">
                  <c:v>0.781125053652088</c:v>
                </c:pt>
                <c:pt idx="8">
                  <c:v>0.774199162144595</c:v>
                </c:pt>
                <c:pt idx="9">
                  <c:v>0.768574381529885</c:v>
                </c:pt>
                <c:pt idx="10">
                  <c:v>0.764053031294265</c:v>
                </c:pt>
                <c:pt idx="11">
                  <c:v>0.760427013446507</c:v>
                </c:pt>
                <c:pt idx="12">
                  <c:v>0.757524492571027</c:v>
                </c:pt>
                <c:pt idx="13">
                  <c:v>0.755204651380403</c:v>
                </c:pt>
                <c:pt idx="14">
                  <c:v>0.753352801519847</c:v>
                </c:pt>
                <c:pt idx="15">
                  <c:v>0.751876000060125</c:v>
                </c:pt>
              </c:numCache>
            </c:numRef>
          </c:val>
          <c:smooth val="0"/>
        </c:ser>
        <c:ser>
          <c:idx val="1"/>
          <c:order val="1"/>
          <c:tx>
            <c:strRef>
              <c:f>'[Synchronized scenarios Co-existence simulation results data_Ericsson_ZTE_CMCC_QC_HW_CATT.xlsx]Scn9 2GHz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DL(V)'!$AW$33:$AW$53</c:f>
              <c:numCache>
                <c:formatCode>General</c:formatCode>
                <c:ptCount val="21"/>
                <c:pt idx="0">
                  <c:v>0.192363659634975</c:v>
                </c:pt>
                <c:pt idx="1">
                  <c:v>0.185443220179471</c:v>
                </c:pt>
                <c:pt idx="2">
                  <c:v>0.179697791931677</c:v>
                </c:pt>
                <c:pt idx="3">
                  <c:v>0.174959628582849</c:v>
                </c:pt>
                <c:pt idx="4">
                  <c:v>0.171075490005457</c:v>
                </c:pt>
                <c:pt idx="5">
                  <c:v>0.167908195483346</c:v>
                </c:pt>
                <c:pt idx="6">
                  <c:v>0.165337209818106</c:v>
                </c:pt>
                <c:pt idx="7">
                  <c:v>0.163258373745045</c:v>
                </c:pt>
                <c:pt idx="8">
                  <c:v>0.161582978968911</c:v>
                </c:pt>
                <c:pt idx="9">
                  <c:v>0.160236412284742</c:v>
                </c:pt>
                <c:pt idx="10">
                  <c:v>0.159156573338037</c:v>
                </c:pt>
                <c:pt idx="11">
                  <c:v>0.158292228387558</c:v>
                </c:pt>
                <c:pt idx="12">
                  <c:v>0.157601414699349</c:v>
                </c:pt>
                <c:pt idx="13">
                  <c:v>0.157049967015188</c:v>
                </c:pt>
                <c:pt idx="14">
                  <c:v>0.156610203322594</c:v>
                </c:pt>
                <c:pt idx="15">
                  <c:v>0.156259782677926</c:v>
                </c:pt>
                <c:pt idx="16">
                  <c:v>0.127260074140578</c:v>
                </c:pt>
                <c:pt idx="17">
                  <c:v>0.125332359831365</c:v>
                </c:pt>
                <c:pt idx="18">
                  <c:v>0.123780672073892</c:v>
                </c:pt>
                <c:pt idx="19">
                  <c:v>0.12253484555389</c:v>
                </c:pt>
                <c:pt idx="20">
                  <c:v>0.121536677694045</c:v>
                </c:pt>
              </c:numCache>
            </c:numRef>
          </c:val>
          <c:smooth val="0"/>
        </c:ser>
        <c:ser>
          <c:idx val="2"/>
          <c:order val="2"/>
          <c:tx>
            <c:strRef>
              <c:f>'[Synchronized scenarios Co-existence simulation results data_Ericsson_ZTE_CMCC_QC_HW_CATT.xlsx]Scn9 2GHz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DL(V)'!$AX$33:$AX$53</c:f>
              <c:numCache>
                <c:formatCode>General</c:formatCode>
                <c:ptCount val="21"/>
                <c:pt idx="0">
                  <c:v>0.831948176126149</c:v>
                </c:pt>
                <c:pt idx="1">
                  <c:v>0.788972190685865</c:v>
                </c:pt>
                <c:pt idx="2">
                  <c:v>0.753523557530246</c:v>
                </c:pt>
                <c:pt idx="3">
                  <c:v>0.724455179265135</c:v>
                </c:pt>
                <c:pt idx="4">
                  <c:v>0.700742723960465</c:v>
                </c:pt>
                <c:pt idx="5">
                  <c:v>0.681487143319787</c:v>
                </c:pt>
                <c:pt idx="6">
                  <c:v>0.665911692182295</c:v>
                </c:pt>
                <c:pt idx="7">
                  <c:v>0.653354628262525</c:v>
                </c:pt>
                <c:pt idx="8">
                  <c:v>0.643259013201105</c:v>
                </c:pt>
                <c:pt idx="9">
                  <c:v>0.635160969668136</c:v>
                </c:pt>
                <c:pt idx="10">
                  <c:v>0.628677505935023</c:v>
                </c:pt>
                <c:pt idx="11">
                  <c:v>0.623494713650248</c:v>
                </c:pt>
                <c:pt idx="12">
                  <c:v>0.619356852843756</c:v>
                </c:pt>
                <c:pt idx="13">
                  <c:v>0.616056598945661</c:v>
                </c:pt>
                <c:pt idx="14">
                  <c:v>0.613426550871423</c:v>
                </c:pt>
                <c:pt idx="15">
                  <c:v>0.611331982225637</c:v>
                </c:pt>
                <c:pt idx="16">
                  <c:v>0.609664747845787</c:v>
                </c:pt>
                <c:pt idx="17">
                  <c:v>0.608338222448603</c:v>
                </c:pt>
                <c:pt idx="18">
                  <c:v>0.607283135786332</c:v>
                </c:pt>
                <c:pt idx="19">
                  <c:v>0.606444170686283</c:v>
                </c:pt>
                <c:pt idx="20">
                  <c:v>0.60577720033778</c:v>
                </c:pt>
              </c:numCache>
            </c:numRef>
          </c:val>
          <c:smooth val="0"/>
        </c:ser>
        <c:ser>
          <c:idx val="3"/>
          <c:order val="3"/>
          <c:tx>
            <c:strRef>
              <c:f>'[Synchronized scenarios Co-existence simulation results data_Ericsson_ZTE_CMCC_QC_HW_CATT.xlsx]Scn9 2GHz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DL(V)'!$AY$33:$AY$53</c:f>
              <c:numCache>
                <c:formatCode>0.00E+00</c:formatCode>
                <c:ptCount val="21"/>
                <c:pt idx="0">
                  <c:v>7.70440424235908e-6</c:v>
                </c:pt>
                <c:pt idx="1">
                  <c:v>5.9611260816439e-6</c:v>
                </c:pt>
                <c:pt idx="2">
                  <c:v>4.86117956444154e-6</c:v>
                </c:pt>
                <c:pt idx="3">
                  <c:v>3.76123304723919e-6</c:v>
                </c:pt>
                <c:pt idx="4">
                  <c:v>3.76123304723919e-6</c:v>
                </c:pt>
                <c:pt idx="5">
                  <c:v>3.76123304723919e-6</c:v>
                </c:pt>
                <c:pt idx="6">
                  <c:v>2.35300872675204e-6</c:v>
                </c:pt>
                <c:pt idx="7">
                  <c:v>9.44784406264887e-7</c:v>
                </c:pt>
                <c:pt idx="8">
                  <c:v>9.44784406264887e-7</c:v>
                </c:pt>
                <c:pt idx="9">
                  <c:v>9.44784406264887e-7</c:v>
                </c:pt>
                <c:pt idx="10">
                  <c:v>7.70451824561036e-7</c:v>
                </c:pt>
                <c:pt idx="11">
                  <c:v>5.96119242857185e-7</c:v>
                </c:pt>
                <c:pt idx="12">
                  <c:v>4.86122614384854e-7</c:v>
                </c:pt>
                <c:pt idx="13">
                  <c:v>3.76125985912523e-7</c:v>
                </c:pt>
                <c:pt idx="14">
                  <c:v>3.06722780507585e-7</c:v>
                </c:pt>
                <c:pt idx="15">
                  <c:v>2.37319575102646e-7</c:v>
                </c:pt>
              </c:numCache>
            </c:numRef>
          </c:val>
          <c:smooth val="0"/>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DL(V)'!$BK$33:$BK$53</c:f>
              <c:numCache>
                <c:formatCode>General</c:formatCode>
                <c:ptCount val="21"/>
                <c:pt idx="0">
                  <c:v>0.0756538414766417</c:v>
                </c:pt>
                <c:pt idx="1">
                  <c:v>0.0493614780587626</c:v>
                </c:pt>
                <c:pt idx="2">
                  <c:v>0.0493614623514493</c:v>
                </c:pt>
                <c:pt idx="3">
                  <c:v>0.0339123678061881</c:v>
                </c:pt>
                <c:pt idx="4">
                  <c:v>0.0339122604830822</c:v>
                </c:pt>
                <c:pt idx="5">
                  <c:v>0.0225495862964609</c:v>
                </c:pt>
                <c:pt idx="6">
                  <c:v>0.022549584154119</c:v>
                </c:pt>
                <c:pt idx="7">
                  <c:v>0.0225495824524025</c:v>
                </c:pt>
                <c:pt idx="8">
                  <c:v>0.0225495811006393</c:v>
                </c:pt>
                <c:pt idx="9">
                  <c:v>0.0225495800269537</c:v>
                </c:pt>
                <c:pt idx="10">
                  <c:v>0.0225495791740582</c:v>
                </c:pt>
                <c:pt idx="11">
                  <c:v>0.0225495784965668</c:v>
                </c:pt>
                <c:pt idx="12">
                  <c:v>0.0225495779584417</c:v>
                </c:pt>
                <c:pt idx="13">
                  <c:v>0.0225495775309836</c:v>
                </c:pt>
                <c:pt idx="14">
                  <c:v>0.0225495771914774</c:v>
                </c:pt>
                <c:pt idx="15">
                  <c:v>0.0225495769217488</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Avergae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DL(V)'!$BZ$33:$BZ$53</c:f>
              <c:numCache>
                <c:formatCode>General</c:formatCode>
                <c:ptCount val="21"/>
                <c:pt idx="0">
                  <c:v>0.0346620230306183</c:v>
                </c:pt>
                <c:pt idx="1">
                  <c:v>0.0333059274956082</c:v>
                </c:pt>
                <c:pt idx="2">
                  <c:v>0.0321771143360738</c:v>
                </c:pt>
                <c:pt idx="3">
                  <c:v>0.0311708728168769</c:v>
                </c:pt>
                <c:pt idx="4">
                  <c:v>0.0304012800182107</c:v>
                </c:pt>
                <c:pt idx="5">
                  <c:v>0.0297727226630573</c:v>
                </c:pt>
                <c:pt idx="6">
                  <c:v>0.0292618530841393</c:v>
                </c:pt>
                <c:pt idx="7">
                  <c:v>0.0288483543569362</c:v>
                </c:pt>
                <c:pt idx="8">
                  <c:v>0.0285148315022354</c:v>
                </c:pt>
                <c:pt idx="9">
                  <c:v>0.0282465941545684</c:v>
                </c:pt>
                <c:pt idx="10">
                  <c:v>0.0280313774727481</c:v>
                </c:pt>
                <c:pt idx="11">
                  <c:v>0.0278590384154898</c:v>
                </c:pt>
                <c:pt idx="12">
                  <c:v>0.0277212538505101</c:v>
                </c:pt>
                <c:pt idx="13">
                  <c:v>0.0276112373711501</c:v>
                </c:pt>
                <c:pt idx="14">
                  <c:v>0.0275234841033201</c:v>
                </c:pt>
                <c:pt idx="15">
                  <c:v>0.0274535473337112</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DL(V)'!$CO$33:$CO$53</c:f>
              <c:numCache>
                <c:formatCode>General</c:formatCode>
                <c:ptCount val="21"/>
                <c:pt idx="0">
                  <c:v>2.81807629605526</c:v>
                </c:pt>
                <c:pt idx="1">
                  <c:v>2.10005510812115</c:v>
                </c:pt>
                <c:pt idx="2">
                  <c:v>1.54708071958493</c:v>
                </c:pt>
                <c:pt idx="3">
                  <c:v>1.54708071945142</c:v>
                </c:pt>
                <c:pt idx="4">
                  <c:v>1.54708071934535</c:v>
                </c:pt>
                <c:pt idx="5">
                  <c:v>1.54708071926108</c:v>
                </c:pt>
                <c:pt idx="6">
                  <c:v>1.5126129092938</c:v>
                </c:pt>
                <c:pt idx="7">
                  <c:v>1.51261215293044</c:v>
                </c:pt>
                <c:pt idx="8">
                  <c:v>1.51261155212962</c:v>
                </c:pt>
                <c:pt idx="9">
                  <c:v>1.51261107489657</c:v>
                </c:pt>
                <c:pt idx="10">
                  <c:v>1.5126106958169</c:v>
                </c:pt>
                <c:pt idx="11">
                  <c:v>1.51261039470318</c:v>
                </c:pt>
                <c:pt idx="12">
                  <c:v>1.51261015552006</c:v>
                </c:pt>
                <c:pt idx="13">
                  <c:v>1.51260996553011</c:v>
                </c:pt>
                <c:pt idx="14">
                  <c:v>1.51260981461581</c:v>
                </c:pt>
                <c:pt idx="15">
                  <c:v>1.51260969474026</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DL(V)'!$DD$33:$DD$53</c:f>
              <c:numCache>
                <c:formatCode>General</c:formatCode>
                <c:ptCount val="21"/>
                <c:pt idx="0">
                  <c:v>0.891055439767652</c:v>
                </c:pt>
                <c:pt idx="1">
                  <c:v>0.861792562254349</c:v>
                </c:pt>
                <c:pt idx="2">
                  <c:v>0.837285157945877</c:v>
                </c:pt>
                <c:pt idx="3">
                  <c:v>0.812752537776718</c:v>
                </c:pt>
                <c:pt idx="4">
                  <c:v>0.795765401344262</c:v>
                </c:pt>
                <c:pt idx="5">
                  <c:v>0.781839849953792</c:v>
                </c:pt>
                <c:pt idx="6">
                  <c:v>0.770487539663312</c:v>
                </c:pt>
                <c:pt idx="7">
                  <c:v>0.761276568021818</c:v>
                </c:pt>
                <c:pt idx="8">
                  <c:v>0.753832524361675</c:v>
                </c:pt>
                <c:pt idx="9">
                  <c:v>0.747836169022487</c:v>
                </c:pt>
                <c:pt idx="10">
                  <c:v>0.743018986016164</c:v>
                </c:pt>
                <c:pt idx="11">
                  <c:v>0.73915762521044</c:v>
                </c:pt>
                <c:pt idx="12">
                  <c:v>0.736067981407362</c:v>
                </c:pt>
                <c:pt idx="13">
                  <c:v>0.733599408985552</c:v>
                </c:pt>
                <c:pt idx="14">
                  <c:v>0.731629369565312</c:v>
                </c:pt>
                <c:pt idx="15">
                  <c:v>0.730058662304645</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UL(V)'!$B$33:$B$53</c:f>
              <c:numCache>
                <c:formatCode>General</c:formatCode>
                <c:ptCount val="21"/>
                <c:pt idx="0">
                  <c:v>0.703688002161618</c:v>
                </c:pt>
                <c:pt idx="1">
                  <c:v>0.555811017249541</c:v>
                </c:pt>
                <c:pt idx="2">
                  <c:v>0.35949979785207</c:v>
                </c:pt>
                <c:pt idx="3">
                  <c:v>0.26124237565025</c:v>
                </c:pt>
                <c:pt idx="4">
                  <c:v>0.179211682398472</c:v>
                </c:pt>
                <c:pt idx="5">
                  <c:v>0.157612652905725</c:v>
                </c:pt>
                <c:pt idx="6">
                  <c:v>0.08993698645543</c:v>
                </c:pt>
                <c:pt idx="7">
                  <c:v>0.0693935604504703</c:v>
                </c:pt>
                <c:pt idx="8">
                  <c:v>0.0553065150911913</c:v>
                </c:pt>
                <c:pt idx="9">
                  <c:v>0.021365294936071</c:v>
                </c:pt>
                <c:pt idx="10">
                  <c:v>0.0213399703093975</c:v>
                </c:pt>
                <c:pt idx="11">
                  <c:v>0.0213198542341142</c:v>
                </c:pt>
                <c:pt idx="12">
                  <c:v>0.0213038754618644</c:v>
                </c:pt>
                <c:pt idx="13">
                  <c:v>0.0180862060349285</c:v>
                </c:pt>
                <c:pt idx="14">
                  <c:v>0.0145444343663481</c:v>
                </c:pt>
                <c:pt idx="15">
                  <c:v>0.0117309260179055</c:v>
                </c:pt>
                <c:pt idx="16">
                  <c:v>0.00949596387668228</c:v>
                </c:pt>
                <c:pt idx="17">
                  <c:v>0.00772059902808264</c:v>
                </c:pt>
                <c:pt idx="18">
                  <c:v>0.00631033160169991</c:v>
                </c:pt>
                <c:pt idx="19">
                  <c:v>0.00519008797200682</c:v>
                </c:pt>
                <c:pt idx="20">
                  <c:v>0.0043002289110361</c:v>
                </c:pt>
              </c:numCache>
            </c:numRef>
          </c:val>
          <c:smooth val="0"/>
        </c:ser>
        <c:ser>
          <c:idx val="1"/>
          <c:order val="1"/>
          <c:tx>
            <c:strRef>
              <c:f>'[Synchronized scenarios Co-existence simulation results data_Ericsson_ZTE_CMCC_QC_HW_CATT.xlsx]Scn10 2GHz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UL(V)'!$C$33:$C$53</c:f>
              <c:numCache>
                <c:formatCode>General</c:formatCode>
                <c:ptCount val="21"/>
                <c:pt idx="0">
                  <c:v>0.0679924299592738</c:v>
                </c:pt>
                <c:pt idx="1">
                  <c:v>0.046219172703299</c:v>
                </c:pt>
                <c:pt idx="2">
                  <c:v>0.0325294809573662</c:v>
                </c:pt>
                <c:pt idx="3">
                  <c:v>0.0161678668185838</c:v>
                </c:pt>
                <c:pt idx="4">
                  <c:v>0.011491470391356</c:v>
                </c:pt>
                <c:pt idx="5">
                  <c:v>0.00859506008682454</c:v>
                </c:pt>
                <c:pt idx="6">
                  <c:v>0.00675260238719444</c:v>
                </c:pt>
                <c:pt idx="7">
                  <c:v>0.00670059226591802</c:v>
                </c:pt>
                <c:pt idx="8">
                  <c:v>0.00665927911918107</c:v>
                </c:pt>
                <c:pt idx="9">
                  <c:v>0.00662646289578683</c:v>
                </c:pt>
                <c:pt idx="10">
                  <c:v>0.00660039602750073</c:v>
                </c:pt>
                <c:pt idx="11">
                  <c:v>0.00373210034232407</c:v>
                </c:pt>
                <c:pt idx="12" c:formatCode="0.00E+00">
                  <c:v>5.32142055975626e-6</c:v>
                </c:pt>
                <c:pt idx="13" c:formatCode="0.00E+00">
                  <c:v>4.26885794491128e-6</c:v>
                </c:pt>
                <c:pt idx="14" c:formatCode="0.00E+00">
                  <c:v>3.43277771763795e-6</c:v>
                </c:pt>
                <c:pt idx="15" c:formatCode="0.00E+00">
                  <c:v>2.76865557147232e-6</c:v>
                </c:pt>
                <c:pt idx="16" c:formatCode="0.00E+00">
                  <c:v>2.24112455260439e-6</c:v>
                </c:pt>
                <c:pt idx="17" c:formatCode="0.00E+00">
                  <c:v>1.82209178856141e-6</c:v>
                </c:pt>
                <c:pt idx="18" c:formatCode="0.00E+00">
                  <c:v>1.48924227394431e-6</c:v>
                </c:pt>
                <c:pt idx="19" c:formatCode="0.00E+00">
                  <c:v>1.22485045439547e-6</c:v>
                </c:pt>
                <c:pt idx="20" c:formatCode="0.00E+00">
                  <c:v>1.01483654812995e-6</c:v>
                </c:pt>
              </c:numCache>
            </c:numRef>
          </c:val>
          <c:smooth val="0"/>
        </c:ser>
        <c:ser>
          <c:idx val="2"/>
          <c:order val="2"/>
          <c:tx>
            <c:strRef>
              <c:f>'[Synchronized scenarios Co-existence simulation results data_Ericsson_ZTE_CMCC_QC_HW_CATT.xlsx]Scn10 2GHz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UL(V)'!$D$33:$D$53</c:f>
              <c:numCache>
                <c:formatCode>General</c:formatCode>
                <c:ptCount val="21"/>
                <c:pt idx="0">
                  <c:v>0.696350413521607</c:v>
                </c:pt>
                <c:pt idx="1">
                  <c:v>0.554945148625733</c:v>
                </c:pt>
                <c:pt idx="2">
                  <c:v>0.442093126645246</c:v>
                </c:pt>
                <c:pt idx="3">
                  <c:v>0.352114513619117</c:v>
                </c:pt>
                <c:pt idx="4">
                  <c:v>0.280427884321585</c:v>
                </c:pt>
                <c:pt idx="5">
                  <c:v>0.223349388335012</c:v>
                </c:pt>
                <c:pt idx="6">
                  <c:v>0.177924296583379</c:v>
                </c:pt>
                <c:pt idx="7">
                  <c:v>0.141787401453292</c:v>
                </c:pt>
                <c:pt idx="8">
                  <c:v>0.113048391184299</c:v>
                </c:pt>
                <c:pt idx="9">
                  <c:v>0.0901983991007319</c:v>
                </c:pt>
                <c:pt idx="10">
                  <c:v>0.0720342369890032</c:v>
                </c:pt>
                <c:pt idx="11">
                  <c:v>0.0575972314582834</c:v>
                </c:pt>
                <c:pt idx="12">
                  <c:v>0.0461240160366058</c:v>
                </c:pt>
                <c:pt idx="13">
                  <c:v>0.0370070475059005</c:v>
                </c:pt>
                <c:pt idx="14">
                  <c:v>0.0297629913724327</c:v>
                </c:pt>
                <c:pt idx="15">
                  <c:v>0.0240074501357125</c:v>
                </c:pt>
                <c:pt idx="16">
                  <c:v>0.0194347882973599</c:v>
                </c:pt>
                <c:pt idx="17">
                  <c:v>0.0158020429269827</c:v>
                </c:pt>
                <c:pt idx="18">
                  <c:v>0.0129161029824781</c:v>
                </c:pt>
                <c:pt idx="19">
                  <c:v>0.0106234999535179</c:v>
                </c:pt>
                <c:pt idx="20">
                  <c:v>0.00880228215149022</c:v>
                </c:pt>
              </c:numCache>
            </c:numRef>
          </c:val>
          <c:smooth val="0"/>
        </c:ser>
        <c:ser>
          <c:idx val="3"/>
          <c:order val="3"/>
          <c:tx>
            <c:strRef>
              <c:f>'[Synchronized scenarios Co-existence simulation results data_Ericsson_ZTE_CMCC_QC_HW_CATT.xlsx]Scn10 2GHz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UL(V)'!$E$33:$E$53</c:f>
              <c:numCache>
                <c:formatCode>General</c:formatCode>
                <c:ptCount val="21"/>
                <c:pt idx="0">
                  <c:v>0.0406171647345244</c:v>
                </c:pt>
                <c:pt idx="1">
                  <c:v>0.0332520218942256</c:v>
                </c:pt>
                <c:pt idx="2">
                  <c:v>0.0258868790539268</c:v>
                </c:pt>
                <c:pt idx="3">
                  <c:v>0.0211803849842152</c:v>
                </c:pt>
                <c:pt idx="4">
                  <c:v>0.0164738909145035</c:v>
                </c:pt>
                <c:pt idx="5">
                  <c:v>0.0134703172042339</c:v>
                </c:pt>
                <c:pt idx="6">
                  <c:v>0.0104667434939643</c:v>
                </c:pt>
                <c:pt idx="7">
                  <c:v>0.00856682183679181</c:v>
                </c:pt>
                <c:pt idx="8">
                  <c:v>0.00666690017961935</c:v>
                </c:pt>
                <c:pt idx="9">
                  <c:v>0.00546143802379606</c:v>
                </c:pt>
                <c:pt idx="10">
                  <c:v>0.00425597586797277</c:v>
                </c:pt>
                <c:pt idx="11">
                  <c:v>0.00345635869697936</c:v>
                </c:pt>
                <c:pt idx="12">
                  <c:v>0.00265674152598594</c:v>
                </c:pt>
                <c:pt idx="13">
                  <c:v>0.00217395791874964</c:v>
                </c:pt>
                <c:pt idx="14">
                  <c:v>0.00169117431151333</c:v>
                </c:pt>
                <c:pt idx="15">
                  <c:v>0.00136798437727625</c:v>
                </c:pt>
                <c:pt idx="16">
                  <c:v>0.00104479444303918</c:v>
                </c:pt>
                <c:pt idx="17">
                  <c:v>0.000852125552031069</c:v>
                </c:pt>
                <c:pt idx="18">
                  <c:v>0.000659456661022961</c:v>
                </c:pt>
                <c:pt idx="19">
                  <c:v>0.00053781989846069</c:v>
                </c:pt>
                <c:pt idx="20">
                  <c:v>0.000416183135898418</c:v>
                </c:pt>
              </c:numCache>
            </c:numRef>
          </c:val>
          <c:smooth val="0"/>
        </c:ser>
        <c:ser>
          <c:idx val="4"/>
          <c:order val="4"/>
          <c:tx>
            <c:strRef>
              <c:f>'[Synchronized scenarios Co-existence simulation results data_Ericsson_ZTE_CMCC_QC_HW_CATT.xlsx]Scn10 2GHz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ser>
        <c:ser>
          <c:idx val="5"/>
          <c:order val="5"/>
          <c:tx>
            <c:strRef>
              <c:f>'[Synchronized scenarios Co-existence simulation results data_Ericsson_ZTE_CMCC_QC_HW_CATT.xlsx]Scn10 2GHz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UL(V)'!$G$33:$G$53</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a:t>
            </a:r>
            <a:endParaRPr lang="en-US"/>
          </a:p>
          <a:p>
            <a:pPr>
              <a:defRPr lang="zh-CN" sz="1400" b="0" i="0" u="none" strike="noStrike" kern="1200" spc="0" baseline="0">
                <a:solidFill>
                  <a:schemeClr val="tx1">
                    <a:lumMod val="65000"/>
                    <a:lumOff val="35000"/>
                  </a:schemeClr>
                </a:solidFill>
                <a:latin typeface="+mn-lt"/>
                <a:ea typeface="+mn-ea"/>
                <a:cs typeface="+mn-cs"/>
              </a:defRPr>
            </a:pPr>
            <a:r>
              <a:rPr lang="en-US"/>
              <a:t>(20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UL(V)'!$Q$33:$Q$53</c:f>
              <c:numCache>
                <c:formatCode>General</c:formatCode>
                <c:ptCount val="21"/>
                <c:pt idx="0">
                  <c:v>0.337615772122069</c:v>
                </c:pt>
                <c:pt idx="1">
                  <c:v>0.270905270137822</c:v>
                </c:pt>
                <c:pt idx="2">
                  <c:v>0.216799211757235</c:v>
                </c:pt>
                <c:pt idx="3">
                  <c:v>0.173805316455133</c:v>
                </c:pt>
                <c:pt idx="4">
                  <c:v>0.138372037333168</c:v>
                </c:pt>
                <c:pt idx="5">
                  <c:v>0.1107856517503</c:v>
                </c:pt>
                <c:pt idx="6">
                  <c:v>0.0882791486940482</c:v>
                </c:pt>
                <c:pt idx="7">
                  <c:v>0.0705329144899625</c:v>
                </c:pt>
                <c:pt idx="8">
                  <c:v>0.0563193983226351</c:v>
                </c:pt>
                <c:pt idx="9">
                  <c:v>0.0451247729525206</c:v>
                </c:pt>
                <c:pt idx="10">
                  <c:v>0.0358291842027736</c:v>
                </c:pt>
                <c:pt idx="11">
                  <c:v>0.0287175223382619</c:v>
                </c:pt>
                <c:pt idx="12">
                  <c:v>0.0230547356658395</c:v>
                </c:pt>
                <c:pt idx="13">
                  <c:v>0.0185477734634842</c:v>
                </c:pt>
                <c:pt idx="14">
                  <c:v>0.0147772649912059</c:v>
                </c:pt>
                <c:pt idx="15">
                  <c:v>0.0119251982427571</c:v>
                </c:pt>
                <c:pt idx="16">
                  <c:v>0.00965741683915944</c:v>
                </c:pt>
                <c:pt idx="17">
                  <c:v>0.00785458858250099</c:v>
                </c:pt>
                <c:pt idx="18">
                  <c:v>0.00642162057040707</c:v>
                </c:pt>
                <c:pt idx="19">
                  <c:v>0.0052827833573188</c:v>
                </c:pt>
                <c:pt idx="20">
                  <c:v>0.00437779879979283</c:v>
                </c:pt>
              </c:numCache>
            </c:numRef>
          </c:val>
          <c:smooth val="0"/>
        </c:ser>
        <c:ser>
          <c:idx val="1"/>
          <c:order val="1"/>
          <c:tx>
            <c:strRef>
              <c:f>'[Synchronized scenarios Co-existence simulation results data_Ericsson_ZTE_CMCC_QC_HW_CATT.xlsx]Scn10 2GHz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UL(V)'!$R$33:$R$53</c:f>
              <c:numCache>
                <c:formatCode>General</c:formatCode>
                <c:ptCount val="21"/>
                <c:pt idx="0">
                  <c:v>0.0377921821359761</c:v>
                </c:pt>
                <c:pt idx="1">
                  <c:v>0.0302444355727127</c:v>
                </c:pt>
                <c:pt idx="2">
                  <c:v>0.0241809017361816</c:v>
                </c:pt>
                <c:pt idx="3">
                  <c:v>0.019319152579278</c:v>
                </c:pt>
                <c:pt idx="4">
                  <c:v>0.015427427133885</c:v>
                </c:pt>
                <c:pt idx="5">
                  <c:v>0.012316523894973</c:v>
                </c:pt>
                <c:pt idx="6">
                  <c:v>0.00980319575024646</c:v>
                </c:pt>
                <c:pt idx="7">
                  <c:v>0.00782191209137695</c:v>
                </c:pt>
                <c:pt idx="8">
                  <c:v>0.00624278801422129</c:v>
                </c:pt>
                <c:pt idx="9">
                  <c:v>0.00498501792766115</c:v>
                </c:pt>
                <c:pt idx="10">
                  <c:v>0.00398374100378796</c:v>
                </c:pt>
                <c:pt idx="11">
                  <c:v>0.00318699701363778</c:v>
                </c:pt>
                <c:pt idx="12">
                  <c:v>0.00255322785757128</c:v>
                </c:pt>
                <c:pt idx="13">
                  <c:v>0.00204923929310041</c:v>
                </c:pt>
                <c:pt idx="14">
                  <c:v>0.00164854639891354</c:v>
                </c:pt>
                <c:pt idx="15">
                  <c:v>0.0013300360728441</c:v>
                </c:pt>
                <c:pt idx="16">
                  <c:v>0.00107688947399431</c:v>
                </c:pt>
                <c:pt idx="17">
                  <c:v>0.000875716289194806</c:v>
                </c:pt>
                <c:pt idx="18">
                  <c:v>0.000715860743183416</c:v>
                </c:pt>
                <c:pt idx="19">
                  <c:v>0.000588846294791168</c:v>
                </c:pt>
                <c:pt idx="20">
                  <c:v>0.000487931953818688</c:v>
                </c:pt>
              </c:numCache>
            </c:numRef>
          </c:val>
          <c:smooth val="0"/>
        </c:ser>
        <c:ser>
          <c:idx val="2"/>
          <c:order val="2"/>
          <c:tx>
            <c:strRef>
              <c:f>'[Synchronized scenarios Co-existence simulation results data_Ericsson_ZTE_CMCC_QC_HW_CATT.xlsx]Scn10 2GHz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UL(V)'!$S$33:$S$53</c:f>
              <c:numCache>
                <c:formatCode>General</c:formatCode>
                <c:ptCount val="21"/>
                <c:pt idx="0">
                  <c:v>0.472550283617875</c:v>
                </c:pt>
                <c:pt idx="1">
                  <c:v>0.400975344415818</c:v>
                </c:pt>
                <c:pt idx="2">
                  <c:v>0.338768755843252</c:v>
                </c:pt>
                <c:pt idx="3">
                  <c:v>0.27935448603159</c:v>
                </c:pt>
                <c:pt idx="4">
                  <c:v>0.23266151487287</c:v>
                </c:pt>
                <c:pt idx="5">
                  <c:v>0.192767125249736</c:v>
                </c:pt>
                <c:pt idx="6">
                  <c:v>0.158929527480056</c:v>
                </c:pt>
                <c:pt idx="7">
                  <c:v>0.130444616443142</c:v>
                </c:pt>
                <c:pt idx="8">
                  <c:v>0.106643993404842</c:v>
                </c:pt>
                <c:pt idx="9">
                  <c:v>0.0868986612290651</c:v>
                </c:pt>
                <c:pt idx="10">
                  <c:v>0.070625438988523</c:v>
                </c:pt>
                <c:pt idx="11">
                  <c:v>0.0572932980704289</c:v>
                </c:pt>
                <c:pt idx="12">
                  <c:v>0.0464277343846299</c:v>
                </c:pt>
                <c:pt idx="13">
                  <c:v>0.0376123643546164</c:v>
                </c:pt>
                <c:pt idx="14">
                  <c:v>0.0304877862823801</c:v>
                </c:pt>
                <c:pt idx="15">
                  <c:v>0.0247482504363336</c:v>
                </c:pt>
                <c:pt idx="16">
                  <c:v>0.0201368655900326</c:v>
                </c:pt>
                <c:pt idx="17">
                  <c:v>0.0164400411410587</c:v>
                </c:pt>
                <c:pt idx="18">
                  <c:v>0.0134817281724009</c:v>
                </c:pt>
                <c:pt idx="19">
                  <c:v>0.0111178568192519</c:v>
                </c:pt>
                <c:pt idx="20">
                  <c:v>0.00923121496295263</c:v>
                </c:pt>
              </c:numCache>
            </c:numRef>
          </c:val>
          <c:smooth val="0"/>
        </c:ser>
        <c:ser>
          <c:idx val="3"/>
          <c:order val="3"/>
          <c:tx>
            <c:strRef>
              <c:f>'[Synchronized scenarios Co-existence simulation results data_Ericsson_ZTE_CMCC_QC_HW_CATT.xlsx]Scn10 2GHz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UL(V)'!$T$33:$T$53</c:f>
              <c:numCache>
                <c:formatCode>General</c:formatCode>
                <c:ptCount val="21"/>
                <c:pt idx="0">
                  <c:v>0.0102506158813798</c:v>
                </c:pt>
                <c:pt idx="1">
                  <c:v>0.00836168859212338</c:v>
                </c:pt>
                <c:pt idx="2">
                  <c:v>0.006472761302867</c:v>
                </c:pt>
                <c:pt idx="3">
                  <c:v>0.00527940934346716</c:v>
                </c:pt>
                <c:pt idx="4">
                  <c:v>0.00408605738406731</c:v>
                </c:pt>
                <c:pt idx="5">
                  <c:v>0.00333249580467543</c:v>
                </c:pt>
                <c:pt idx="6">
                  <c:v>0.00257893422528355</c:v>
                </c:pt>
                <c:pt idx="7">
                  <c:v>0.00210322656997164</c:v>
                </c:pt>
                <c:pt idx="8">
                  <c:v>0.00162751891465973</c:v>
                </c:pt>
                <c:pt idx="9">
                  <c:v>0.00132727099798058</c:v>
                </c:pt>
                <c:pt idx="10">
                  <c:v>0.00102702308130143</c:v>
                </c:pt>
                <c:pt idx="11">
                  <c:v>0.000837540924764069</c:v>
                </c:pt>
                <c:pt idx="12">
                  <c:v>0.000648058768226711</c:v>
                </c:pt>
                <c:pt idx="13">
                  <c:v>0.000528488261447579</c:v>
                </c:pt>
                <c:pt idx="14">
                  <c:v>0.000408917754668448</c:v>
                </c:pt>
                <c:pt idx="15">
                  <c:v>0.000333467752283712</c:v>
                </c:pt>
                <c:pt idx="16">
                  <c:v>0.000258017749898976</c:v>
                </c:pt>
                <c:pt idx="17">
                  <c:v>0.000210409582535043</c:v>
                </c:pt>
                <c:pt idx="18">
                  <c:v>0.00016280141517111</c:v>
                </c:pt>
                <c:pt idx="19">
                  <c:v>0.000132761723004027</c:v>
                </c:pt>
                <c:pt idx="20">
                  <c:v>0.000102722030836944</c:v>
                </c:pt>
              </c:numCache>
            </c:numRef>
          </c:val>
          <c:smooth val="0"/>
        </c:ser>
        <c:ser>
          <c:idx val="4"/>
          <c:order val="4"/>
          <c:tx>
            <c:strRef>
              <c:f>'[Synchronized scenarios Co-existence simulation results data_Ericsson_ZTE_CMCC_QC_HW_CATT.xlsx]Scn10 2GHz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UL(V)'!$U$33:$U$53</c:f>
              <c:numCache>
                <c:formatCode>General</c:formatCode>
                <c:ptCount val="21"/>
                <c:pt idx="0">
                  <c:v>0.036328</c:v>
                </c:pt>
                <c:pt idx="1">
                  <c:v>0.036188</c:v>
                </c:pt>
                <c:pt idx="2">
                  <c:v>0.032327</c:v>
                </c:pt>
                <c:pt idx="3">
                  <c:v>0.031921</c:v>
                </c:pt>
                <c:pt idx="4">
                  <c:v>0.027106</c:v>
                </c:pt>
                <c:pt idx="5">
                  <c:v>0.026142</c:v>
                </c:pt>
                <c:pt idx="6">
                  <c:v>0.025972</c:v>
                </c:pt>
                <c:pt idx="7">
                  <c:v>0.025592</c:v>
                </c:pt>
                <c:pt idx="8">
                  <c:v>0.024962</c:v>
                </c:pt>
                <c:pt idx="9">
                  <c:v>0.024748</c:v>
                </c:pt>
                <c:pt idx="10">
                  <c:v>0.024655</c:v>
                </c:pt>
              </c:numCache>
            </c:numRef>
          </c:val>
          <c:smooth val="0"/>
        </c:ser>
        <c:ser>
          <c:idx val="5"/>
          <c:order val="5"/>
          <c:tx>
            <c:strRef>
              <c:f>'[Synchronized scenarios Co-existence simulation results data_Ericsson_ZTE_CMCC_QC_HW_CATT.xlsx]Scn10 2GHz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UL(V)'!$V$33:$V$53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UL(V)'!$AG$33:$AG$53</c:f>
              <c:numCache>
                <c:formatCode>General</c:formatCode>
                <c:ptCount val="21"/>
                <c:pt idx="0">
                  <c:v>4.82103210551654</c:v>
                </c:pt>
                <c:pt idx="1">
                  <c:v>4.66086329765607</c:v>
                </c:pt>
                <c:pt idx="2">
                  <c:v>4.28017479616909</c:v>
                </c:pt>
                <c:pt idx="3">
                  <c:v>3.4335030583783</c:v>
                </c:pt>
                <c:pt idx="4">
                  <c:v>2.91387001536556</c:v>
                </c:pt>
                <c:pt idx="5">
                  <c:v>2.91369630633687</c:v>
                </c:pt>
                <c:pt idx="6">
                  <c:v>2.17526395820336</c:v>
                </c:pt>
                <c:pt idx="7">
                  <c:v>1.58741057820539</c:v>
                </c:pt>
                <c:pt idx="8">
                  <c:v>1.22949866238127</c:v>
                </c:pt>
                <c:pt idx="9">
                  <c:v>1.11314684072625</c:v>
                </c:pt>
                <c:pt idx="10">
                  <c:v>0.998802994628989</c:v>
                </c:pt>
                <c:pt idx="11">
                  <c:v>0.629583840795067</c:v>
                </c:pt>
                <c:pt idx="12">
                  <c:v>0.504699872484382</c:v>
                </c:pt>
                <c:pt idx="13">
                  <c:v>0.405276758939277</c:v>
                </c:pt>
                <c:pt idx="14">
                  <c:v>0.326160246241736</c:v>
                </c:pt>
                <c:pt idx="15">
                  <c:v>0.263225998872518</c:v>
                </c:pt>
                <c:pt idx="16">
                  <c:v>0.21317880022147</c:v>
                </c:pt>
                <c:pt idx="17">
                  <c:v>0.173389036000138</c:v>
                </c:pt>
                <c:pt idx="18">
                  <c:v>0.141760248259681</c:v>
                </c:pt>
                <c:pt idx="19">
                  <c:v>0.116622301189717</c:v>
                </c:pt>
                <c:pt idx="20">
                  <c:v>0.096645485409852</c:v>
                </c:pt>
              </c:numCache>
            </c:numRef>
          </c:val>
          <c:smooth val="0"/>
        </c:ser>
        <c:ser>
          <c:idx val="2"/>
          <c:order val="2"/>
          <c:tx>
            <c:strRef>
              <c:f>'[Synchronized scenarios Co-existence simulation results data_Ericsson_ZTE_CMCC_QC_HW_CATT.xlsx]Scn10 2GHz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UL(V)'!$AI$33:$AI$53</c:f>
              <c:numCache>
                <c:formatCode>General</c:formatCode>
                <c:ptCount val="21"/>
                <c:pt idx="0">
                  <c:v>53.4777722230833</c:v>
                </c:pt>
                <c:pt idx="1">
                  <c:v>47.8939072785795</c:v>
                </c:pt>
                <c:pt idx="2">
                  <c:v>42.3648101113879</c:v>
                </c:pt>
                <c:pt idx="3">
                  <c:v>37.0207272564192</c:v>
                </c:pt>
                <c:pt idx="4">
                  <c:v>31.9754476389452</c:v>
                </c:pt>
                <c:pt idx="5">
                  <c:v>27.3177369815802</c:v>
                </c:pt>
                <c:pt idx="6">
                  <c:v>23.1068320129161</c:v>
                </c:pt>
                <c:pt idx="7">
                  <c:v>19.3721489464581</c:v>
                </c:pt>
                <c:pt idx="8">
                  <c:v>16.1164624803627</c:v>
                </c:pt>
                <c:pt idx="9">
                  <c:v>13.3212900530972</c:v>
                </c:pt>
                <c:pt idx="10">
                  <c:v>10.9531324695502</c:v>
                </c:pt>
                <c:pt idx="11">
                  <c:v>8.96947169039111</c:v>
                </c:pt>
                <c:pt idx="12">
                  <c:v>7.32383070704241</c:v>
                </c:pt>
                <c:pt idx="13">
                  <c:v>5.96959849165349</c:v>
                </c:pt>
                <c:pt idx="14">
                  <c:v>4.86262165357205</c:v>
                </c:pt>
                <c:pt idx="15">
                  <c:v>3.96273874809511</c:v>
                </c:pt>
                <c:pt idx="16">
                  <c:v>3.23450217051475</c:v>
                </c:pt>
                <c:pt idx="17">
                  <c:v>2.64733171948742</c:v>
                </c:pt>
                <c:pt idx="18">
                  <c:v>2.17530691279937</c:v>
                </c:pt>
                <c:pt idx="19">
                  <c:v>1.79675613999156</c:v>
                </c:pt>
                <c:pt idx="20">
                  <c:v>1.49375371210783</c:v>
                </c:pt>
              </c:numCache>
            </c:numRef>
          </c:val>
          <c:smooth val="0"/>
        </c:ser>
        <c:ser>
          <c:idx val="3"/>
          <c:order val="3"/>
          <c:tx>
            <c:strRef>
              <c:f>'[Synchronized scenarios Co-existence simulation results data_Ericsson_ZTE_CMCC_QC_HW_CATT.xlsx]Scn10 2GHz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UL(V)'!$AJ$33:$AJ$53</c:f>
              <c:numCache>
                <c:formatCode>General</c:formatCode>
                <c:ptCount val="21"/>
                <c:pt idx="0">
                  <c:v>0.0540028030316386</c:v>
                </c:pt>
                <c:pt idx="1">
                  <c:v>0.0443306153685152</c:v>
                </c:pt>
                <c:pt idx="2">
                  <c:v>0.0346584277053919</c:v>
                </c:pt>
                <c:pt idx="3">
                  <c:v>0.0282353627404697</c:v>
                </c:pt>
                <c:pt idx="4">
                  <c:v>0.0218122977755475</c:v>
                </c:pt>
                <c:pt idx="5">
                  <c:v>0.0178809311701389</c:v>
                </c:pt>
                <c:pt idx="6">
                  <c:v>0.0139495645647303</c:v>
                </c:pt>
                <c:pt idx="7">
                  <c:v>0.011394988550828</c:v>
                </c:pt>
                <c:pt idx="8">
                  <c:v>0.00884041253692569</c:v>
                </c:pt>
                <c:pt idx="9">
                  <c:v>0.00725474002235549</c:v>
                </c:pt>
                <c:pt idx="10">
                  <c:v>0.00566906750778529</c:v>
                </c:pt>
                <c:pt idx="11">
                  <c:v>0.00461102749212405</c:v>
                </c:pt>
                <c:pt idx="12">
                  <c:v>0.00355298747646282</c:v>
                </c:pt>
                <c:pt idx="13">
                  <c:v>0.00291826463909572</c:v>
                </c:pt>
                <c:pt idx="14">
                  <c:v>0.00228354180172863</c:v>
                </c:pt>
                <c:pt idx="15">
                  <c:v>0.00188253752552159</c:v>
                </c:pt>
                <c:pt idx="16">
                  <c:v>0.00148153324931455</c:v>
                </c:pt>
                <c:pt idx="17">
                  <c:v>0.00117408381975492</c:v>
                </c:pt>
                <c:pt idx="18">
                  <c:v>0.000866634390195298</c:v>
                </c:pt>
                <c:pt idx="19">
                  <c:v>0.000706776884368265</c:v>
                </c:pt>
                <c:pt idx="20">
                  <c:v>0.000546919378541233</c:v>
                </c:pt>
              </c:numCache>
            </c:numRef>
          </c:val>
          <c:smooth val="0"/>
        </c:ser>
        <c:ser>
          <c:idx val="4"/>
          <c:order val="4"/>
          <c:tx>
            <c:strRef>
              <c:f>'[Synchronized scenarios Co-existence simulation results data_Ericsson_ZTE_CMCC_QC_HW_CATT.xlsx]Scn10 2GHz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UL(V)'!$AK$33:$AK$53</c:f>
              <c:numCache>
                <c:formatCode>General</c:formatCode>
                <c:ptCount val="21"/>
                <c:pt idx="0">
                  <c:v>0.192702</c:v>
                </c:pt>
                <c:pt idx="1">
                  <c:v>0.18055</c:v>
                </c:pt>
                <c:pt idx="2">
                  <c:v>0.12797</c:v>
                </c:pt>
                <c:pt idx="3">
                  <c:v>0.081133</c:v>
                </c:pt>
                <c:pt idx="4">
                  <c:v>0.071842</c:v>
                </c:pt>
                <c:pt idx="5">
                  <c:v>0.033445</c:v>
                </c:pt>
                <c:pt idx="6">
                  <c:v>0.032207</c:v>
                </c:pt>
                <c:pt idx="7">
                  <c:v>0.031332</c:v>
                </c:pt>
                <c:pt idx="8">
                  <c:v>0.031023</c:v>
                </c:pt>
                <c:pt idx="9">
                  <c:v>0.029548</c:v>
                </c:pt>
                <c:pt idx="10">
                  <c:v>0.029293</c:v>
                </c:pt>
              </c:numCache>
            </c:numRef>
          </c:val>
          <c:smooth val="0"/>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data_Ericsson_ZTE_CMCC_QC_HW_CATT.xlsx]Scn10 2GHz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UL(V)'!$AH$33:$AH$53</c15:sqref>
                        </c15:formulaRef>
                      </c:ext>
                    </c:extLst>
                    <c:numCache>
                      <c:formatCode>General</c:formatCode>
                      <c:ptCount val="21"/>
                    </c:numCache>
                  </c:numRef>
                </c:val>
                <c:smooth val="0"/>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UL(V)'!$AV$33:$AV$53</c:f>
              <c:numCache>
                <c:formatCode>General</c:formatCode>
                <c:ptCount val="21"/>
                <c:pt idx="0">
                  <c:v>0.593145684616969</c:v>
                </c:pt>
                <c:pt idx="1">
                  <c:v>0.47816572655891</c:v>
                </c:pt>
                <c:pt idx="2">
                  <c:v>0.384555218668647</c:v>
                </c:pt>
                <c:pt idx="3">
                  <c:v>0.308673570017359</c:v>
                </c:pt>
                <c:pt idx="4">
                  <c:v>0.247389499513684</c:v>
                </c:pt>
                <c:pt idx="5">
                  <c:v>0.198047480198749</c:v>
                </c:pt>
                <c:pt idx="6">
                  <c:v>0.158422144249615</c:v>
                </c:pt>
                <c:pt idx="7">
                  <c:v>0.127414865975117</c:v>
                </c:pt>
                <c:pt idx="8">
                  <c:v>0.102996944259282</c:v>
                </c:pt>
                <c:pt idx="9">
                  <c:v>0.0831455402691139</c:v>
                </c:pt>
                <c:pt idx="10">
                  <c:v>0.0670580374797836</c:v>
                </c:pt>
                <c:pt idx="11">
                  <c:v>0.0540594580705545</c:v>
                </c:pt>
                <c:pt idx="12">
                  <c:v>0.04358497504241</c:v>
                </c:pt>
                <c:pt idx="13">
                  <c:v>0.0351646002210382</c:v>
                </c:pt>
                <c:pt idx="14">
                  <c:v>0.0284095592213207</c:v>
                </c:pt>
                <c:pt idx="15">
                  <c:v>0.0230001087588527</c:v>
                </c:pt>
                <c:pt idx="16">
                  <c:v>0.0186746928580228</c:v>
                </c:pt>
                <c:pt idx="17">
                  <c:v>0.015220389970616</c:v>
                </c:pt>
                <c:pt idx="18">
                  <c:v>0.0124646055609468</c:v>
                </c:pt>
                <c:pt idx="19">
                  <c:v>0.0102679439390685</c:v>
                </c:pt>
                <c:pt idx="20">
                  <c:v>0.00851816866824784</c:v>
                </c:pt>
              </c:numCache>
            </c:numRef>
          </c:val>
          <c:smooth val="0"/>
        </c:ser>
        <c:ser>
          <c:idx val="2"/>
          <c:order val="2"/>
          <c:tx>
            <c:strRef>
              <c:f>'[Synchronized scenarios Co-existence simulation results data_Ericsson_ZTE_CMCC_QC_HW_CATT.xlsx]Scn10 2GHz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UL(V)'!$AX$33:$AX$53</c:f>
              <c:numCache>
                <c:formatCode>General</c:formatCode>
                <c:ptCount val="21"/>
                <c:pt idx="0">
                  <c:v>9.91538884178935</c:v>
                </c:pt>
                <c:pt idx="1">
                  <c:v>8.56273049322403</c:v>
                </c:pt>
                <c:pt idx="2">
                  <c:v>7.36194354643621</c:v>
                </c:pt>
                <c:pt idx="3">
                  <c:v>6.01986198889484</c:v>
                </c:pt>
                <c:pt idx="4">
                  <c:v>5.06544003975604</c:v>
                </c:pt>
                <c:pt idx="5">
                  <c:v>4.23492520875387</c:v>
                </c:pt>
                <c:pt idx="6">
                  <c:v>3.51895875350865</c:v>
                </c:pt>
                <c:pt idx="7">
                  <c:v>2.90764548096603</c:v>
                </c:pt>
                <c:pt idx="8">
                  <c:v>2.39060892655435</c:v>
                </c:pt>
                <c:pt idx="9">
                  <c:v>1.95722714611757</c:v>
                </c:pt>
                <c:pt idx="10">
                  <c:v>1.59696172320988</c:v>
                </c:pt>
                <c:pt idx="11">
                  <c:v>1.29969245087946</c:v>
                </c:pt>
                <c:pt idx="12">
                  <c:v>1.05599495979696</c:v>
                </c:pt>
                <c:pt idx="13">
                  <c:v>0.857330520417378</c:v>
                </c:pt>
                <c:pt idx="14">
                  <c:v>0.696144124057127</c:v>
                </c:pt>
                <c:pt idx="15">
                  <c:v>0.56588383401681</c:v>
                </c:pt>
                <c:pt idx="16">
                  <c:v>0.46096169404313</c:v>
                </c:pt>
                <c:pt idx="17">
                  <c:v>0.376677008356371</c:v>
                </c:pt>
                <c:pt idx="18">
                  <c:v>0.309119667094076</c:v>
                </c:pt>
                <c:pt idx="19">
                  <c:v>0.255066745714566</c:v>
                </c:pt>
                <c:pt idx="20">
                  <c:v>0.211881272448051</c:v>
                </c:pt>
              </c:numCache>
            </c:numRef>
          </c:val>
          <c:smooth val="0"/>
        </c:ser>
        <c:ser>
          <c:idx val="3"/>
          <c:order val="3"/>
          <c:tx>
            <c:strRef>
              <c:f>'[Synchronized scenarios Co-existence simulation results data_Ericsson_ZTE_CMCC_QC_HW_CATT.xlsx]Scn10 2GHz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UL(V)'!$AY$33:$AY$53</c:f>
              <c:numCache>
                <c:formatCode>General</c:formatCode>
                <c:ptCount val="21"/>
                <c:pt idx="0">
                  <c:v>0.0362216583710384</c:v>
                </c:pt>
                <c:pt idx="1">
                  <c:v>0.0295881828467348</c:v>
                </c:pt>
                <c:pt idx="2">
                  <c:v>0.0229547073224312</c:v>
                </c:pt>
                <c:pt idx="3">
                  <c:v>0.0187395096239162</c:v>
                </c:pt>
                <c:pt idx="4">
                  <c:v>0.0145243119254013</c:v>
                </c:pt>
                <c:pt idx="5">
                  <c:v>0.0118525208657627</c:v>
                </c:pt>
                <c:pt idx="6">
                  <c:v>0.00918072980612417</c:v>
                </c:pt>
                <c:pt idx="7">
                  <c:v>0.0074900061036165</c:v>
                </c:pt>
                <c:pt idx="8">
                  <c:v>0.00579928240110883</c:v>
                </c:pt>
                <c:pt idx="9">
                  <c:v>0.00473051937540658</c:v>
                </c:pt>
                <c:pt idx="10">
                  <c:v>0.00366175634970434</c:v>
                </c:pt>
                <c:pt idx="11">
                  <c:v>0.00298661498887021</c:v>
                </c:pt>
                <c:pt idx="12">
                  <c:v>0.00231147362803608</c:v>
                </c:pt>
                <c:pt idx="13">
                  <c:v>0.00188516925734294</c:v>
                </c:pt>
                <c:pt idx="14">
                  <c:v>0.00145886488664981</c:v>
                </c:pt>
                <c:pt idx="15">
                  <c:v>0.00118975765169282</c:v>
                </c:pt>
                <c:pt idx="16">
                  <c:v>0.000920650416735835</c:v>
                </c:pt>
                <c:pt idx="17">
                  <c:v>0.000750804432009256</c:v>
                </c:pt>
                <c:pt idx="18">
                  <c:v>0.000580958447282676</c:v>
                </c:pt>
                <c:pt idx="19">
                  <c:v>0.000473772628611924</c:v>
                </c:pt>
                <c:pt idx="20">
                  <c:v>0.000366586809941172</c:v>
                </c:pt>
              </c:numCache>
            </c:numRef>
          </c:val>
          <c:smooth val="0"/>
        </c:ser>
        <c:ser>
          <c:idx val="4"/>
          <c:order val="4"/>
          <c:tx>
            <c:strRef>
              <c:f>'[Synchronized scenarios Co-existence simulation results data_Ericsson_ZTE_CMCC_QC_HW_CATT.xlsx]Scn10 2GHz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UL(V)'!$AZ$33:$AZ$53</c:f>
              <c:numCache>
                <c:formatCode>General</c:formatCode>
                <c:ptCount val="21"/>
                <c:pt idx="0">
                  <c:v>0.019381</c:v>
                </c:pt>
                <c:pt idx="1">
                  <c:v>0.0184806</c:v>
                </c:pt>
                <c:pt idx="2">
                  <c:v>0.016141</c:v>
                </c:pt>
                <c:pt idx="3">
                  <c:v>0.0122659</c:v>
                </c:pt>
                <c:pt idx="4">
                  <c:v>0.0091146</c:v>
                </c:pt>
                <c:pt idx="5">
                  <c:v>0.0051226</c:v>
                </c:pt>
                <c:pt idx="6">
                  <c:v>0.0048273</c:v>
                </c:pt>
                <c:pt idx="7">
                  <c:v>0.0046943</c:v>
                </c:pt>
                <c:pt idx="8">
                  <c:v>0.0045421</c:v>
                </c:pt>
                <c:pt idx="9">
                  <c:v>0.0042589</c:v>
                </c:pt>
                <c:pt idx="10">
                  <c:v>0.0036561</c:v>
                </c:pt>
              </c:numCache>
            </c:numRef>
          </c:val>
          <c:smooth val="0"/>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data_Ericsson_ZTE_CMCC_QC_HW_CATT.xlsx]Scn10 2GHz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UL(V)'!$AW$33:$AW$53</c15:sqref>
                        </c15:formulaRef>
                      </c:ext>
                    </c:extLst>
                    <c:numCache>
                      <c:formatCode>General</c:formatCode>
                      <c:ptCount val="21"/>
                    </c:numCache>
                  </c:numRef>
                </c:val>
                <c:smooth val="0"/>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UL(V)'!$B$94:$B$114</c:f>
              <c:numCache>
                <c:formatCode>General</c:formatCode>
                <c:ptCount val="21"/>
                <c:pt idx="0">
                  <c:v>3.62530901544861</c:v>
                </c:pt>
                <c:pt idx="1">
                  <c:v>2.94531106909359</c:v>
                </c:pt>
                <c:pt idx="2">
                  <c:v>2.3897483847942</c:v>
                </c:pt>
                <c:pt idx="3">
                  <c:v>1.88450286864473</c:v>
                </c:pt>
                <c:pt idx="4">
                  <c:v>1.5883054232268</c:v>
                </c:pt>
                <c:pt idx="5">
                  <c:v>1.27548065092756</c:v>
                </c:pt>
                <c:pt idx="6">
                  <c:v>1.10874531840098</c:v>
                </c:pt>
                <c:pt idx="7">
                  <c:v>0.728676969581299</c:v>
                </c:pt>
                <c:pt idx="8">
                  <c:v>0.559037129494033</c:v>
                </c:pt>
                <c:pt idx="9">
                  <c:v>0.428018273581532</c:v>
                </c:pt>
                <c:pt idx="10">
                  <c:v>0.319436359042824</c:v>
                </c:pt>
                <c:pt idx="11">
                  <c:v>0.184422319820465</c:v>
                </c:pt>
                <c:pt idx="12">
                  <c:v>0.167365006331766</c:v>
                </c:pt>
                <c:pt idx="13">
                  <c:v>0.15823115914434</c:v>
                </c:pt>
                <c:pt idx="14">
                  <c:v>0.138358571899011</c:v>
                </c:pt>
                <c:pt idx="15">
                  <c:v>0.0530995042703708</c:v>
                </c:pt>
                <c:pt idx="16">
                  <c:v>0.0265476988569047</c:v>
                </c:pt>
                <c:pt idx="17">
                  <c:v>0.0238383594072356</c:v>
                </c:pt>
                <c:pt idx="18">
                  <c:v>0.0216861497653542</c:v>
                </c:pt>
                <c:pt idx="19">
                  <c:v>0.0213199621092341</c:v>
                </c:pt>
                <c:pt idx="20">
                  <c:v>0.01946990161239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DL(V)'!$BK$33:$BK$53</c:f>
              <c:numCache>
                <c:formatCode>General</c:formatCode>
                <c:ptCount val="21"/>
                <c:pt idx="0">
                  <c:v>0.046084360700327</c:v>
                </c:pt>
                <c:pt idx="1">
                  <c:v>0.0443273834430435</c:v>
                </c:pt>
                <c:pt idx="2">
                  <c:v>0.038101393492096</c:v>
                </c:pt>
                <c:pt idx="3">
                  <c:v>0.0381009103473939</c:v>
                </c:pt>
                <c:pt idx="4">
                  <c:v>0.0381005265719048</c:v>
                </c:pt>
                <c:pt idx="5">
                  <c:v>0.0381002217282211</c:v>
                </c:pt>
                <c:pt idx="6">
                  <c:v>0.0380999795822512</c:v>
                </c:pt>
                <c:pt idx="7">
                  <c:v>0.0380997872388544</c:v>
                </c:pt>
                <c:pt idx="8">
                  <c:v>0.038099634455091</c:v>
                </c:pt>
                <c:pt idx="9">
                  <c:v>0.0380995130946138</c:v>
                </c:pt>
                <c:pt idx="10">
                  <c:v>0.0380994166945703</c:v>
                </c:pt>
                <c:pt idx="11">
                  <c:v>0.0380993401213114</c:v>
                </c:pt>
                <c:pt idx="12">
                  <c:v>0.0380801673747322</c:v>
                </c:pt>
                <c:pt idx="13">
                  <c:v>0.0379692914756702</c:v>
                </c:pt>
                <c:pt idx="14">
                  <c:v>0.0378812194190559</c:v>
                </c:pt>
                <c:pt idx="15">
                  <c:v>0.0378112611719272</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UL(V)'!$Q$94:$Q$114</c:f>
              <c:numCache>
                <c:formatCode>General</c:formatCode>
                <c:ptCount val="21"/>
                <c:pt idx="0">
                  <c:v>1.59410273265481</c:v>
                </c:pt>
                <c:pt idx="1">
                  <c:v>1.31427254245888</c:v>
                </c:pt>
                <c:pt idx="2">
                  <c:v>1.07892130087039</c:v>
                </c:pt>
                <c:pt idx="3">
                  <c:v>0.88098370281855</c:v>
                </c:pt>
                <c:pt idx="4">
                  <c:v>0.717614279485523</c:v>
                </c:pt>
                <c:pt idx="5">
                  <c:v>0.583455374304431</c:v>
                </c:pt>
                <c:pt idx="6">
                  <c:v>0.471975079021836</c:v>
                </c:pt>
                <c:pt idx="7">
                  <c:v>0.380857481242836</c:v>
                </c:pt>
                <c:pt idx="8">
                  <c:v>0.307326143879971</c:v>
                </c:pt>
                <c:pt idx="9">
                  <c:v>0.247376911495423</c:v>
                </c:pt>
                <c:pt idx="10">
                  <c:v>0.198173572931104</c:v>
                </c:pt>
                <c:pt idx="11">
                  <c:v>0.159124547634582</c:v>
                </c:pt>
                <c:pt idx="12">
                  <c:v>0.127766515264105</c:v>
                </c:pt>
                <c:pt idx="13">
                  <c:v>0.102852992619706</c:v>
                </c:pt>
                <c:pt idx="14">
                  <c:v>0.0832115912398956</c:v>
                </c:pt>
                <c:pt idx="15">
                  <c:v>0.0669608660105014</c:v>
                </c:pt>
                <c:pt idx="16">
                  <c:v>0.0544314875490781</c:v>
                </c:pt>
                <c:pt idx="17">
                  <c:v>0.0440694711191236</c:v>
                </c:pt>
                <c:pt idx="18">
                  <c:v>0.0361064212334616</c:v>
                </c:pt>
                <c:pt idx="19">
                  <c:v>0.0297646579967004</c:v>
                </c:pt>
                <c:pt idx="20">
                  <c:v>0.0247166241818531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UL(V)'!$AG$94:$AG$114</c:f>
              <c:numCache>
                <c:formatCode>General</c:formatCode>
                <c:ptCount val="21"/>
                <c:pt idx="0">
                  <c:v>8.61494501345179</c:v>
                </c:pt>
                <c:pt idx="1">
                  <c:v>7.79244012858871</c:v>
                </c:pt>
                <c:pt idx="2">
                  <c:v>5.66907118973481</c:v>
                </c:pt>
                <c:pt idx="3">
                  <c:v>5.50829646621503</c:v>
                </c:pt>
                <c:pt idx="4">
                  <c:v>4.94725501948233</c:v>
                </c:pt>
                <c:pt idx="5">
                  <c:v>4.94642988465326</c:v>
                </c:pt>
                <c:pt idx="6">
                  <c:v>4.94577444653781</c:v>
                </c:pt>
                <c:pt idx="7">
                  <c:v>4.82427167167447</c:v>
                </c:pt>
                <c:pt idx="8">
                  <c:v>4.70535605846746</c:v>
                </c:pt>
                <c:pt idx="9">
                  <c:v>4.61068575599333</c:v>
                </c:pt>
                <c:pt idx="10">
                  <c:v>4.37908015940549</c:v>
                </c:pt>
                <c:pt idx="11">
                  <c:v>3.5315680288697</c:v>
                </c:pt>
                <c:pt idx="12">
                  <c:v>2.84756722739158</c:v>
                </c:pt>
                <c:pt idx="13">
                  <c:v>2.30245204779423</c:v>
                </c:pt>
                <c:pt idx="14">
                  <c:v>1.85570978208546</c:v>
                </c:pt>
                <c:pt idx="15">
                  <c:v>1.50209570373938</c:v>
                </c:pt>
                <c:pt idx="16">
                  <c:v>1.2193861797472</c:v>
                </c:pt>
                <c:pt idx="17">
                  <c:v>1.10041577109977</c:v>
                </c:pt>
                <c:pt idx="18">
                  <c:v>1.04863477800913</c:v>
                </c:pt>
                <c:pt idx="19">
                  <c:v>0.708887435835592</c:v>
                </c:pt>
                <c:pt idx="20">
                  <c:v>0.555882524993034</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network- 300km</a:t>
            </a:r>
            <a:endParaRPr lang="en-US"/>
          </a:p>
        </c:rich>
      </c:tx>
      <c:layout>
        <c:manualLayout>
          <c:xMode val="edge"/>
          <c:yMode val="edge"/>
          <c:x val="0.11748596166515"/>
          <c:y val="0.0165837479270315"/>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UL(V)'!$AV$94:$AV$114</c:f>
              <c:numCache>
                <c:formatCode>General</c:formatCode>
                <c:ptCount val="21"/>
                <c:pt idx="0">
                  <c:v>2.77042135494001</c:v>
                </c:pt>
                <c:pt idx="1">
                  <c:v>2.32605954862586</c:v>
                </c:pt>
                <c:pt idx="2">
                  <c:v>1.93276431997336</c:v>
                </c:pt>
                <c:pt idx="3">
                  <c:v>1.60470503760121</c:v>
                </c:pt>
                <c:pt idx="4">
                  <c:v>1.31646017754252</c:v>
                </c:pt>
                <c:pt idx="5">
                  <c:v>1.08231110322413</c:v>
                </c:pt>
                <c:pt idx="6">
                  <c:v>0.866916150189456</c:v>
                </c:pt>
                <c:pt idx="7">
                  <c:v>0.704680604061569</c:v>
                </c:pt>
                <c:pt idx="8">
                  <c:v>0.571198063631007</c:v>
                </c:pt>
                <c:pt idx="9">
                  <c:v>0.461999945211711</c:v>
                </c:pt>
                <c:pt idx="10">
                  <c:v>0.37311350546968</c:v>
                </c:pt>
                <c:pt idx="11">
                  <c:v>0.301070817772597</c:v>
                </c:pt>
                <c:pt idx="12">
                  <c:v>0.242892567675068</c:v>
                </c:pt>
                <c:pt idx="13">
                  <c:v>0.196054127137724</c:v>
                </c:pt>
                <c:pt idx="14">
                  <c:v>0.158440978221808</c:v>
                </c:pt>
                <c:pt idx="15">
                  <c:v>0.12829936338955</c:v>
                </c:pt>
                <c:pt idx="16">
                  <c:v>0.104186543148921</c:v>
                </c:pt>
                <c:pt idx="17">
                  <c:v>0.0849235922045222</c:v>
                </c:pt>
                <c:pt idx="18">
                  <c:v>0.0695524506852285</c:v>
                </c:pt>
                <c:pt idx="19">
                  <c:v>0.0572980308415683</c:v>
                </c:pt>
                <c:pt idx="20">
                  <c:v>0.0475355484750195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UL(V)'!$BK$33:$BK$53</c:f>
              <c:numCache>
                <c:formatCode>General</c:formatCode>
                <c:ptCount val="21"/>
                <c:pt idx="0">
                  <c:v>0.477242577255166</c:v>
                </c:pt>
                <c:pt idx="1">
                  <c:v>0.443525658137223</c:v>
                </c:pt>
                <c:pt idx="2">
                  <c:v>0.372981464219702</c:v>
                </c:pt>
                <c:pt idx="3">
                  <c:v>0.248187487887708</c:v>
                </c:pt>
                <c:pt idx="4">
                  <c:v>0.215547136543659</c:v>
                </c:pt>
                <c:pt idx="5">
                  <c:v>0.189476719912107</c:v>
                </c:pt>
                <c:pt idx="6">
                  <c:v>0.188417476255964</c:v>
                </c:pt>
                <c:pt idx="7">
                  <c:v>0.170399237133556</c:v>
                </c:pt>
                <c:pt idx="8">
                  <c:v>0.16492930298071</c:v>
                </c:pt>
                <c:pt idx="9">
                  <c:v>0.145874811704005</c:v>
                </c:pt>
                <c:pt idx="10">
                  <c:v>0.125583291168263</c:v>
                </c:pt>
                <c:pt idx="11">
                  <c:v>0.0583340863098192</c:v>
                </c:pt>
                <c:pt idx="12">
                  <c:v>0.0387590255988446</c:v>
                </c:pt>
                <c:pt idx="13">
                  <c:v>0.0310949811332617</c:v>
                </c:pt>
                <c:pt idx="14">
                  <c:v>0.0100718573375902</c:v>
                </c:pt>
                <c:pt idx="15">
                  <c:v>0.0100555720594753</c:v>
                </c:pt>
                <c:pt idx="16">
                  <c:v>0.0100426361995809</c:v>
                </c:pt>
                <c:pt idx="17">
                  <c:v>0.0100323608783537</c:v>
                </c:pt>
                <c:pt idx="18">
                  <c:v>0.0100241988990391</c:v>
                </c:pt>
                <c:pt idx="19">
                  <c:v>0.00854055417626176</c:v>
                </c:pt>
                <c:pt idx="20">
                  <c:v>0.00739396765453426</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UL(V)'!$BZ$33:$BZ$53</c:f>
              <c:numCache>
                <c:formatCode>General</c:formatCode>
                <c:ptCount val="21"/>
                <c:pt idx="0">
                  <c:v>0.172704585825245</c:v>
                </c:pt>
                <c:pt idx="1">
                  <c:v>0.138417611767383</c:v>
                </c:pt>
                <c:pt idx="2">
                  <c:v>0.110865223503476</c:v>
                </c:pt>
                <c:pt idx="3">
                  <c:v>0.0887117833353379</c:v>
                </c:pt>
                <c:pt idx="4">
                  <c:v>0.0709907079615824</c:v>
                </c:pt>
                <c:pt idx="5">
                  <c:v>0.0567222078725616</c:v>
                </c:pt>
                <c:pt idx="6">
                  <c:v>0.0452458924351085</c:v>
                </c:pt>
                <c:pt idx="7">
                  <c:v>0.036201234570088</c:v>
                </c:pt>
                <c:pt idx="8">
                  <c:v>0.0287918143148991</c:v>
                </c:pt>
                <c:pt idx="9">
                  <c:v>0.0230184221916563</c:v>
                </c:pt>
                <c:pt idx="10">
                  <c:v>0.0184129314680148</c:v>
                </c:pt>
                <c:pt idx="11">
                  <c:v>0.0147420187733061</c:v>
                </c:pt>
                <c:pt idx="12">
                  <c:v>0.0118179619692627</c:v>
                </c:pt>
                <c:pt idx="13">
                  <c:v>0.0094900710464696</c:v>
                </c:pt>
                <c:pt idx="14">
                  <c:v>0.00763761516670014</c:v>
                </c:pt>
                <c:pt idx="15">
                  <c:v>0.00616402177526787</c:v>
                </c:pt>
                <c:pt idx="16">
                  <c:v>0.00499214532239112</c:v>
                </c:pt>
                <c:pt idx="17">
                  <c:v>0.00406042664017337</c:v>
                </c:pt>
                <c:pt idx="18">
                  <c:v>0.00331978776852981</c:v>
                </c:pt>
                <c:pt idx="19">
                  <c:v>0.0027311297580046</c:v>
                </c:pt>
                <c:pt idx="20">
                  <c:v>0.00226332191379797</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UL(V)'!$CO$33:$CO$53</c:f>
              <c:numCache>
                <c:formatCode>General</c:formatCode>
                <c:ptCount val="21"/>
                <c:pt idx="0">
                  <c:v>3.84448032631353</c:v>
                </c:pt>
                <c:pt idx="1">
                  <c:v>3.84321245441925</c:v>
                </c:pt>
                <c:pt idx="2">
                  <c:v>3.28107129911284</c:v>
                </c:pt>
                <c:pt idx="3">
                  <c:v>2.22926714882477</c:v>
                </c:pt>
                <c:pt idx="4">
                  <c:v>2.22924370890365</c:v>
                </c:pt>
                <c:pt idx="5">
                  <c:v>2.22922508990439</c:v>
                </c:pt>
                <c:pt idx="6">
                  <c:v>1.96381540592635</c:v>
                </c:pt>
                <c:pt idx="7">
                  <c:v>1.5650776522665</c:v>
                </c:pt>
                <c:pt idx="8">
                  <c:v>1.24602619298899</c:v>
                </c:pt>
                <c:pt idx="9">
                  <c:v>0.991114431324403</c:v>
                </c:pt>
                <c:pt idx="10">
                  <c:v>0.787689491520149</c:v>
                </c:pt>
                <c:pt idx="11">
                  <c:v>0.625505634553103</c:v>
                </c:pt>
                <c:pt idx="12">
                  <c:v>0.496299413874501</c:v>
                </c:pt>
                <c:pt idx="13">
                  <c:v>0.39342717591766</c:v>
                </c:pt>
                <c:pt idx="14">
                  <c:v>0.354667586717572</c:v>
                </c:pt>
                <c:pt idx="15">
                  <c:v>0.345528830561825</c:v>
                </c:pt>
                <c:pt idx="16">
                  <c:v>0.279877374104887</c:v>
                </c:pt>
                <c:pt idx="17">
                  <c:v>0.227666794982273</c:v>
                </c:pt>
                <c:pt idx="18">
                  <c:v>0.186155418792977</c:v>
                </c:pt>
                <c:pt idx="19">
                  <c:v>0.153157097254231</c:v>
                </c:pt>
                <c:pt idx="20">
                  <c:v>0.126930021462091</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UL(V)'!$DD$33:$DD$53</c:f>
              <c:numCache>
                <c:formatCode>General</c:formatCode>
                <c:ptCount val="21"/>
                <c:pt idx="0">
                  <c:v>0.33332388374725</c:v>
                </c:pt>
                <c:pt idx="1">
                  <c:v>0.270254918956148</c:v>
                </c:pt>
                <c:pt idx="2">
                  <c:v>0.220162197942475</c:v>
                </c:pt>
                <c:pt idx="3">
                  <c:v>0.179275008435542</c:v>
                </c:pt>
                <c:pt idx="4">
                  <c:v>0.145525151641013</c:v>
                </c:pt>
                <c:pt idx="5">
                  <c:v>0.117801783630855</c:v>
                </c:pt>
                <c:pt idx="6">
                  <c:v>0.0951345835329187</c:v>
                </c:pt>
                <c:pt idx="7">
                  <c:v>0.0766814324559051</c:v>
                </c:pt>
                <c:pt idx="8">
                  <c:v>0.0617175980407003</c:v>
                </c:pt>
                <c:pt idx="9">
                  <c:v>0.0496252164928213</c:v>
                </c:pt>
                <c:pt idx="10">
                  <c:v>0.0398825651778068</c:v>
                </c:pt>
                <c:pt idx="11">
                  <c:v>0.0320531305983751</c:v>
                </c:pt>
                <c:pt idx="12">
                  <c:v>0.0257747485631121</c:v>
                </c:pt>
                <c:pt idx="13">
                  <c:v>0.0207491687238104</c:v>
                </c:pt>
                <c:pt idx="14">
                  <c:v>0.0167323497756833</c:v>
                </c:pt>
                <c:pt idx="15">
                  <c:v>0.0135256928709526</c:v>
                </c:pt>
                <c:pt idx="16">
                  <c:v>0.0109683153408757</c:v>
                </c:pt>
                <c:pt idx="17">
                  <c:v>0.00893037863413104</c:v>
                </c:pt>
                <c:pt idx="18">
                  <c:v>0.00730742157557529</c:v>
                </c:pt>
                <c:pt idx="19">
                  <c:v>0.00601561170301412</c:v>
                </c:pt>
                <c:pt idx="20">
                  <c:v>0.0049878087209243</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UL(V)'!$BK$94:$BK$114</c:f>
              <c:numCache>
                <c:formatCode>General</c:formatCode>
                <c:ptCount val="21"/>
                <c:pt idx="0">
                  <c:v>2.9226157730317</c:v>
                </c:pt>
                <c:pt idx="1">
                  <c:v>2.36540255315618</c:v>
                </c:pt>
                <c:pt idx="2">
                  <c:v>1.80647636877119</c:v>
                </c:pt>
                <c:pt idx="3">
                  <c:v>1.34512890219776</c:v>
                </c:pt>
                <c:pt idx="4">
                  <c:v>1.15595002991641</c:v>
                </c:pt>
                <c:pt idx="5">
                  <c:v>0.928773711062703</c:v>
                </c:pt>
                <c:pt idx="6">
                  <c:v>0.738239639635208</c:v>
                </c:pt>
                <c:pt idx="7">
                  <c:v>0.643611066114258</c:v>
                </c:pt>
                <c:pt idx="8">
                  <c:v>0.562116460128748</c:v>
                </c:pt>
                <c:pt idx="9">
                  <c:v>0.477461829869741</c:v>
                </c:pt>
                <c:pt idx="10">
                  <c:v>0.421048645660915</c:v>
                </c:pt>
                <c:pt idx="11">
                  <c:v>0.35411572689833</c:v>
                </c:pt>
                <c:pt idx="12">
                  <c:v>0.248413135342229</c:v>
                </c:pt>
                <c:pt idx="13">
                  <c:v>0.2148105745295</c:v>
                </c:pt>
                <c:pt idx="14">
                  <c:v>0.188997225785714</c:v>
                </c:pt>
                <c:pt idx="15">
                  <c:v>0.188085687818429</c:v>
                </c:pt>
                <c:pt idx="16">
                  <c:v>0.164943597601297</c:v>
                </c:pt>
                <c:pt idx="17">
                  <c:v>0.152164059931703</c:v>
                </c:pt>
                <c:pt idx="18">
                  <c:v>0.146067073019462</c:v>
                </c:pt>
                <c:pt idx="19">
                  <c:v>0.145956121071</c:v>
                </c:pt>
                <c:pt idx="20">
                  <c:v>0.0765824560374107</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manualLayout>
          <c:xMode val="edge"/>
          <c:yMode val="edge"/>
          <c:x val="0.114298710669134"/>
          <c:y val="0.0199005456268174"/>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UL(V)'!$BZ$94:$BZ$114</c:f>
              <c:numCache>
                <c:formatCode>General</c:formatCode>
                <c:ptCount val="21"/>
                <c:pt idx="0">
                  <c:v>1.07208989034076</c:v>
                </c:pt>
                <c:pt idx="1">
                  <c:v>0.884021229008791</c:v>
                </c:pt>
                <c:pt idx="2">
                  <c:v>0.725940804436365</c:v>
                </c:pt>
                <c:pt idx="3">
                  <c:v>0.594454054376281</c:v>
                </c:pt>
                <c:pt idx="4">
                  <c:v>0.48508260548763</c:v>
                </c:pt>
                <c:pt idx="5">
                  <c:v>0.394178042637927</c:v>
                </c:pt>
                <c:pt idx="6">
                  <c:v>0.319177346894917</c:v>
                </c:pt>
                <c:pt idx="7">
                  <c:v>0.259167131176941</c:v>
                </c:pt>
                <c:pt idx="8">
                  <c:v>0.2094319677722</c:v>
                </c:pt>
                <c:pt idx="9">
                  <c:v>0.168429103714607</c:v>
                </c:pt>
                <c:pt idx="10">
                  <c:v>0.135997151111067</c:v>
                </c:pt>
                <c:pt idx="11">
                  <c:v>0.109362620387832</c:v>
                </c:pt>
                <c:pt idx="12">
                  <c:v>0.0881108249109919</c:v>
                </c:pt>
                <c:pt idx="13">
                  <c:v>0.0711256066332267</c:v>
                </c:pt>
                <c:pt idx="14">
                  <c:v>0.057275667467549</c:v>
                </c:pt>
                <c:pt idx="15">
                  <c:v>0.0462822196108825</c:v>
                </c:pt>
                <c:pt idx="16">
                  <c:v>0.0376289693883036</c:v>
                </c:pt>
                <c:pt idx="17">
                  <c:v>0.0307139754667674</c:v>
                </c:pt>
                <c:pt idx="18">
                  <c:v>0.0251940466667655</c:v>
                </c:pt>
                <c:pt idx="19">
                  <c:v>0.0206124749383196</c:v>
                </c:pt>
                <c:pt idx="20">
                  <c:v>0.0171039381232307</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endParaRPr lang="en-US"/>
          </a:p>
        </c:rich>
      </c:tx>
      <c:layout>
        <c:manualLayout>
          <c:xMode val="edge"/>
          <c:yMode val="edge"/>
          <c:x val="0.135355985903269"/>
          <c:y val="0.0199003966855641"/>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UL(V)'!$CO$94:$CO$114</c:f>
              <c:numCache>
                <c:formatCode>General</c:formatCode>
                <c:ptCount val="21"/>
                <c:pt idx="0">
                  <c:v>10.413237144506</c:v>
                </c:pt>
                <c:pt idx="1">
                  <c:v>9.66396296951991</c:v>
                </c:pt>
                <c:pt idx="2">
                  <c:v>9.51230142908796</c:v>
                </c:pt>
                <c:pt idx="3">
                  <c:v>8.11864098784401</c:v>
                </c:pt>
                <c:pt idx="4">
                  <c:v>8.11342971458889</c:v>
                </c:pt>
                <c:pt idx="5">
                  <c:v>7.13628616847707</c:v>
                </c:pt>
                <c:pt idx="6">
                  <c:v>5.72176188925343</c:v>
                </c:pt>
                <c:pt idx="7">
                  <c:v>4.56703602380633</c:v>
                </c:pt>
                <c:pt idx="8">
                  <c:v>4.27137901069996</c:v>
                </c:pt>
                <c:pt idx="9">
                  <c:v>3.84653488121618</c:v>
                </c:pt>
                <c:pt idx="10">
                  <c:v>3.84487444169386</c:v>
                </c:pt>
                <c:pt idx="11">
                  <c:v>3.84355546677081</c:v>
                </c:pt>
                <c:pt idx="12">
                  <c:v>3.84250774192328</c:v>
                </c:pt>
                <c:pt idx="13">
                  <c:v>2.66538658703154</c:v>
                </c:pt>
                <c:pt idx="14">
                  <c:v>2.04512126357901</c:v>
                </c:pt>
                <c:pt idx="15">
                  <c:v>1.65116442327076</c:v>
                </c:pt>
                <c:pt idx="16">
                  <c:v>1.54003902070892</c:v>
                </c:pt>
                <c:pt idx="17">
                  <c:v>1.0841457990296</c:v>
                </c:pt>
                <c:pt idx="18">
                  <c:v>0.883199935085832</c:v>
                </c:pt>
                <c:pt idx="19">
                  <c:v>0.722999221014875</c:v>
                </c:pt>
                <c:pt idx="20">
                  <c:v>0.595377129112851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DL(V)'!$BZ$33:$BZ$53</c:f>
              <c:numCache>
                <c:formatCode>General</c:formatCode>
                <c:ptCount val="21"/>
                <c:pt idx="0">
                  <c:v>0.0129733641096141</c:v>
                </c:pt>
                <c:pt idx="1">
                  <c:v>0.0122258782390139</c:v>
                </c:pt>
                <c:pt idx="2">
                  <c:v>0.0116144953347441</c:v>
                </c:pt>
                <c:pt idx="3">
                  <c:v>0.0111167604324836</c:v>
                </c:pt>
                <c:pt idx="4">
                  <c:v>0.0107132055587655</c:v>
                </c:pt>
                <c:pt idx="5">
                  <c:v>0.0103871690789181</c:v>
                </c:pt>
                <c:pt idx="6">
                  <c:v>0.0101245572085573</c:v>
                </c:pt>
                <c:pt idx="7">
                  <c:v>0.00991357149161543</c:v>
                </c:pt>
                <c:pt idx="8">
                  <c:v>0.00974442391483699</c:v>
                </c:pt>
                <c:pt idx="9">
                  <c:v>0.00960905700351233</c:v>
                </c:pt>
                <c:pt idx="10">
                  <c:v>0.00950088114365366</c:v>
                </c:pt>
                <c:pt idx="11">
                  <c:v>0.0094145365688747</c:v>
                </c:pt>
                <c:pt idx="12">
                  <c:v>0.00934568351275145</c:v>
                </c:pt>
                <c:pt idx="13">
                  <c:v>0.00929082112570701</c:v>
                </c:pt>
                <c:pt idx="14">
                  <c:v>0.00924713385005438</c:v>
                </c:pt>
                <c:pt idx="15">
                  <c:v>0.00921236283634164</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endParaRPr lang="en-US"/>
          </a:p>
        </c:rich>
      </c:tx>
      <c:layout>
        <c:manualLayout>
          <c:xMode val="edge"/>
          <c:yMode val="edge"/>
          <c:x val="0.147787655575311"/>
          <c:y val="0.0265339966832504"/>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UL(V)'!$DD$94:$DD$114</c:f>
              <c:numCache>
                <c:formatCode>General</c:formatCode>
                <c:ptCount val="21"/>
                <c:pt idx="0">
                  <c:v>1.9451285950177</c:v>
                </c:pt>
                <c:pt idx="1">
                  <c:v>1.62717144461326</c:v>
                </c:pt>
                <c:pt idx="2">
                  <c:v>1.34118846062339</c:v>
                </c:pt>
                <c:pt idx="3">
                  <c:v>1.10323824610635</c:v>
                </c:pt>
                <c:pt idx="4">
                  <c:v>0.90967448957413</c:v>
                </c:pt>
                <c:pt idx="5">
                  <c:v>0.746798044502095</c:v>
                </c:pt>
                <c:pt idx="6">
                  <c:v>0.610691406770925</c:v>
                </c:pt>
                <c:pt idx="7">
                  <c:v>0.497690941987905</c:v>
                </c:pt>
                <c:pt idx="8">
                  <c:v>0.412040617633147</c:v>
                </c:pt>
                <c:pt idx="9">
                  <c:v>0.341191089251158</c:v>
                </c:pt>
                <c:pt idx="10">
                  <c:v>0.281678859607959</c:v>
                </c:pt>
                <c:pt idx="11">
                  <c:v>0.231918740898951</c:v>
                </c:pt>
                <c:pt idx="12">
                  <c:v>0.190518119967098</c:v>
                </c:pt>
                <c:pt idx="13">
                  <c:v>0.156248935657166</c:v>
                </c:pt>
                <c:pt idx="14">
                  <c:v>0.128027672818376</c:v>
                </c:pt>
                <c:pt idx="15">
                  <c:v>0.104901401802382</c:v>
                </c:pt>
                <c:pt idx="16">
                  <c:v>0.0860374409926479</c:v>
                </c:pt>
                <c:pt idx="17">
                  <c:v>0.0707145324635672</c:v>
                </c:pt>
                <c:pt idx="18">
                  <c:v>0.0583141398936116</c:v>
                </c:pt>
                <c:pt idx="19">
                  <c:v>0.0483112428000143</c:v>
                </c:pt>
                <c:pt idx="20">
                  <c:v>0.0402645847724759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DL(V)'!$B$33:$B$53</c:f>
              <c:numCache>
                <c:formatCode>General</c:formatCode>
                <c:ptCount val="21"/>
                <c:pt idx="0">
                  <c:v>25.5138305047459</c:v>
                </c:pt>
                <c:pt idx="1">
                  <c:v>22.1974325346571</c:v>
                </c:pt>
                <c:pt idx="2">
                  <c:v>19.1597218836827</c:v>
                </c:pt>
                <c:pt idx="3">
                  <c:v>16.2700173680569</c:v>
                </c:pt>
                <c:pt idx="4">
                  <c:v>13.6646743944599</c:v>
                </c:pt>
                <c:pt idx="5">
                  <c:v>11.2487109886825</c:v>
                </c:pt>
                <c:pt idx="6">
                  <c:v>9.13422814015907</c:v>
                </c:pt>
                <c:pt idx="7">
                  <c:v>7.29506440029329</c:v>
                </c:pt>
                <c:pt idx="8">
                  <c:v>5.76395503935541</c:v>
                </c:pt>
                <c:pt idx="9">
                  <c:v>4.57183710907257</c:v>
                </c:pt>
                <c:pt idx="10">
                  <c:v>3.62124054192216</c:v>
                </c:pt>
                <c:pt idx="11">
                  <c:v>2.82465744563394</c:v>
                </c:pt>
                <c:pt idx="12">
                  <c:v>2.20557162938203</c:v>
                </c:pt>
                <c:pt idx="13">
                  <c:v>1.74529093339582</c:v>
                </c:pt>
                <c:pt idx="14">
                  <c:v>1.36001024230947</c:v>
                </c:pt>
                <c:pt idx="15">
                  <c:v>1.10318155279391</c:v>
                </c:pt>
                <c:pt idx="16">
                  <c:v>0.887987924558931</c:v>
                </c:pt>
                <c:pt idx="17">
                  <c:v>0.704309985633356</c:v>
                </c:pt>
                <c:pt idx="18">
                  <c:v>0.608793559376764</c:v>
                </c:pt>
                <c:pt idx="19">
                  <c:v>0.52489859432161</c:v>
                </c:pt>
                <c:pt idx="20">
                  <c:v>0.444562347885003</c:v>
                </c:pt>
              </c:numCache>
            </c:numRef>
          </c:val>
          <c:smooth val="0"/>
        </c:ser>
        <c:ser>
          <c:idx val="1"/>
          <c:order val="1"/>
          <c:tx>
            <c:strRef>
              <c:f>'[Synchronized scenarios Co-existence simulation results data_Ericsson_ZTE_CMCC_QC_HW_CATT.xlsx]Scn11 2GHz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DL(V)'!$C$33:$C$53</c:f>
              <c:numCache>
                <c:formatCode>General</c:formatCode>
                <c:ptCount val="21"/>
                <c:pt idx="0">
                  <c:v>13.2904846827494</c:v>
                </c:pt>
                <c:pt idx="1">
                  <c:v>11.038250590104</c:v>
                </c:pt>
                <c:pt idx="2">
                  <c:v>9.07341011848089</c:v>
                </c:pt>
                <c:pt idx="3">
                  <c:v>7.21365535424781</c:v>
                </c:pt>
                <c:pt idx="4">
                  <c:v>6.05549367878627</c:v>
                </c:pt>
                <c:pt idx="5">
                  <c:v>4.6361005481198</c:v>
                </c:pt>
                <c:pt idx="6">
                  <c:v>3.65566681523449</c:v>
                </c:pt>
                <c:pt idx="7">
                  <c:v>2.86994900046532</c:v>
                </c:pt>
                <c:pt idx="8">
                  <c:v>2.31635594633831</c:v>
                </c:pt>
                <c:pt idx="9">
                  <c:v>1.73024645044786</c:v>
                </c:pt>
                <c:pt idx="10">
                  <c:v>1.45053993340549</c:v>
                </c:pt>
                <c:pt idx="11">
                  <c:v>1.22053275961771</c:v>
                </c:pt>
                <c:pt idx="12">
                  <c:v>1.04548776811668</c:v>
                </c:pt>
                <c:pt idx="13">
                  <c:v>0.898379112191539</c:v>
                </c:pt>
                <c:pt idx="14">
                  <c:v>0.687384055102769</c:v>
                </c:pt>
                <c:pt idx="15">
                  <c:v>0.580216976584458</c:v>
                </c:pt>
                <c:pt idx="16">
                  <c:v>0.470376487193613</c:v>
                </c:pt>
                <c:pt idx="17">
                  <c:v>0.444951385921055</c:v>
                </c:pt>
                <c:pt idx="18">
                  <c:v>0.42014029444617</c:v>
                </c:pt>
                <c:pt idx="19">
                  <c:v>0.369700053040933</c:v>
                </c:pt>
                <c:pt idx="20">
                  <c:v>0.330226934071576</c:v>
                </c:pt>
              </c:numCache>
            </c:numRef>
          </c:val>
          <c:smooth val="0"/>
        </c:ser>
        <c:ser>
          <c:idx val="2"/>
          <c:order val="2"/>
          <c:tx>
            <c:strRef>
              <c:f>'[Synchronized scenarios Co-existence simulation results data_Ericsson_ZTE_CMCC_QC_HW_CATT.xlsx]Scn11 2GHz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DL(V)'!$D$33:$D$53</c:f>
              <c:numCache>
                <c:formatCode>General</c:formatCode>
                <c:ptCount val="21"/>
                <c:pt idx="0">
                  <c:v>42.9243575516121</c:v>
                </c:pt>
                <c:pt idx="1">
                  <c:v>39.3862669696686</c:v>
                </c:pt>
                <c:pt idx="2">
                  <c:v>35.9156282712495</c:v>
                </c:pt>
                <c:pt idx="3">
                  <c:v>32.5354031139981</c:v>
                </c:pt>
                <c:pt idx="4">
                  <c:v>29.2692255050538</c:v>
                </c:pt>
                <c:pt idx="5">
                  <c:v>26.1409995140574</c:v>
                </c:pt>
                <c:pt idx="6">
                  <c:v>23.1741720167043</c:v>
                </c:pt>
                <c:pt idx="7">
                  <c:v>20.3906947931525</c:v>
                </c:pt>
                <c:pt idx="8">
                  <c:v>17.8146117239244</c:v>
                </c:pt>
                <c:pt idx="9">
                  <c:v>15.5595612221335</c:v>
                </c:pt>
                <c:pt idx="10">
                  <c:v>13.5186886643052</c:v>
                </c:pt>
                <c:pt idx="11">
                  <c:v>11.6769546486714</c:v>
                </c:pt>
                <c:pt idx="12">
                  <c:v>10.0368223734209</c:v>
                </c:pt>
                <c:pt idx="13">
                  <c:v>8.5953934507688</c:v>
                </c:pt>
                <c:pt idx="14">
                  <c:v>7.34474354629196</c:v>
                </c:pt>
                <c:pt idx="15">
                  <c:v>6.27272803820191</c:v>
                </c:pt>
                <c:pt idx="16">
                  <c:v>5.36410062559456</c:v>
                </c:pt>
                <c:pt idx="17">
                  <c:v>4.60174838978861</c:v>
                </c:pt>
                <c:pt idx="18">
                  <c:v>3.96786221231259</c:v>
                </c:pt>
                <c:pt idx="19">
                  <c:v>3.44491470543603</c:v>
                </c:pt>
                <c:pt idx="20">
                  <c:v>3.01638357034008</c:v>
                </c:pt>
              </c:numCache>
            </c:numRef>
          </c:val>
          <c:smooth val="0"/>
        </c:ser>
        <c:ser>
          <c:idx val="3"/>
          <c:order val="3"/>
          <c:tx>
            <c:strRef>
              <c:f>'[Synchronized scenarios Co-existence simulation results data_Ericsson_ZTE_CMCC_QC_HW_CATT.xlsx]Scn11 2GHz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DL(V)'!$E$33:$E$53</c:f>
              <c:numCache>
                <c:formatCode>General</c:formatCode>
                <c:ptCount val="21"/>
                <c:pt idx="0">
                  <c:v>17.7592635429381</c:v>
                </c:pt>
                <c:pt idx="1">
                  <c:v>14.9093259813067</c:v>
                </c:pt>
                <c:pt idx="2">
                  <c:v>12.5285380113337</c:v>
                </c:pt>
                <c:pt idx="3">
                  <c:v>10.1477500413607</c:v>
                </c:pt>
                <c:pt idx="4">
                  <c:v>8.43014407638577</c:v>
                </c:pt>
                <c:pt idx="5">
                  <c:v>6.71253811141082</c:v>
                </c:pt>
                <c:pt idx="6">
                  <c:v>5.37353910270308</c:v>
                </c:pt>
                <c:pt idx="7">
                  <c:v>4.03454009399535</c:v>
                </c:pt>
                <c:pt idx="8">
                  <c:v>3.28717134894307</c:v>
                </c:pt>
                <c:pt idx="9">
                  <c:v>2.53980260389078</c:v>
                </c:pt>
                <c:pt idx="10">
                  <c:v>2.06981245542808</c:v>
                </c:pt>
                <c:pt idx="11">
                  <c:v>1.59982230696537</c:v>
                </c:pt>
                <c:pt idx="12">
                  <c:v>1.28442027446697</c:v>
                </c:pt>
                <c:pt idx="13">
                  <c:v>0.969018241968578</c:v>
                </c:pt>
                <c:pt idx="14">
                  <c:v>0.752907345122267</c:v>
                </c:pt>
                <c:pt idx="15">
                  <c:v>0.536796448275956</c:v>
                </c:pt>
                <c:pt idx="16">
                  <c:v>0.45204490955465</c:v>
                </c:pt>
                <c:pt idx="17">
                  <c:v>0.367293370833344</c:v>
                </c:pt>
                <c:pt idx="18">
                  <c:v>0.300884196130136</c:v>
                </c:pt>
                <c:pt idx="19">
                  <c:v>0.234475021426928</c:v>
                </c:pt>
                <c:pt idx="20">
                  <c:v>0.192460818932605</c:v>
                </c:pt>
              </c:numCache>
            </c:numRef>
          </c:val>
          <c:smooth val="0"/>
        </c:ser>
        <c:ser>
          <c:idx val="4"/>
          <c:order val="4"/>
          <c:tx>
            <c:strRef>
              <c:f>'[Synchronized scenarios Co-existence simulation results data_Ericsson_ZTE_CMCC_QC_HW_CATT.xlsx]Scn11 2GHz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DL(V)'!$F$33:$F$53</c:f>
              <c:numCache>
                <c:formatCode>General</c:formatCode>
                <c:ptCount val="21"/>
                <c:pt idx="0">
                  <c:v>10.722</c:v>
                </c:pt>
                <c:pt idx="1">
                  <c:v>10.2563</c:v>
                </c:pt>
                <c:pt idx="2">
                  <c:v>9.5759</c:v>
                </c:pt>
                <c:pt idx="3">
                  <c:v>8.8921</c:v>
                </c:pt>
                <c:pt idx="4">
                  <c:v>6.5516</c:v>
                </c:pt>
                <c:pt idx="5">
                  <c:v>4.6799</c:v>
                </c:pt>
                <c:pt idx="6">
                  <c:v>3.6495</c:v>
                </c:pt>
                <c:pt idx="7">
                  <c:v>2.0489</c:v>
                </c:pt>
                <c:pt idx="8">
                  <c:v>1.9196</c:v>
                </c:pt>
                <c:pt idx="9">
                  <c:v>1.5249</c:v>
                </c:pt>
                <c:pt idx="10">
                  <c:v>1.3613</c:v>
                </c:pt>
              </c:numCache>
            </c:numRef>
          </c:val>
          <c:smooth val="0"/>
        </c:ser>
        <c:ser>
          <c:idx val="5"/>
          <c:order val="5"/>
          <c:tx>
            <c:strRef>
              <c:f>'[Synchronized scenarios Co-existence simulation results data_Ericsson_ZTE_CMCC_QC_HW_CATT.xlsx]Scn11 2GHz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DL(V)'!$G$33:$G$53</c:f>
              <c:numCache>
                <c:formatCode>General</c:formatCode>
                <c:ptCount val="21"/>
                <c:pt idx="0">
                  <c:v>19.91885</c:v>
                </c:pt>
                <c:pt idx="1">
                  <c:v>17.278513</c:v>
                </c:pt>
                <c:pt idx="2">
                  <c:v>14.948866</c:v>
                </c:pt>
                <c:pt idx="3">
                  <c:v>12.629895</c:v>
                </c:pt>
                <c:pt idx="4">
                  <c:v>10.985971</c:v>
                </c:pt>
                <c:pt idx="5">
                  <c:v>9.60659</c:v>
                </c:pt>
                <c:pt idx="6">
                  <c:v>8.524953</c:v>
                </c:pt>
                <c:pt idx="7">
                  <c:v>7.379921</c:v>
                </c:pt>
                <c:pt idx="8">
                  <c:v>6.498022</c:v>
                </c:pt>
                <c:pt idx="9">
                  <c:v>5.973758</c:v>
                </c:pt>
                <c:pt idx="10">
                  <c:v>5.319487</c:v>
                </c:pt>
                <c:pt idx="11">
                  <c:v>4.462493</c:v>
                </c:pt>
                <c:pt idx="12">
                  <c:v>3.52901</c:v>
                </c:pt>
                <c:pt idx="13">
                  <c:v>2.771835</c:v>
                </c:pt>
                <c:pt idx="14">
                  <c:v>2.05577</c:v>
                </c:pt>
                <c:pt idx="15">
                  <c:v>1.545181</c:v>
                </c:pt>
                <c:pt idx="16">
                  <c:v>1.241019</c:v>
                </c:pt>
                <c:pt idx="17">
                  <c:v>1.138084</c:v>
                </c:pt>
                <c:pt idx="18">
                  <c:v>1.061499</c:v>
                </c:pt>
                <c:pt idx="19">
                  <c:v>0.999763</c:v>
                </c:pt>
                <c:pt idx="20">
                  <c:v>0.950131</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DL(V)'!$Q$33:$Q$53</c:f>
              <c:numCache>
                <c:formatCode>General</c:formatCode>
                <c:ptCount val="21"/>
                <c:pt idx="0">
                  <c:v>14.096320882017</c:v>
                </c:pt>
                <c:pt idx="1">
                  <c:v>12.1465219462568</c:v>
                </c:pt>
                <c:pt idx="2">
                  <c:v>10.3943078664333</c:v>
                </c:pt>
                <c:pt idx="3">
                  <c:v>8.83568985795774</c:v>
                </c:pt>
                <c:pt idx="4">
                  <c:v>7.46335731836736</c:v>
                </c:pt>
                <c:pt idx="5">
                  <c:v>6.26715843150976</c:v>
                </c:pt>
                <c:pt idx="6">
                  <c:v>5.23469081676901</c:v>
                </c:pt>
                <c:pt idx="7">
                  <c:v>4.35195375702955</c:v>
                </c:pt>
                <c:pt idx="8">
                  <c:v>3.6040118551866</c:v>
                </c:pt>
                <c:pt idx="9">
                  <c:v>2.9756231311733</c:v>
                </c:pt>
                <c:pt idx="10">
                  <c:v>2.45179227573636</c:v>
                </c:pt>
                <c:pt idx="11">
                  <c:v>2.01822117157083</c:v>
                </c:pt>
                <c:pt idx="12">
                  <c:v>1.66164227374677</c:v>
                </c:pt>
                <c:pt idx="13">
                  <c:v>1.37003387720486</c:v>
                </c:pt>
                <c:pt idx="14">
                  <c:v>1.13272759953406</c:v>
                </c:pt>
                <c:pt idx="15">
                  <c:v>0.940426130558703</c:v>
                </c:pt>
                <c:pt idx="16">
                  <c:v>0.785152982096027</c:v>
                </c:pt>
                <c:pt idx="17">
                  <c:v>0.660156065100204</c:v>
                </c:pt>
                <c:pt idx="18">
                  <c:v>0.559784455746493</c:v>
                </c:pt>
                <c:pt idx="19">
                  <c:v>0.479353871583699</c:v>
                </c:pt>
                <c:pt idx="20">
                  <c:v>0.415012181792507</c:v>
                </c:pt>
              </c:numCache>
            </c:numRef>
          </c:val>
          <c:smooth val="0"/>
        </c:ser>
        <c:ser>
          <c:idx val="1"/>
          <c:order val="1"/>
          <c:tx>
            <c:strRef>
              <c:f>'[Synchronized scenarios Co-existence simulation results data_Ericsson_ZTE_CMCC_QC_HW_CATT.xlsx]Scn11 2GHz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DL(V)'!$R$33:$R$53</c:f>
              <c:numCache>
                <c:formatCode>General</c:formatCode>
                <c:ptCount val="21"/>
                <c:pt idx="0">
                  <c:v>5.58694639271609</c:v>
                </c:pt>
                <c:pt idx="1">
                  <c:v>4.6337655669806</c:v>
                </c:pt>
                <c:pt idx="2">
                  <c:v>3.82728544071861</c:v>
                </c:pt>
                <c:pt idx="3">
                  <c:v>3.14824298975569</c:v>
                </c:pt>
                <c:pt idx="4">
                  <c:v>2.58451930205988</c:v>
                </c:pt>
                <c:pt idx="5">
                  <c:v>2.11708937503328</c:v>
                </c:pt>
                <c:pt idx="6">
                  <c:v>1.73001320989492</c:v>
                </c:pt>
                <c:pt idx="7">
                  <c:v>1.40736082696376</c:v>
                </c:pt>
                <c:pt idx="8">
                  <c:v>1.14390787423748</c:v>
                </c:pt>
                <c:pt idx="9">
                  <c:v>0.928303570997291</c:v>
                </c:pt>
                <c:pt idx="10">
                  <c:v>0.752576546925565</c:v>
                </c:pt>
                <c:pt idx="11">
                  <c:v>0.610705390489197</c:v>
                </c:pt>
                <c:pt idx="12">
                  <c:v>0.496317256633771</c:v>
                </c:pt>
                <c:pt idx="13">
                  <c:v>0.404385722214773</c:v>
                </c:pt>
                <c:pt idx="14">
                  <c:v>0.330762295492837</c:v>
                </c:pt>
                <c:pt idx="15">
                  <c:v>0.271885159195051</c:v>
                </c:pt>
                <c:pt idx="16">
                  <c:v>0.225277277512115</c:v>
                </c:pt>
                <c:pt idx="17">
                  <c:v>0.188419316072419</c:v>
                </c:pt>
                <c:pt idx="18">
                  <c:v>0.159266316729856</c:v>
                </c:pt>
                <c:pt idx="19">
                  <c:v>0.136041178374535</c:v>
                </c:pt>
                <c:pt idx="20">
                  <c:v>0.117596800945186</c:v>
                </c:pt>
              </c:numCache>
            </c:numRef>
          </c:val>
          <c:smooth val="0"/>
        </c:ser>
        <c:ser>
          <c:idx val="2"/>
          <c:order val="2"/>
          <c:tx>
            <c:strRef>
              <c:f>'[Synchronized scenarios Co-existence simulation results data_Ericsson_ZTE_CMCC_QC_HW_CATT.xlsx]Scn11 2GHz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DL(V)'!$S$33:$S$53</c:f>
              <c:numCache>
                <c:formatCode>General</c:formatCode>
                <c:ptCount val="21"/>
                <c:pt idx="0">
                  <c:v>13.6905228512418</c:v>
                </c:pt>
                <c:pt idx="1">
                  <c:v>12.0900481143171</c:v>
                </c:pt>
                <c:pt idx="2">
                  <c:v>10.6002813762919</c:v>
                </c:pt>
                <c:pt idx="3">
                  <c:v>9.33368862570307</c:v>
                </c:pt>
                <c:pt idx="4">
                  <c:v>8.15796467153399</c:v>
                </c:pt>
                <c:pt idx="5">
                  <c:v>7.0401047900999</c:v>
                </c:pt>
                <c:pt idx="6">
                  <c:v>5.98665113544737</c:v>
                </c:pt>
                <c:pt idx="7">
                  <c:v>5.02882886804961</c:v>
                </c:pt>
                <c:pt idx="8">
                  <c:v>4.3279709862177</c:v>
                </c:pt>
                <c:pt idx="9">
                  <c:v>3.75247291180764</c:v>
                </c:pt>
                <c:pt idx="10">
                  <c:v>3.23372396679131</c:v>
                </c:pt>
                <c:pt idx="11">
                  <c:v>2.77187308223944</c:v>
                </c:pt>
                <c:pt idx="12">
                  <c:v>2.36579180862107</c:v>
                </c:pt>
                <c:pt idx="13">
                  <c:v>2.01311702575376</c:v>
                </c:pt>
                <c:pt idx="14">
                  <c:v>1.71042202709576</c:v>
                </c:pt>
                <c:pt idx="15">
                  <c:v>1.45347927789178</c:v>
                </c:pt>
                <c:pt idx="16">
                  <c:v>1.23756581553749</c:v>
                </c:pt>
                <c:pt idx="17">
                  <c:v>1.05776343183092</c:v>
                </c:pt>
                <c:pt idx="18">
                  <c:v>0.909217374317402</c:v>
                </c:pt>
                <c:pt idx="19">
                  <c:v>0.787333491014458</c:v>
                </c:pt>
                <c:pt idx="20">
                  <c:v>0.687908990332696</c:v>
                </c:pt>
              </c:numCache>
            </c:numRef>
          </c:val>
          <c:smooth val="0"/>
        </c:ser>
        <c:ser>
          <c:idx val="3"/>
          <c:order val="3"/>
          <c:tx>
            <c:strRef>
              <c:f>'[Synchronized scenarios Co-existence simulation results data_Ericsson_ZTE_CMCC_QC_HW_CATT.xlsx]Scn11 2GHz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DL(V)'!$T$33:$T$53</c:f>
              <c:numCache>
                <c:formatCode>General</c:formatCode>
                <c:ptCount val="21"/>
                <c:pt idx="0">
                  <c:v>6.1100970057946</c:v>
                </c:pt>
                <c:pt idx="1">
                  <c:v>5.12457553552351</c:v>
                </c:pt>
                <c:pt idx="2">
                  <c:v>4.36917910006563</c:v>
                </c:pt>
                <c:pt idx="3">
                  <c:v>3.61378266460775</c:v>
                </c:pt>
                <c:pt idx="4">
                  <c:v>3.04952753334896</c:v>
                </c:pt>
                <c:pt idx="5">
                  <c:v>2.48527240209017</c:v>
                </c:pt>
                <c:pt idx="6">
                  <c:v>2.07526731074941</c:v>
                </c:pt>
                <c:pt idx="7">
                  <c:v>1.66526221940866</c:v>
                </c:pt>
                <c:pt idx="8">
                  <c:v>1.37897089258678</c:v>
                </c:pt>
                <c:pt idx="9">
                  <c:v>1.09267956576491</c:v>
                </c:pt>
                <c:pt idx="10">
                  <c:v>0.897876695971284</c:v>
                </c:pt>
                <c:pt idx="11">
                  <c:v>0.703073826177658</c:v>
                </c:pt>
                <c:pt idx="12">
                  <c:v>0.577015541584869</c:v>
                </c:pt>
                <c:pt idx="13">
                  <c:v>0.450957256992079</c:v>
                </c:pt>
                <c:pt idx="14">
                  <c:v>0.369233982067735</c:v>
                </c:pt>
                <c:pt idx="15">
                  <c:v>0.28751070714339</c:v>
                </c:pt>
                <c:pt idx="16">
                  <c:v>0.234897280669982</c:v>
                </c:pt>
                <c:pt idx="17">
                  <c:v>0.182283854196574</c:v>
                </c:pt>
                <c:pt idx="18">
                  <c:v>0.14883393187633</c:v>
                </c:pt>
                <c:pt idx="19">
                  <c:v>0.115384009556085</c:v>
                </c:pt>
                <c:pt idx="20">
                  <c:v>0.0942012825839111</c:v>
                </c:pt>
              </c:numCache>
            </c:numRef>
          </c:val>
          <c:smooth val="0"/>
        </c:ser>
        <c:ser>
          <c:idx val="4"/>
          <c:order val="4"/>
          <c:tx>
            <c:strRef>
              <c:f>'[Synchronized scenarios Co-existence simulation results data_Ericsson_ZTE_CMCC_QC_HW_CATT.xlsx]Scn11 2GHz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DL(V)'!$U$33:$U$53</c:f>
              <c:numCache>
                <c:formatCode>General</c:formatCode>
                <c:ptCount val="21"/>
                <c:pt idx="0">
                  <c:v>7.0942</c:v>
                </c:pt>
                <c:pt idx="1">
                  <c:v>5.7809</c:v>
                </c:pt>
                <c:pt idx="2">
                  <c:v>4.5285</c:v>
                </c:pt>
                <c:pt idx="3">
                  <c:v>3.286</c:v>
                </c:pt>
                <c:pt idx="4">
                  <c:v>2.9018</c:v>
                </c:pt>
                <c:pt idx="5">
                  <c:v>2.6126</c:v>
                </c:pt>
                <c:pt idx="6">
                  <c:v>2.3524</c:v>
                </c:pt>
                <c:pt idx="7">
                  <c:v>1.4855</c:v>
                </c:pt>
                <c:pt idx="8">
                  <c:v>1.4767</c:v>
                </c:pt>
                <c:pt idx="9">
                  <c:v>1.2708</c:v>
                </c:pt>
                <c:pt idx="10">
                  <c:v>1.0258</c:v>
                </c:pt>
              </c:numCache>
            </c:numRef>
          </c:val>
          <c:smooth val="0"/>
        </c:ser>
        <c:ser>
          <c:idx val="5"/>
          <c:order val="5"/>
          <c:tx>
            <c:strRef>
              <c:f>'[Synchronized scenarios Co-existence simulation results data_Ericsson_ZTE_CMCC_QC_HW_CATT.xlsx]Scn11 2GHz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DL(V)'!$V$33:$V$53</c:f>
              <c:numCache>
                <c:formatCode>General</c:formatCode>
                <c:ptCount val="21"/>
                <c:pt idx="0">
                  <c:v>3.732298</c:v>
                </c:pt>
                <c:pt idx="1">
                  <c:v>3.248077</c:v>
                </c:pt>
                <c:pt idx="2">
                  <c:v>2.823415</c:v>
                </c:pt>
                <c:pt idx="3">
                  <c:v>2.447241</c:v>
                </c:pt>
                <c:pt idx="4">
                  <c:v>2.117082</c:v>
                </c:pt>
                <c:pt idx="5">
                  <c:v>1.828532</c:v>
                </c:pt>
                <c:pt idx="6">
                  <c:v>1.575435</c:v>
                </c:pt>
                <c:pt idx="7">
                  <c:v>1.355063</c:v>
                </c:pt>
                <c:pt idx="8">
                  <c:v>1.164681</c:v>
                </c:pt>
                <c:pt idx="9">
                  <c:v>0.999317</c:v>
                </c:pt>
                <c:pt idx="10">
                  <c:v>0.856807</c:v>
                </c:pt>
                <c:pt idx="11">
                  <c:v>0.735416</c:v>
                </c:pt>
                <c:pt idx="12">
                  <c:v>0.631855</c:v>
                </c:pt>
                <c:pt idx="13">
                  <c:v>0.543879</c:v>
                </c:pt>
                <c:pt idx="14">
                  <c:v>0.468398</c:v>
                </c:pt>
                <c:pt idx="15">
                  <c:v>0.405533</c:v>
                </c:pt>
                <c:pt idx="16">
                  <c:v>0.353193</c:v>
                </c:pt>
                <c:pt idx="17">
                  <c:v>0.30841</c:v>
                </c:pt>
                <c:pt idx="18">
                  <c:v>0.271828</c:v>
                </c:pt>
                <c:pt idx="19">
                  <c:v>0.241429</c:v>
                </c:pt>
                <c:pt idx="20">
                  <c:v>0.216265</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DL(V)'!$B$94:$B$114</c:f>
              <c:numCache>
                <c:formatCode>General</c:formatCode>
                <c:ptCount val="21"/>
                <c:pt idx="0">
                  <c:v>42.8188707368187</c:v>
                </c:pt>
                <c:pt idx="1">
                  <c:v>38.0867037243481</c:v>
                </c:pt>
                <c:pt idx="2">
                  <c:v>33.5185719903865</c:v>
                </c:pt>
                <c:pt idx="3">
                  <c:v>29.1491893050385</c:v>
                </c:pt>
                <c:pt idx="4">
                  <c:v>25.051884368848</c:v>
                </c:pt>
                <c:pt idx="5">
                  <c:v>21.3537643348915</c:v>
                </c:pt>
                <c:pt idx="6">
                  <c:v>17.9080118451788</c:v>
                </c:pt>
                <c:pt idx="7">
                  <c:v>14.8680074862324</c:v>
                </c:pt>
                <c:pt idx="8">
                  <c:v>12.1726373838673</c:v>
                </c:pt>
                <c:pt idx="9">
                  <c:v>9.84381121450836</c:v>
                </c:pt>
                <c:pt idx="10">
                  <c:v>7.8535534657592</c:v>
                </c:pt>
                <c:pt idx="11">
                  <c:v>6.2427570812442</c:v>
                </c:pt>
                <c:pt idx="12">
                  <c:v>4.89184940078078</c:v>
                </c:pt>
                <c:pt idx="13">
                  <c:v>3.80846440751651</c:v>
                </c:pt>
                <c:pt idx="14">
                  <c:v>2.93644962792438</c:v>
                </c:pt>
                <c:pt idx="15">
                  <c:v>2.30493344790811</c:v>
                </c:pt>
                <c:pt idx="16">
                  <c:v>1.84169979859498</c:v>
                </c:pt>
                <c:pt idx="17">
                  <c:v>1.47764582069121</c:v>
                </c:pt>
                <c:pt idx="18">
                  <c:v>1.20066126497953</c:v>
                </c:pt>
                <c:pt idx="19">
                  <c:v>0.986354913607879</c:v>
                </c:pt>
                <c:pt idx="20">
                  <c:v>0.811440669146668</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DL(V)'!$Q$94:$Q$114</c:f>
              <c:numCache>
                <c:formatCode>General</c:formatCode>
                <c:ptCount val="21"/>
                <c:pt idx="0">
                  <c:v>22.0808498381277</c:v>
                </c:pt>
                <c:pt idx="1">
                  <c:v>19.0982776088063</c:v>
                </c:pt>
                <c:pt idx="2">
                  <c:v>16.3959682680128</c:v>
                </c:pt>
                <c:pt idx="3">
                  <c:v>13.9757929774101</c:v>
                </c:pt>
                <c:pt idx="4">
                  <c:v>11.8327488604544</c:v>
                </c:pt>
                <c:pt idx="5">
                  <c:v>9.95592199413913</c:v>
                </c:pt>
                <c:pt idx="6">
                  <c:v>8.32963322660387</c:v>
                </c:pt>
                <c:pt idx="7">
                  <c:v>6.93467652345248</c:v>
                </c:pt>
                <c:pt idx="8">
                  <c:v>5.74956121004829</c:v>
                </c:pt>
                <c:pt idx="9">
                  <c:v>4.75167791059377</c:v>
                </c:pt>
                <c:pt idx="10">
                  <c:v>3.91832285572734</c:v>
                </c:pt>
                <c:pt idx="11">
                  <c:v>3.22753536591529</c:v>
                </c:pt>
                <c:pt idx="12">
                  <c:v>2.65872630049409</c:v>
                </c:pt>
                <c:pt idx="13">
                  <c:v>2.19309776372791</c:v>
                </c:pt>
                <c:pt idx="14">
                  <c:v>1.8138730761212</c:v>
                </c:pt>
                <c:pt idx="15">
                  <c:v>1.50636867637077</c:v>
                </c:pt>
                <c:pt idx="16">
                  <c:v>1.25794552196244</c:v>
                </c:pt>
                <c:pt idx="17">
                  <c:v>1.05787750024694</c:v>
                </c:pt>
                <c:pt idx="18">
                  <c:v>0.897170074452447</c:v>
                </c:pt>
                <c:pt idx="19">
                  <c:v>0.768355843780566</c:v>
                </c:pt>
                <c:pt idx="20">
                  <c:v>0.665286583431124</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DL(V)'!$AG$33:$AG$53</c:f>
              <c:numCache>
                <c:formatCode>General</c:formatCode>
                <c:ptCount val="21"/>
                <c:pt idx="0">
                  <c:v>25.3754793171874</c:v>
                </c:pt>
                <c:pt idx="1">
                  <c:v>22.2706232342311</c:v>
                </c:pt>
                <c:pt idx="2">
                  <c:v>19.1883374877386</c:v>
                </c:pt>
                <c:pt idx="3">
                  <c:v>16.3843579038981</c:v>
                </c:pt>
                <c:pt idx="4">
                  <c:v>13.7257669546386</c:v>
                </c:pt>
                <c:pt idx="5">
                  <c:v>11.2587485861784</c:v>
                </c:pt>
                <c:pt idx="6">
                  <c:v>9.10165297723781</c:v>
                </c:pt>
                <c:pt idx="7">
                  <c:v>7.30517404016455</c:v>
                </c:pt>
                <c:pt idx="8">
                  <c:v>5.82712863238059</c:v>
                </c:pt>
                <c:pt idx="9">
                  <c:v>4.52376904763101</c:v>
                </c:pt>
                <c:pt idx="10">
                  <c:v>3.45170187774267</c:v>
                </c:pt>
                <c:pt idx="11">
                  <c:v>2.73506490126412</c:v>
                </c:pt>
                <c:pt idx="12">
                  <c:v>2.17913278212342</c:v>
                </c:pt>
                <c:pt idx="13">
                  <c:v>1.72827001681467</c:v>
                </c:pt>
                <c:pt idx="14">
                  <c:v>1.40147805652534</c:v>
                </c:pt>
                <c:pt idx="15">
                  <c:v>1.15200648283323</c:v>
                </c:pt>
                <c:pt idx="16">
                  <c:v>0.929092172136337</c:v>
                </c:pt>
                <c:pt idx="17">
                  <c:v>0.77803381240168</c:v>
                </c:pt>
                <c:pt idx="18">
                  <c:v>0.649007093719378</c:v>
                </c:pt>
                <c:pt idx="19">
                  <c:v>0.544081199020041</c:v>
                </c:pt>
                <c:pt idx="20">
                  <c:v>0.478057573859381</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DL(V)'!$AV$33:$AV$53</c:f>
              <c:numCache>
                <c:formatCode>General</c:formatCode>
                <c:ptCount val="21"/>
                <c:pt idx="0">
                  <c:v>14.4531665610044</c:v>
                </c:pt>
                <c:pt idx="1">
                  <c:v>12.4968044409119</c:v>
                </c:pt>
                <c:pt idx="2">
                  <c:v>10.7300233547779</c:v>
                </c:pt>
                <c:pt idx="3">
                  <c:v>9.15084906742423</c:v>
                </c:pt>
                <c:pt idx="4">
                  <c:v>7.75390507395983</c:v>
                </c:pt>
                <c:pt idx="5">
                  <c:v>6.53077716352678</c:v>
                </c:pt>
                <c:pt idx="6">
                  <c:v>5.4705327677867</c:v>
                </c:pt>
                <c:pt idx="7">
                  <c:v>4.56034413285191</c:v>
                </c:pt>
                <c:pt idx="8">
                  <c:v>3.78615593004118</c:v>
                </c:pt>
                <c:pt idx="9">
                  <c:v>3.13333875513935</c:v>
                </c:pt>
                <c:pt idx="10">
                  <c:v>2.58727895458529</c:v>
                </c:pt>
                <c:pt idx="11">
                  <c:v>2.1338696491047</c:v>
                </c:pt>
                <c:pt idx="12">
                  <c:v>1.75988431695359</c:v>
                </c:pt>
                <c:pt idx="13">
                  <c:v>1.45322976014076</c:v>
                </c:pt>
                <c:pt idx="14">
                  <c:v>1.20308755892656</c:v>
                </c:pt>
                <c:pt idx="15">
                  <c:v>0.999961221585699</c:v>
                </c:pt>
                <c:pt idx="16">
                  <c:v>0.835650160297474</c:v>
                </c:pt>
                <c:pt idx="17">
                  <c:v>0.703172056014223</c:v>
                </c:pt>
                <c:pt idx="18">
                  <c:v>0.596653137238568</c:v>
                </c:pt>
                <c:pt idx="19">
                  <c:v>0.511202457431847</c:v>
                </c:pt>
                <c:pt idx="20">
                  <c:v>0.442782327188063</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DL(V)'!$AG$94:$AG$114</c:f>
              <c:numCache>
                <c:formatCode>General</c:formatCode>
                <c:ptCount val="21"/>
                <c:pt idx="0">
                  <c:v>42.3885949786413</c:v>
                </c:pt>
                <c:pt idx="1">
                  <c:v>37.8686493067103</c:v>
                </c:pt>
                <c:pt idx="2">
                  <c:v>33.3879103939044</c:v>
                </c:pt>
                <c:pt idx="3">
                  <c:v>29.1306085772397</c:v>
                </c:pt>
                <c:pt idx="4">
                  <c:v>25.1939680974005</c:v>
                </c:pt>
                <c:pt idx="5">
                  <c:v>21.5184067295203</c:v>
                </c:pt>
                <c:pt idx="6">
                  <c:v>18.140043073217</c:v>
                </c:pt>
                <c:pt idx="7">
                  <c:v>15.1222794423566</c:v>
                </c:pt>
                <c:pt idx="8">
                  <c:v>12.4624615772533</c:v>
                </c:pt>
                <c:pt idx="9">
                  <c:v>10.1816103687704</c:v>
                </c:pt>
                <c:pt idx="10">
                  <c:v>8.21023804989278</c:v>
                </c:pt>
                <c:pt idx="11">
                  <c:v>6.54713078154882</c:v>
                </c:pt>
                <c:pt idx="12">
                  <c:v>5.13274991044443</c:v>
                </c:pt>
                <c:pt idx="13">
                  <c:v>3.93099181406814</c:v>
                </c:pt>
                <c:pt idx="14">
                  <c:v>3.08120980361022</c:v>
                </c:pt>
                <c:pt idx="15">
                  <c:v>2.39595920414694</c:v>
                </c:pt>
                <c:pt idx="16">
                  <c:v>1.87913535640243</c:v>
                </c:pt>
                <c:pt idx="17">
                  <c:v>1.49413611021396</c:v>
                </c:pt>
                <c:pt idx="18">
                  <c:v>1.22281675024252</c:v>
                </c:pt>
                <c:pt idx="19">
                  <c:v>1.02867496347739</c:v>
                </c:pt>
                <c:pt idx="20">
                  <c:v>0.887225197902242</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the whole network - 300km</a:t>
            </a:r>
            <a:endParaRPr lang="en-US"/>
          </a:p>
        </c:rich>
      </c:tx>
      <c:layout>
        <c:manualLayout>
          <c:xMode val="edge"/>
          <c:yMode val="edge"/>
          <c:x val="0.149112896835608"/>
          <c:y val="0.0199005529714191"/>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DL(V)'!$AV$94:$AV$114</c:f>
              <c:numCache>
                <c:formatCode>General</c:formatCode>
                <c:ptCount val="21"/>
                <c:pt idx="0">
                  <c:v>22.3826815631355</c:v>
                </c:pt>
                <c:pt idx="1">
                  <c:v>19.4150174639996</c:v>
                </c:pt>
                <c:pt idx="2">
                  <c:v>16.7158261433671</c:v>
                </c:pt>
                <c:pt idx="3">
                  <c:v>14.2889826370166</c:v>
                </c:pt>
                <c:pt idx="4">
                  <c:v>12.1316674142929</c:v>
                </c:pt>
                <c:pt idx="5">
                  <c:v>10.2351157232809</c:v>
                </c:pt>
                <c:pt idx="6">
                  <c:v>8.58561100217229</c:v>
                </c:pt>
                <c:pt idx="7">
                  <c:v>7.16563357556141</c:v>
                </c:pt>
                <c:pt idx="8">
                  <c:v>5.95506544609724</c:v>
                </c:pt>
                <c:pt idx="9">
                  <c:v>4.93235556366273</c:v>
                </c:pt>
                <c:pt idx="10">
                  <c:v>4.07556590688453</c:v>
                </c:pt>
                <c:pt idx="11">
                  <c:v>3.36324286241581</c:v>
                </c:pt>
                <c:pt idx="12">
                  <c:v>2.77508544567092</c:v>
                </c:pt>
                <c:pt idx="13">
                  <c:v>2.29240702201139</c:v>
                </c:pt>
                <c:pt idx="14">
                  <c:v>1.89840699396183</c:v>
                </c:pt>
                <c:pt idx="15">
                  <c:v>1.57828187535451</c:v>
                </c:pt>
                <c:pt idx="16">
                  <c:v>1.31921133159342</c:v>
                </c:pt>
                <c:pt idx="17">
                  <c:v>1.11025526683984</c:v>
                </c:pt>
                <c:pt idx="18">
                  <c:v>0.942194554613851</c:v>
                </c:pt>
                <c:pt idx="19">
                  <c:v>0.807342273743106</c:v>
                </c:pt>
                <c:pt idx="20">
                  <c:v>0.699345808546503</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UL(V)'!$B$33:$B$53</c:f>
              <c:numCache>
                <c:formatCode>General</c:formatCode>
                <c:ptCount val="21"/>
                <c:pt idx="0">
                  <c:v>2.43664092499681</c:v>
                </c:pt>
                <c:pt idx="1">
                  <c:v>2.34028136987986</c:v>
                </c:pt>
                <c:pt idx="2">
                  <c:v>2.263493014942</c:v>
                </c:pt>
                <c:pt idx="3">
                  <c:v>2.20234097696734</c:v>
                </c:pt>
                <c:pt idx="4">
                  <c:v>2.15366675690037</c:v>
                </c:pt>
                <c:pt idx="5">
                  <c:v>2.11494048911586</c:v>
                </c:pt>
                <c:pt idx="6">
                  <c:v>2.08413928270308</c:v>
                </c:pt>
                <c:pt idx="7">
                  <c:v>2.05964782149338</c:v>
                </c:pt>
                <c:pt idx="8">
                  <c:v>2.04017763784321</c:v>
                </c:pt>
                <c:pt idx="9">
                  <c:v>2.02470185918008</c:v>
                </c:pt>
                <c:pt idx="10">
                  <c:v>2.01240265528859</c:v>
                </c:pt>
                <c:pt idx="11">
                  <c:v>2.00262903641979</c:v>
                </c:pt>
                <c:pt idx="12">
                  <c:v>1.9948630405456</c:v>
                </c:pt>
                <c:pt idx="13">
                  <c:v>1.98869269070929</c:v>
                </c:pt>
                <c:pt idx="14">
                  <c:v>1.9837903976</c:v>
                </c:pt>
              </c:numCache>
            </c:numRef>
          </c:val>
          <c:smooth val="0"/>
        </c:ser>
        <c:ser>
          <c:idx val="1"/>
          <c:order val="1"/>
          <c:tx>
            <c:strRef>
              <c:f>'[Synchronized scenarios Co-existence simulation results data_Ericsson_ZTE_CMCC_QC_HW_CATT.xlsx]Scn12 2GHz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UL(V)'!$C$33:$C$53</c:f>
              <c:numCache>
                <c:formatCode>General</c:formatCode>
                <c:ptCount val="21"/>
                <c:pt idx="0">
                  <c:v>2.6656410997499</c:v>
                </c:pt>
                <c:pt idx="1">
                  <c:v>2.56064864459552</c:v>
                </c:pt>
                <c:pt idx="2">
                  <c:v>2.47695656493229</c:v>
                </c:pt>
                <c:pt idx="3">
                  <c:v>2.41029118750861</c:v>
                </c:pt>
                <c:pt idx="4">
                  <c:v>2.35721881150495</c:v>
                </c:pt>
                <c:pt idx="5">
                  <c:v>2.31498706440564</c:v>
                </c:pt>
                <c:pt idx="6">
                  <c:v>2.28139381496479</c:v>
                </c:pt>
                <c:pt idx="7">
                  <c:v>2.25467977968089</c:v>
                </c:pt>
                <c:pt idx="8">
                  <c:v>2.23344112107403</c:v>
                </c:pt>
                <c:pt idx="9">
                  <c:v>2.21655868203438</c:v>
                </c:pt>
                <c:pt idx="10">
                  <c:v>2.2031409203162</c:v>
                </c:pt>
                <c:pt idx="11">
                  <c:v>2.19247803625112</c:v>
                </c:pt>
                <c:pt idx="12">
                  <c:v>2.18400518987762</c:v>
                </c:pt>
                <c:pt idx="13">
                  <c:v>2.17727306430979</c:v>
                </c:pt>
                <c:pt idx="14">
                  <c:v>2.17192434466154</c:v>
                </c:pt>
              </c:numCache>
            </c:numRef>
          </c:val>
          <c:smooth val="0"/>
        </c:ser>
        <c:ser>
          <c:idx val="2"/>
          <c:order val="2"/>
          <c:tx>
            <c:strRef>
              <c:f>'[Synchronized scenarios Co-existence simulation results data_Ericsson_ZTE_CMCC_QC_HW_CATT.xlsx]Scn12 2GHz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UL(V)'!$D$33:$D$53</c:f>
              <c:numCache>
                <c:formatCode>General</c:formatCode>
                <c:ptCount val="21"/>
                <c:pt idx="0">
                  <c:v>3.83917898799938</c:v>
                </c:pt>
                <c:pt idx="1">
                  <c:v>3.69106140201716</c:v>
                </c:pt>
                <c:pt idx="2">
                  <c:v>3.57282067316153</c:v>
                </c:pt>
                <c:pt idx="3">
                  <c:v>3.47852528015789</c:v>
                </c:pt>
                <c:pt idx="4">
                  <c:v>3.40338652184222</c:v>
                </c:pt>
                <c:pt idx="5">
                  <c:v>3.34355115149486</c:v>
                </c:pt>
                <c:pt idx="6">
                  <c:v>3.29592682890032</c:v>
                </c:pt>
                <c:pt idx="7">
                  <c:v>3.25803708140703</c:v>
                </c:pt>
                <c:pt idx="8">
                  <c:v>3.22790196693711</c:v>
                </c:pt>
                <c:pt idx="9">
                  <c:v>3.20394062712549</c:v>
                </c:pt>
                <c:pt idx="10">
                  <c:v>3.18489218281621</c:v>
                </c:pt>
                <c:pt idx="11">
                  <c:v>3.16975181394922</c:v>
                </c:pt>
                <c:pt idx="12">
                  <c:v>3.15771929486822</c:v>
                </c:pt>
                <c:pt idx="13">
                  <c:v>3.14815767512623</c:v>
                </c:pt>
                <c:pt idx="14">
                  <c:v>3.14056017963842</c:v>
                </c:pt>
                <c:pt idx="15">
                  <c:v>3.13452373977245</c:v>
                </c:pt>
                <c:pt idx="16">
                  <c:v>3.12972785639816</c:v>
                </c:pt>
                <c:pt idx="17">
                  <c:v>3.12591773936714</c:v>
                </c:pt>
                <c:pt idx="18">
                  <c:v>3.12289086992089</c:v>
                </c:pt>
                <c:pt idx="19">
                  <c:v>3.12048629850939</c:v>
                </c:pt>
                <c:pt idx="20">
                  <c:v>3.11857612584959</c:v>
                </c:pt>
              </c:numCache>
            </c:numRef>
          </c:val>
          <c:smooth val="0"/>
        </c:ser>
        <c:ser>
          <c:idx val="3"/>
          <c:order val="3"/>
          <c:tx>
            <c:strRef>
              <c:f>'[Synchronized scenarios Co-existence simulation results data_Ericsson_ZTE_CMCC_QC_HW_CATT.xlsx]Scn12 2GHz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UL(V)'!$E$33:$E$53</c:f>
              <c:numCache>
                <c:formatCode>General</c:formatCode>
                <c:ptCount val="21"/>
                <c:pt idx="0">
                  <c:v>0.192324660632437</c:v>
                </c:pt>
                <c:pt idx="1">
                  <c:v>0.156916378116601</c:v>
                </c:pt>
                <c:pt idx="2">
                  <c:v>0.121508095600764</c:v>
                </c:pt>
                <c:pt idx="3">
                  <c:v>0.0991190854101876</c:v>
                </c:pt>
                <c:pt idx="4">
                  <c:v>0.076730075219611</c:v>
                </c:pt>
                <c:pt idx="5">
                  <c:v>0.0625844318269897</c:v>
                </c:pt>
                <c:pt idx="6">
                  <c:v>0.0484387884343684</c:v>
                </c:pt>
                <c:pt idx="7">
                  <c:v>0.0395058572371376</c:v>
                </c:pt>
                <c:pt idx="8">
                  <c:v>0.0305729260399068</c:v>
                </c:pt>
                <c:pt idx="9">
                  <c:v>0.0249335843109266</c:v>
                </c:pt>
                <c:pt idx="10">
                  <c:v>0.0192942425819465</c:v>
                </c:pt>
                <c:pt idx="11">
                  <c:v>0.015734845933213</c:v>
                </c:pt>
                <c:pt idx="12">
                  <c:v>0.0121754492844794</c:v>
                </c:pt>
                <c:pt idx="13">
                  <c:v>0.00992913883046676</c:v>
                </c:pt>
                <c:pt idx="14">
                  <c:v>0.00768282837645407</c:v>
                </c:pt>
              </c:numCache>
            </c:numRef>
          </c:val>
          <c:smooth val="0"/>
        </c:ser>
        <c:ser>
          <c:idx val="4"/>
          <c:order val="4"/>
          <c:tx>
            <c:strRef>
              <c:f>'[Synchronized scenarios Co-existence simulation results data_Ericsson_ZTE_CMCC_QC_HW_CATT.xlsx]Scn12 2GHz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UL(V)'!$F$33:$F$53</c:f>
              <c:numCache>
                <c:formatCode>General</c:formatCode>
                <c:ptCount val="21"/>
                <c:pt idx="0">
                  <c:v>2.8186</c:v>
                </c:pt>
                <c:pt idx="1">
                  <c:v>2.6238</c:v>
                </c:pt>
                <c:pt idx="2">
                  <c:v>2.3238</c:v>
                </c:pt>
                <c:pt idx="3">
                  <c:v>2.2758</c:v>
                </c:pt>
                <c:pt idx="4">
                  <c:v>2.0239</c:v>
                </c:pt>
                <c:pt idx="5">
                  <c:v>1.9745</c:v>
                </c:pt>
                <c:pt idx="6">
                  <c:v>1.9173</c:v>
                </c:pt>
                <c:pt idx="7">
                  <c:v>1.8942</c:v>
                </c:pt>
                <c:pt idx="8">
                  <c:v>1.8123</c:v>
                </c:pt>
                <c:pt idx="9">
                  <c:v>1.75304</c:v>
                </c:pt>
                <c:pt idx="10">
                  <c:v>1.7028</c:v>
                </c:pt>
              </c:numCache>
            </c:numRef>
          </c:val>
          <c:smooth val="0"/>
        </c:ser>
        <c:ser>
          <c:idx val="5"/>
          <c:order val="5"/>
          <c:tx>
            <c:strRef>
              <c:f>'[Synchronized scenarios Co-existence simulation results data_Ericsson_ZTE_CMCC_QC_HW_CATT.xlsx]Scn12 2GHz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UL(V)'!$G$33:$G$53</c:f>
              <c:numCache>
                <c:formatCode>General</c:formatCode>
                <c:ptCount val="21"/>
                <c:pt idx="0">
                  <c:v>2.463051</c:v>
                </c:pt>
                <c:pt idx="1">
                  <c:v>2.234507</c:v>
                </c:pt>
                <c:pt idx="2">
                  <c:v>2.085509</c:v>
                </c:pt>
                <c:pt idx="3">
                  <c:v>1.965185</c:v>
                </c:pt>
                <c:pt idx="4">
                  <c:v>1.868302</c:v>
                </c:pt>
                <c:pt idx="5">
                  <c:v>1.784513</c:v>
                </c:pt>
                <c:pt idx="6">
                  <c:v>1.677263</c:v>
                </c:pt>
                <c:pt idx="7">
                  <c:v>1.557885</c:v>
                </c:pt>
                <c:pt idx="8">
                  <c:v>1.460974</c:v>
                </c:pt>
                <c:pt idx="9">
                  <c:v>1.382622</c:v>
                </c:pt>
                <c:pt idx="10">
                  <c:v>1.319487</c:v>
                </c:pt>
                <c:pt idx="11">
                  <c:v>1.276502</c:v>
                </c:pt>
                <c:pt idx="12">
                  <c:v>1.248355</c:v>
                </c:pt>
                <c:pt idx="13">
                  <c:v>1.225869</c:v>
                </c:pt>
                <c:pt idx="14">
                  <c:v>1.208244</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DL(V)'!$CO$33:$CO$53</c:f>
              <c:numCache>
                <c:formatCode>General</c:formatCode>
                <c:ptCount val="21"/>
                <c:pt idx="0">
                  <c:v>0.905793943113686</c:v>
                </c:pt>
                <c:pt idx="1">
                  <c:v>0.90579394309509</c:v>
                </c:pt>
                <c:pt idx="2">
                  <c:v>0.90579394308038</c:v>
                </c:pt>
                <c:pt idx="3">
                  <c:v>0.905793943068656</c:v>
                </c:pt>
                <c:pt idx="4">
                  <c:v>0.90579394305933</c:v>
                </c:pt>
                <c:pt idx="5">
                  <c:v>0.905793943051958</c:v>
                </c:pt>
                <c:pt idx="6">
                  <c:v>0.905793943046074</c:v>
                </c:pt>
                <c:pt idx="7">
                  <c:v>0.905793943041411</c:v>
                </c:pt>
                <c:pt idx="8">
                  <c:v>0.905793943037714</c:v>
                </c:pt>
                <c:pt idx="9">
                  <c:v>0.90579394303475</c:v>
                </c:pt>
                <c:pt idx="10">
                  <c:v>0.905793943032418</c:v>
                </c:pt>
                <c:pt idx="11">
                  <c:v>0.905793943030564</c:v>
                </c:pt>
                <c:pt idx="12">
                  <c:v>0.905793943029065</c:v>
                </c:pt>
                <c:pt idx="13">
                  <c:v>0.905793943027899</c:v>
                </c:pt>
                <c:pt idx="14">
                  <c:v>0.905793943026967</c:v>
                </c:pt>
                <c:pt idx="15">
                  <c:v>0.905793943026245</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manualLayout>
          <c:xMode val="edge"/>
          <c:yMode val="edge"/>
          <c:x val="0.125002511940909"/>
          <c:y val="0.0176095091349329"/>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UL(V)'!$Q$33:$Q$53</c:f>
              <c:numCache>
                <c:formatCode>General</c:formatCode>
                <c:ptCount val="21"/>
                <c:pt idx="0">
                  <c:v>0.636715713760128</c:v>
                </c:pt>
                <c:pt idx="1">
                  <c:v>0.617323407237458</c:v>
                </c:pt>
                <c:pt idx="2">
                  <c:v>0.601684399429847</c:v>
                </c:pt>
                <c:pt idx="3">
                  <c:v>0.589107820606294</c:v>
                </c:pt>
                <c:pt idx="4">
                  <c:v>0.579017641806479</c:v>
                </c:pt>
                <c:pt idx="5">
                  <c:v>0.570937880403466</c:v>
                </c:pt>
                <c:pt idx="6">
                  <c:v>0.564478149919789</c:v>
                </c:pt>
                <c:pt idx="7">
                  <c:v>0.559320232102423</c:v>
                </c:pt>
                <c:pt idx="8">
                  <c:v>0.555206039380263</c:v>
                </c:pt>
                <c:pt idx="9">
                  <c:v>0.551927109175476</c:v>
                </c:pt>
                <c:pt idx="10">
                  <c:v>0.549315620426982</c:v>
                </c:pt>
                <c:pt idx="11">
                  <c:v>0.547236831839715</c:v>
                </c:pt>
                <c:pt idx="12">
                  <c:v>0.545582794428734</c:v>
                </c:pt>
                <c:pt idx="13">
                  <c:v>0.544267173562518</c:v>
                </c:pt>
                <c:pt idx="14">
                  <c:v>0.543221016764883</c:v>
                </c:pt>
              </c:numCache>
            </c:numRef>
          </c:val>
          <c:smooth val="0"/>
        </c:ser>
        <c:ser>
          <c:idx val="1"/>
          <c:order val="1"/>
          <c:tx>
            <c:strRef>
              <c:f>'[Synchronized scenarios Co-existence simulation results data_Ericsson_ZTE_CMCC_QC_HW_CATT.xlsx]Scn12 2GHz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UL(V)'!$R$33:$R$53</c:f>
              <c:numCache>
                <c:formatCode>General</c:formatCode>
                <c:ptCount val="21"/>
                <c:pt idx="0">
                  <c:v>0.726179703173568</c:v>
                </c:pt>
                <c:pt idx="1">
                  <c:v>0.704469716213507</c:v>
                </c:pt>
                <c:pt idx="2">
                  <c:v>0.686971814384685</c:v>
                </c:pt>
                <c:pt idx="3">
                  <c:v>0.672906736074963</c:v>
                </c:pt>
                <c:pt idx="4">
                  <c:v>0.661626319409836</c:v>
                </c:pt>
                <c:pt idx="5">
                  <c:v>0.6525959519179</c:v>
                </c:pt>
                <c:pt idx="6">
                  <c:v>0.645377763817734</c:v>
                </c:pt>
                <c:pt idx="7">
                  <c:v>0.639615203458066</c:v>
                </c:pt>
                <c:pt idx="8">
                  <c:v>0.635019322587294</c:v>
                </c:pt>
                <c:pt idx="9">
                  <c:v>0.631356873179656</c:v>
                </c:pt>
                <c:pt idx="10">
                  <c:v>0.628440168166655</c:v>
                </c:pt>
                <c:pt idx="11">
                  <c:v>0.626118570149004</c:v>
                </c:pt>
                <c:pt idx="12">
                  <c:v>0.624271428401646</c:v>
                </c:pt>
                <c:pt idx="13">
                  <c:v>0.622802270651035</c:v>
                </c:pt>
                <c:pt idx="14">
                  <c:v>0.621634060844778</c:v>
                </c:pt>
              </c:numCache>
            </c:numRef>
          </c:val>
          <c:smooth val="0"/>
        </c:ser>
        <c:ser>
          <c:idx val="2"/>
          <c:order val="2"/>
          <c:tx>
            <c:strRef>
              <c:f>'[Synchronized scenarios Co-existence simulation results data_Ericsson_ZTE_CMCC_QC_HW_CATT.xlsx]Scn12 2GHz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UL(V)'!$S$33:$S$53</c:f>
              <c:numCache>
                <c:formatCode>General</c:formatCode>
                <c:ptCount val="21"/>
                <c:pt idx="0">
                  <c:v>1.02389058064417</c:v>
                </c:pt>
                <c:pt idx="1">
                  <c:v>0.992380864249206</c:v>
                </c:pt>
                <c:pt idx="2">
                  <c:v>0.96694762156697</c:v>
                </c:pt>
                <c:pt idx="3">
                  <c:v>0.9464808114761</c:v>
                </c:pt>
                <c:pt idx="4">
                  <c:v>0.930051579159407</c:v>
                </c:pt>
                <c:pt idx="5">
                  <c:v>0.916890315518899</c:v>
                </c:pt>
                <c:pt idx="6">
                  <c:v>0.906364516736341</c:v>
                </c:pt>
                <c:pt idx="7">
                  <c:v>0.897957802669777</c:v>
                </c:pt>
                <c:pt idx="8">
                  <c:v>0.891250870111411</c:v>
                </c:pt>
                <c:pt idx="9">
                  <c:v>0.885904729692009</c:v>
                </c:pt>
                <c:pt idx="10">
                  <c:v>0.88164628825253</c:v>
                </c:pt>
                <c:pt idx="11">
                  <c:v>0.878256162947129</c:v>
                </c:pt>
                <c:pt idx="12">
                  <c:v>0.875558518708707</c:v>
                </c:pt>
                <c:pt idx="13">
                  <c:v>0.873412680674298</c:v>
                </c:pt>
                <c:pt idx="14">
                  <c:v>0.87170626740692</c:v>
                </c:pt>
                <c:pt idx="15">
                  <c:v>0.870349604733581</c:v>
                </c:pt>
                <c:pt idx="16">
                  <c:v>0.869271203985018</c:v>
                </c:pt>
                <c:pt idx="17">
                  <c:v>0.868414116182835</c:v>
                </c:pt>
                <c:pt idx="18">
                  <c:v>0.867733001594881</c:v>
                </c:pt>
                <c:pt idx="19">
                  <c:v>0.867191780062936</c:v>
                </c:pt>
                <c:pt idx="20">
                  <c:v>0.866761750655789</c:v>
                </c:pt>
              </c:numCache>
            </c:numRef>
          </c:val>
          <c:smooth val="0"/>
        </c:ser>
        <c:ser>
          <c:idx val="3"/>
          <c:order val="3"/>
          <c:tx>
            <c:strRef>
              <c:f>'[Synchronized scenarios Co-existence simulation results data_Ericsson_ZTE_CMCC_QC_HW_CATT.xlsx]Scn12 2GHz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UL(V)'!$T$33:$T$53</c:f>
              <c:numCache>
                <c:formatCode>General</c:formatCode>
                <c:ptCount val="21"/>
                <c:pt idx="0">
                  <c:v>0.0911242687064662</c:v>
                </c:pt>
                <c:pt idx="1">
                  <c:v>0.0758565620747831</c:v>
                </c:pt>
                <c:pt idx="2">
                  <c:v>0.0605888554431</c:v>
                </c:pt>
                <c:pt idx="3">
                  <c:v>0.0501753233714986</c:v>
                </c:pt>
                <c:pt idx="4">
                  <c:v>0.0397617912998971</c:v>
                </c:pt>
                <c:pt idx="5">
                  <c:v>0.0327851056026118</c:v>
                </c:pt>
                <c:pt idx="6">
                  <c:v>0.0258084199053266</c:v>
                </c:pt>
                <c:pt idx="7">
                  <c:v>0.0212079575903579</c:v>
                </c:pt>
                <c:pt idx="8">
                  <c:v>0.0166074952753892</c:v>
                </c:pt>
                <c:pt idx="9">
                  <c:v>0.0136130852971317</c:v>
                </c:pt>
                <c:pt idx="10">
                  <c:v>0.0106186753188742</c:v>
                </c:pt>
                <c:pt idx="11">
                  <c:v>0.00868880959611906</c:v>
                </c:pt>
                <c:pt idx="12">
                  <c:v>0.00675894387336395</c:v>
                </c:pt>
                <c:pt idx="13">
                  <c:v>0.00552397048575459</c:v>
                </c:pt>
                <c:pt idx="14">
                  <c:v>0.00428899709814523</c:v>
                </c:pt>
              </c:numCache>
            </c:numRef>
          </c:val>
          <c:smooth val="0"/>
        </c:ser>
        <c:ser>
          <c:idx val="4"/>
          <c:order val="4"/>
          <c:tx>
            <c:strRef>
              <c:f>'[Synchronized scenarios Co-existence simulation results data_Ericsson_ZTE_CMCC_QC_HW_CATT.xlsx]Scn12 2GHz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UL(V)'!$U$33:$U$53</c:f>
              <c:numCache>
                <c:formatCode>General</c:formatCode>
                <c:ptCount val="21"/>
                <c:pt idx="0">
                  <c:v>0.0027642</c:v>
                </c:pt>
                <c:pt idx="1">
                  <c:v>0.00275542</c:v>
                </c:pt>
                <c:pt idx="2">
                  <c:v>0.002699474</c:v>
                </c:pt>
                <c:pt idx="3">
                  <c:v>0.00259447</c:v>
                </c:pt>
                <c:pt idx="4">
                  <c:v>0.0024531</c:v>
                </c:pt>
                <c:pt idx="5">
                  <c:v>0.0023431</c:v>
                </c:pt>
                <c:pt idx="6">
                  <c:v>0.00229447</c:v>
                </c:pt>
                <c:pt idx="7">
                  <c:v>0.0020431</c:v>
                </c:pt>
                <c:pt idx="8">
                  <c:v>0.00199447</c:v>
                </c:pt>
                <c:pt idx="9">
                  <c:v>0.00174585</c:v>
                </c:pt>
                <c:pt idx="10">
                  <c:v>0.0012431</c:v>
                </c:pt>
              </c:numCache>
            </c:numRef>
          </c:val>
          <c:smooth val="0"/>
        </c:ser>
        <c:ser>
          <c:idx val="5"/>
          <c:order val="5"/>
          <c:tx>
            <c:strRef>
              <c:f>'[Synchronized scenarios Co-existence simulation results data_Ericsson_ZTE_CMCC_QC_HW_CATT.xlsx]Scn12 2GHz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UL(V)'!$V$33:$V$53</c:f>
              <c:numCache>
                <c:formatCode>General</c:formatCode>
                <c:ptCount val="21"/>
                <c:pt idx="0">
                  <c:v>0.226409</c:v>
                </c:pt>
                <c:pt idx="1">
                  <c:v>0.202284</c:v>
                </c:pt>
                <c:pt idx="2">
                  <c:v>0.189868</c:v>
                </c:pt>
                <c:pt idx="3">
                  <c:v>0.166266</c:v>
                </c:pt>
                <c:pt idx="4">
                  <c:v>0.133731</c:v>
                </c:pt>
                <c:pt idx="5">
                  <c:v>0.110302</c:v>
                </c:pt>
                <c:pt idx="6">
                  <c:v>0.092204</c:v>
                </c:pt>
                <c:pt idx="7">
                  <c:v>0.077695</c:v>
                </c:pt>
                <c:pt idx="8">
                  <c:v>0.0660849999999999</c:v>
                </c:pt>
                <c:pt idx="9">
                  <c:v>0.0568069999999999</c:v>
                </c:pt>
                <c:pt idx="10">
                  <c:v>0.0494019999999999</c:v>
                </c:pt>
                <c:pt idx="11">
                  <c:v>0.043497</c:v>
                </c:pt>
                <c:pt idx="12">
                  <c:v>0.038793</c:v>
                </c:pt>
                <c:pt idx="13">
                  <c:v>0.0350459999999999</c:v>
                </c:pt>
                <c:pt idx="14">
                  <c:v>0.032064</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UL(V)'!$AG$33:$AG$53</c:f>
              <c:numCache>
                <c:formatCode>General</c:formatCode>
                <c:ptCount val="21"/>
                <c:pt idx="0">
                  <c:v>3.89697455351533</c:v>
                </c:pt>
                <c:pt idx="1">
                  <c:v>3.74678537173704</c:v>
                </c:pt>
                <c:pt idx="2">
                  <c:v>3.62688215902435</c:v>
                </c:pt>
                <c:pt idx="3">
                  <c:v>3.53125536666565</c:v>
                </c:pt>
                <c:pt idx="4">
                  <c:v>3.45505212719377</c:v>
                </c:pt>
                <c:pt idx="5">
                  <c:v>3.39436681074428</c:v>
                </c:pt>
                <c:pt idx="6">
                  <c:v>3.34606455795193</c:v>
                </c:pt>
                <c:pt idx="7">
                  <c:v>3.30763453904145</c:v>
                </c:pt>
                <c:pt idx="8">
                  <c:v>3.27706914872158</c:v>
                </c:pt>
                <c:pt idx="9">
                  <c:v>3.25276531768981</c:v>
                </c:pt>
                <c:pt idx="10">
                  <c:v>3.23344437314216</c:v>
                </c:pt>
                <c:pt idx="11">
                  <c:v>3.21808726523671</c:v>
                </c:pt>
                <c:pt idx="12">
                  <c:v>3.20588240446614</c:v>
                </c:pt>
                <c:pt idx="13">
                  <c:v>3.19618377528564</c:v>
                </c:pt>
                <c:pt idx="14">
                  <c:v>3.18847737759881</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UL(V)'!$AV$33:$AV$53</c:f>
              <c:numCache>
                <c:formatCode>General</c:formatCode>
                <c:ptCount val="21"/>
                <c:pt idx="0">
                  <c:v>0.783707795843269</c:v>
                </c:pt>
                <c:pt idx="1">
                  <c:v>0.759969755449985</c:v>
                </c:pt>
                <c:pt idx="2">
                  <c:v>0.740814109403321</c:v>
                </c:pt>
                <c:pt idx="3">
                  <c:v>0.725401743154819</c:v>
                </c:pt>
                <c:pt idx="4">
                  <c:v>0.713031401761033</c:v>
                </c:pt>
                <c:pt idx="5">
                  <c:v>0.703122571423798</c:v>
                </c:pt>
                <c:pt idx="6">
                  <c:v>0.695198451244028</c:v>
                </c:pt>
                <c:pt idx="7">
                  <c:v>0.688869945739556</c:v>
                </c:pt>
                <c:pt idx="8">
                  <c:v>0.683821202951762</c:v>
                </c:pt>
                <c:pt idx="9">
                  <c:v>0.679796924058596</c:v>
                </c:pt>
                <c:pt idx="10">
                  <c:v>0.676591469063481</c:v>
                </c:pt>
                <c:pt idx="11">
                  <c:v>0.674039660039594</c:v>
                </c:pt>
                <c:pt idx="12">
                  <c:v>0.672009117591954</c:v>
                </c:pt>
                <c:pt idx="13">
                  <c:v>0.67039393924343</c:v>
                </c:pt>
                <c:pt idx="14">
                  <c:v>0.669109525951439</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FDD 20MHz @ 2GHz</a:t>
            </a:r>
            <a:endParaRPr lang="en-US"/>
          </a:p>
        </c:rich>
      </c:tx>
      <c:layout/>
      <c:overlay val="0"/>
      <c:spPr>
        <a:noFill/>
        <a:ln>
          <a:noFill/>
        </a:ln>
        <a:effectLst/>
      </c:spPr>
    </c:title>
    <c:autoTitleDeleted val="0"/>
    <c:plotArea>
      <c:layout>
        <c:manualLayout>
          <c:layoutTarget val="inner"/>
          <c:xMode val="edge"/>
          <c:yMode val="edge"/>
          <c:x val="0.144456036745407"/>
          <c:y val="0.171712962962963"/>
          <c:w val="0.822192038495188"/>
          <c:h val="0.65570173519976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Sheet1!$F$16:$F$45</c:f>
              <c:numCache>
                <c:formatCode>0.0</c:formatCode>
                <c:ptCount val="30"/>
                <c:pt idx="0">
                  <c:v>42.9963287134353</c:v>
                </c:pt>
                <c:pt idx="1">
                  <c:v>36.9757288001557</c:v>
                </c:pt>
                <c:pt idx="2">
                  <c:v>33.4539036190421</c:v>
                </c:pt>
                <c:pt idx="3">
                  <c:v>30.9551288868761</c:v>
                </c:pt>
                <c:pt idx="4">
                  <c:v>29.0169286267149</c:v>
                </c:pt>
                <c:pt idx="5">
                  <c:v>27.4333037057624</c:v>
                </c:pt>
                <c:pt idx="6">
                  <c:v>26.0943679131502</c:v>
                </c:pt>
                <c:pt idx="7">
                  <c:v>24.9345289735964</c:v>
                </c:pt>
                <c:pt idx="8">
                  <c:v>23.9114785246488</c:v>
                </c:pt>
                <c:pt idx="9">
                  <c:v>22.9963287134353</c:v>
                </c:pt>
                <c:pt idx="10">
                  <c:v>22.1684750102708</c:v>
                </c:pt>
                <c:pt idx="11">
                  <c:v>21.4127037924828</c:v>
                </c:pt>
                <c:pt idx="12">
                  <c:v>20.7174616672986</c:v>
                </c:pt>
                <c:pt idx="13">
                  <c:v>20.0737679998705</c:v>
                </c:pt>
                <c:pt idx="14">
                  <c:v>19.4745035323217</c:v>
                </c:pt>
                <c:pt idx="15">
                  <c:v>18.9139290603168</c:v>
                </c:pt>
                <c:pt idx="16">
                  <c:v>18.3873502858698</c:v>
                </c:pt>
                <c:pt idx="17">
                  <c:v>17.8908786113692</c:v>
                </c:pt>
                <c:pt idx="18">
                  <c:v>17.4212566943787</c:v>
                </c:pt>
                <c:pt idx="19">
                  <c:v>16.9757288001557</c:v>
                </c:pt>
                <c:pt idx="20">
                  <c:v>16.5519428187569</c:v>
                </c:pt>
                <c:pt idx="21">
                  <c:v>16.1478750969912</c:v>
                </c:pt>
                <c:pt idx="22">
                  <c:v>15.7617719930834</c:v>
                </c:pt>
                <c:pt idx="23">
                  <c:v>15.3921038792032</c:v>
                </c:pt>
                <c:pt idx="24">
                  <c:v>15.0375285399946</c:v>
                </c:pt>
                <c:pt idx="25">
                  <c:v>14.696861754019</c:v>
                </c:pt>
                <c:pt idx="26">
                  <c:v>14.3690534302555</c:v>
                </c:pt>
                <c:pt idx="27">
                  <c:v>14.0531680865909</c:v>
                </c:pt>
                <c:pt idx="28">
                  <c:v>13.7483687554562</c:v>
                </c:pt>
                <c:pt idx="29">
                  <c:v>13.4539036190421</c:v>
                </c:pt>
              </c:numCache>
            </c:numRef>
          </c:val>
          <c:smooth val="0"/>
        </c:ser>
        <c:ser>
          <c:idx val="1"/>
          <c:order val="1"/>
          <c:tx>
            <c:strRef>
              <c:f>UL</c:f>
              <c:strCache>
                <c:ptCount val="1"/>
                <c:pt idx="0">
                  <c:v>UL</c:v>
                </c:pt>
              </c:strCache>
            </c:strRef>
          </c:tx>
          <c:spPr>
            <a:ln w="28575" cap="rnd">
              <a:solidFill>
                <a:srgbClr val="ED7D31"/>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Sheet1!$G$16:$G$45</c:f>
              <c:numCache>
                <c:formatCode>0.0</c:formatCode>
                <c:ptCount val="30"/>
                <c:pt idx="0">
                  <c:v>43.9963287134353</c:v>
                </c:pt>
                <c:pt idx="1">
                  <c:v>37.9757288001557</c:v>
                </c:pt>
                <c:pt idx="2">
                  <c:v>34.4539036190421</c:v>
                </c:pt>
                <c:pt idx="3">
                  <c:v>31.9551288868761</c:v>
                </c:pt>
                <c:pt idx="4">
                  <c:v>30.0169286267149</c:v>
                </c:pt>
                <c:pt idx="5">
                  <c:v>28.4333037057624</c:v>
                </c:pt>
                <c:pt idx="6">
                  <c:v>27.0943679131502</c:v>
                </c:pt>
                <c:pt idx="7">
                  <c:v>25.9345289735964</c:v>
                </c:pt>
                <c:pt idx="8">
                  <c:v>24.9114785246488</c:v>
                </c:pt>
                <c:pt idx="9">
                  <c:v>23.9963287134353</c:v>
                </c:pt>
                <c:pt idx="10">
                  <c:v>23.1684750102708</c:v>
                </c:pt>
                <c:pt idx="11">
                  <c:v>22.4127037924828</c:v>
                </c:pt>
                <c:pt idx="12">
                  <c:v>21.7174616672986</c:v>
                </c:pt>
                <c:pt idx="13">
                  <c:v>21.0737679998705</c:v>
                </c:pt>
                <c:pt idx="14">
                  <c:v>20.4745035323217</c:v>
                </c:pt>
                <c:pt idx="15">
                  <c:v>19.9139290603168</c:v>
                </c:pt>
                <c:pt idx="16">
                  <c:v>19.3873502858698</c:v>
                </c:pt>
                <c:pt idx="17">
                  <c:v>18.8908786113692</c:v>
                </c:pt>
                <c:pt idx="18">
                  <c:v>18.4212566943787</c:v>
                </c:pt>
                <c:pt idx="19">
                  <c:v>17.9757288001557</c:v>
                </c:pt>
                <c:pt idx="20">
                  <c:v>17.5519428187569</c:v>
                </c:pt>
                <c:pt idx="21">
                  <c:v>17.1478750969912</c:v>
                </c:pt>
                <c:pt idx="22">
                  <c:v>16.7617719930834</c:v>
                </c:pt>
                <c:pt idx="23">
                  <c:v>16.3921038792032</c:v>
                </c:pt>
                <c:pt idx="24">
                  <c:v>16.0375285399946</c:v>
                </c:pt>
                <c:pt idx="25">
                  <c:v>15.696861754019</c:v>
                </c:pt>
                <c:pt idx="26">
                  <c:v>15.3690534302555</c:v>
                </c:pt>
                <c:pt idx="27">
                  <c:v>15.0531680865909</c:v>
                </c:pt>
                <c:pt idx="28">
                  <c:v>14.7483687554562</c:v>
                </c:pt>
                <c:pt idx="29">
                  <c:v>14.4539036190421</c:v>
                </c:pt>
              </c:numCache>
            </c:numRef>
          </c:val>
          <c:smooth val="0"/>
        </c:ser>
        <c:dLbls>
          <c:showLegendKey val="0"/>
          <c:showVal val="0"/>
          <c:showCatName val="0"/>
          <c:showSerName val="0"/>
          <c:showPercent val="0"/>
          <c:showBubbleSize val="0"/>
        </c:dLbls>
        <c:marker val="0"/>
        <c:smooth val="0"/>
        <c:axId val="1050542952"/>
        <c:axId val="1050548528"/>
      </c:lineChart>
      <c:catAx>
        <c:axId val="1050542952"/>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50548528"/>
        <c:crosses val="autoZero"/>
        <c:auto val="1"/>
        <c:lblAlgn val="ctr"/>
        <c:lblOffset val="100"/>
        <c:noMultiLvlLbl val="0"/>
      </c:catAx>
      <c:valAx>
        <c:axId val="1050548528"/>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endParaRPr lang="en-US"/>
              </a:p>
            </c:rich>
          </c:tx>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50542952"/>
        <c:crosses val="autoZero"/>
        <c:crossBetween val="between"/>
      </c:valAx>
      <c:spPr>
        <a:noFill/>
        <a:ln>
          <a:noFill/>
        </a:ln>
        <a:effectLst/>
      </c:spPr>
    </c:plotArea>
    <c:legend>
      <c:legendPos val="b"/>
      <c:layout>
        <c:manualLayout>
          <c:xMode val="edge"/>
          <c:yMode val="edge"/>
          <c:x val="0.635755249343832"/>
          <c:y val="0.232059638378536"/>
          <c:w val="0.222933727034121"/>
          <c:h val="0.078125546806649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TDD 100MHz @ 4GHz</a:t>
            </a:r>
            <a:endParaRPr lang="en-US"/>
          </a:p>
        </c:rich>
      </c:tx>
      <c:layout/>
      <c:overlay val="0"/>
      <c:spPr>
        <a:noFill/>
        <a:ln>
          <a:noFill/>
        </a:ln>
        <a:effectLst/>
      </c:spPr>
    </c:title>
    <c:autoTitleDeleted val="0"/>
    <c:plotArea>
      <c:layout>
        <c:manualLayout>
          <c:layoutTarget val="inner"/>
          <c:xMode val="edge"/>
          <c:yMode val="edge"/>
          <c:x val="0.144456036745407"/>
          <c:y val="0.171712962962963"/>
          <c:w val="0.833580489938758"/>
          <c:h val="0.64644247594050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Sheet1!$H$16:$H$45</c:f>
              <c:numCache>
                <c:formatCode>0.0</c:formatCode>
                <c:ptCount val="30"/>
                <c:pt idx="0">
                  <c:v>40.9654288435159</c:v>
                </c:pt>
                <c:pt idx="1">
                  <c:v>34.9448289302362</c:v>
                </c:pt>
                <c:pt idx="2">
                  <c:v>31.4230037491226</c:v>
                </c:pt>
                <c:pt idx="3">
                  <c:v>28.9242290169566</c:v>
                </c:pt>
                <c:pt idx="4">
                  <c:v>26.9860287567955</c:v>
                </c:pt>
                <c:pt idx="5">
                  <c:v>25.402403835843</c:v>
                </c:pt>
                <c:pt idx="6">
                  <c:v>24.0634680432307</c:v>
                </c:pt>
                <c:pt idx="7">
                  <c:v>22.903629103677</c:v>
                </c:pt>
                <c:pt idx="8">
                  <c:v>21.8805786547294</c:v>
                </c:pt>
                <c:pt idx="9">
                  <c:v>20.9654288435159</c:v>
                </c:pt>
                <c:pt idx="10">
                  <c:v>20.1375751403514</c:v>
                </c:pt>
                <c:pt idx="11">
                  <c:v>19.3818039225634</c:v>
                </c:pt>
                <c:pt idx="12">
                  <c:v>18.6865617973791</c:v>
                </c:pt>
                <c:pt idx="13">
                  <c:v>18.0428681299511</c:v>
                </c:pt>
                <c:pt idx="14">
                  <c:v>17.4436036624022</c:v>
                </c:pt>
                <c:pt idx="15">
                  <c:v>16.8830291903974</c:v>
                </c:pt>
                <c:pt idx="16">
                  <c:v>16.3564504159504</c:v>
                </c:pt>
                <c:pt idx="17">
                  <c:v>15.8599787414497</c:v>
                </c:pt>
                <c:pt idx="18">
                  <c:v>15.3903568244593</c:v>
                </c:pt>
                <c:pt idx="19">
                  <c:v>14.9448289302362</c:v>
                </c:pt>
                <c:pt idx="20">
                  <c:v>14.5210429488375</c:v>
                </c:pt>
                <c:pt idx="21">
                  <c:v>14.1169752270717</c:v>
                </c:pt>
                <c:pt idx="22">
                  <c:v>13.730872123164</c:v>
                </c:pt>
                <c:pt idx="23">
                  <c:v>13.3612040092837</c:v>
                </c:pt>
                <c:pt idx="24">
                  <c:v>13.0066286700751</c:v>
                </c:pt>
                <c:pt idx="25">
                  <c:v>12.6659618840995</c:v>
                </c:pt>
                <c:pt idx="26">
                  <c:v>12.3381535603361</c:v>
                </c:pt>
                <c:pt idx="27">
                  <c:v>12.0222682166715</c:v>
                </c:pt>
                <c:pt idx="28">
                  <c:v>11.7174688855367</c:v>
                </c:pt>
                <c:pt idx="29">
                  <c:v>11.4230037491226</c:v>
                </c:pt>
              </c:numCache>
            </c:numRef>
          </c:val>
          <c:smooth val="0"/>
        </c:ser>
        <c:ser>
          <c:idx val="1"/>
          <c:order val="1"/>
          <c:tx>
            <c:strRef>
              <c:f>UL</c:f>
              <c:strCache>
                <c:ptCount val="1"/>
                <c:pt idx="0">
                  <c:v>UL</c:v>
                </c:pt>
              </c:strCache>
            </c:strRef>
          </c:tx>
          <c:spPr>
            <a:ln w="28575" cap="rnd">
              <a:solidFill>
                <a:srgbClr val="ED7D31"/>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Sheet1!$I$16:$I$45</c:f>
              <c:numCache>
                <c:formatCode>0.0</c:formatCode>
                <c:ptCount val="30"/>
                <c:pt idx="0">
                  <c:v>37.9654288435159</c:v>
                </c:pt>
                <c:pt idx="1">
                  <c:v>31.9448289302362</c:v>
                </c:pt>
                <c:pt idx="2">
                  <c:v>28.4230037491226</c:v>
                </c:pt>
                <c:pt idx="3">
                  <c:v>25.9242290169566</c:v>
                </c:pt>
                <c:pt idx="4">
                  <c:v>23.9860287567955</c:v>
                </c:pt>
                <c:pt idx="5">
                  <c:v>22.402403835843</c:v>
                </c:pt>
                <c:pt idx="6">
                  <c:v>21.0634680432307</c:v>
                </c:pt>
                <c:pt idx="7">
                  <c:v>19.903629103677</c:v>
                </c:pt>
                <c:pt idx="8">
                  <c:v>18.8805786547294</c:v>
                </c:pt>
                <c:pt idx="9">
                  <c:v>17.9654288435159</c:v>
                </c:pt>
                <c:pt idx="10">
                  <c:v>17.1375751403514</c:v>
                </c:pt>
                <c:pt idx="11">
                  <c:v>16.3818039225634</c:v>
                </c:pt>
                <c:pt idx="12">
                  <c:v>15.6865617973791</c:v>
                </c:pt>
                <c:pt idx="13">
                  <c:v>15.0428681299511</c:v>
                </c:pt>
                <c:pt idx="14">
                  <c:v>14.4436036624022</c:v>
                </c:pt>
                <c:pt idx="15">
                  <c:v>13.8830291903974</c:v>
                </c:pt>
                <c:pt idx="16">
                  <c:v>13.3564504159504</c:v>
                </c:pt>
                <c:pt idx="17">
                  <c:v>12.8599787414497</c:v>
                </c:pt>
                <c:pt idx="18">
                  <c:v>12.3903568244593</c:v>
                </c:pt>
                <c:pt idx="19">
                  <c:v>11.9448289302362</c:v>
                </c:pt>
                <c:pt idx="20">
                  <c:v>11.5210429488375</c:v>
                </c:pt>
                <c:pt idx="21">
                  <c:v>11.1169752270717</c:v>
                </c:pt>
                <c:pt idx="22">
                  <c:v>10.730872123164</c:v>
                </c:pt>
                <c:pt idx="23">
                  <c:v>10.3612040092837</c:v>
                </c:pt>
                <c:pt idx="24">
                  <c:v>10.0066286700751</c:v>
                </c:pt>
                <c:pt idx="25">
                  <c:v>9.66596188409952</c:v>
                </c:pt>
                <c:pt idx="26">
                  <c:v>9.33815356033611</c:v>
                </c:pt>
                <c:pt idx="27">
                  <c:v>9.02226821667148</c:v>
                </c:pt>
                <c:pt idx="28">
                  <c:v>8.71746888553673</c:v>
                </c:pt>
                <c:pt idx="29">
                  <c:v>8.42300374912261</c:v>
                </c:pt>
              </c:numCache>
            </c:numRef>
          </c:val>
          <c:smooth val="0"/>
        </c:ser>
        <c:dLbls>
          <c:showLegendKey val="0"/>
          <c:showVal val="0"/>
          <c:showCatName val="0"/>
          <c:showSerName val="0"/>
          <c:showPercent val="0"/>
          <c:showBubbleSize val="0"/>
        </c:dLbls>
        <c:marker val="0"/>
        <c:smooth val="0"/>
        <c:axId val="1078052784"/>
        <c:axId val="1078054096"/>
      </c:lineChart>
      <c:catAx>
        <c:axId val="1078052784"/>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baseline="0"/>
              </a:p>
            </c:rich>
          </c:tx>
          <c:layout/>
          <c:overlay val="0"/>
          <c:spPr>
            <a:noFill/>
            <a:ln>
              <a:noFill/>
            </a:ln>
            <a:effectLst/>
          </c:sp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78054096"/>
        <c:crosses val="autoZero"/>
        <c:auto val="1"/>
        <c:lblAlgn val="ctr"/>
        <c:lblOffset val="100"/>
        <c:noMultiLvlLbl val="0"/>
      </c:catAx>
      <c:valAx>
        <c:axId val="1078054096"/>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endParaRPr lang="en-US"/>
              </a:p>
            </c:rich>
          </c:tx>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78052784"/>
        <c:crosses val="autoZero"/>
        <c:crossBetween val="between"/>
      </c:valAx>
      <c:spPr>
        <a:noFill/>
        <a:ln>
          <a:noFill/>
        </a:ln>
        <a:effectLst/>
      </c:spPr>
    </c:plotArea>
    <c:legend>
      <c:legendPos val="b"/>
      <c:layout>
        <c:manualLayout>
          <c:xMode val="edge"/>
          <c:yMode val="edge"/>
          <c:x val="0.632977471566054"/>
          <c:y val="0.241318897637795"/>
          <c:w val="0.222933727034121"/>
          <c:h val="0.078125546806649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endParaRPr lang="en-US"/>
          </a:p>
        </c:rich>
      </c:tx>
      <c:layout>
        <c:manualLayout>
          <c:xMode val="edge"/>
          <c:yMode val="edge"/>
          <c:x val="0.114524573317224"/>
          <c:y val="0.0166701396124193"/>
        </c:manualLayout>
      </c:layout>
      <c:overlay val="0"/>
      <c:spPr>
        <a:noFill/>
        <a:ln>
          <a:noFill/>
        </a:ln>
        <a:effectLst/>
      </c:sp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c:v>
                </c:pt>
                <c:pt idx="3">
                  <c:v>14.8162384569773</c:v>
                </c:pt>
                <c:pt idx="4">
                  <c:v>12.5064852764703</c:v>
                </c:pt>
                <c:pt idx="5">
                  <c:v>10.4394198922443</c:v>
                </c:pt>
                <c:pt idx="6">
                  <c:v>8.62723360704076</c:v>
                </c:pt>
                <c:pt idx="7">
                  <c:v>7.02434684963236</c:v>
                </c:pt>
                <c:pt idx="8">
                  <c:v>5.70262660990349</c:v>
                </c:pt>
                <c:pt idx="9">
                  <c:v>4.56413595227031</c:v>
                </c:pt>
                <c:pt idx="10">
                  <c:v>3.60131778553694</c:v>
                </c:pt>
                <c:pt idx="11">
                  <c:v>2.83701598692705</c:v>
                </c:pt>
                <c:pt idx="12">
                  <c:v>2.28952858504843</c:v>
                </c:pt>
                <c:pt idx="13">
                  <c:v>1.85909249642993</c:v>
                </c:pt>
                <c:pt idx="14">
                  <c:v>1.51326035423147</c:v>
                </c:pt>
                <c:pt idx="15">
                  <c:v>1.26080879260597</c:v>
                </c:pt>
                <c:pt idx="16">
                  <c:v>1.03186150995475</c:v>
                </c:pt>
                <c:pt idx="17">
                  <c:v>0.86525167563547</c:v>
                </c:pt>
                <c:pt idx="18">
                  <c:v>0.743112739579144</c:v>
                </c:pt>
                <c:pt idx="19">
                  <c:v>0.641458835723852</c:v>
                </c:pt>
                <c:pt idx="20">
                  <c:v>0.568188458212815</c:v>
                </c:pt>
              </c:numCache>
            </c:numRef>
          </c:val>
          <c:smooth val="0"/>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18.5831965302026</c:v>
                </c:pt>
                <c:pt idx="1">
                  <c:v>15.996443296714</c:v>
                </c:pt>
                <c:pt idx="2">
                  <c:v>13.6109756272853</c:v>
                </c:pt>
                <c:pt idx="3">
                  <c:v>11.3762088100829</c:v>
                </c:pt>
                <c:pt idx="4">
                  <c:v>9.42043067219265</c:v>
                </c:pt>
                <c:pt idx="5">
                  <c:v>7.69896947948924</c:v>
                </c:pt>
                <c:pt idx="6">
                  <c:v>6.18509980604792</c:v>
                </c:pt>
                <c:pt idx="7">
                  <c:v>4.91922815481447</c:v>
                </c:pt>
                <c:pt idx="8">
                  <c:v>3.89216861733728</c:v>
                </c:pt>
                <c:pt idx="9">
                  <c:v>3.05819341275929</c:v>
                </c:pt>
                <c:pt idx="10">
                  <c:v>2.38179273359705</c:v>
                </c:pt>
                <c:pt idx="11">
                  <c:v>1.90913989136771</c:v>
                </c:pt>
                <c:pt idx="12">
                  <c:v>1.53874956052587</c:v>
                </c:pt>
                <c:pt idx="13">
                  <c:v>1.25710780868554</c:v>
                </c:pt>
                <c:pt idx="14">
                  <c:v>1.04292939144073</c:v>
                </c:pt>
                <c:pt idx="15">
                  <c:v>0.860994365590173</c:v>
                </c:pt>
                <c:pt idx="16">
                  <c:v>0.712513246533253</c:v>
                </c:pt>
                <c:pt idx="17">
                  <c:v>0.607240272448262</c:v>
                </c:pt>
                <c:pt idx="18">
                  <c:v>0.507958802752329</c:v>
                </c:pt>
                <c:pt idx="19">
                  <c:v>0.450418478943537</c:v>
                </c:pt>
                <c:pt idx="20">
                  <c:v>0.400751413852929</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c:v>
                </c:pt>
                <c:pt idx="3">
                  <c:v>14.8162384569773</c:v>
                </c:pt>
                <c:pt idx="4">
                  <c:v>12.5064852764703</c:v>
                </c:pt>
                <c:pt idx="5">
                  <c:v>10.4394198922443</c:v>
                </c:pt>
                <c:pt idx="6">
                  <c:v>8.62723360704076</c:v>
                </c:pt>
                <c:pt idx="7">
                  <c:v>7.02434684963236</c:v>
                </c:pt>
                <c:pt idx="8">
                  <c:v>5.70262660990349</c:v>
                </c:pt>
                <c:pt idx="9">
                  <c:v>4.56413595227031</c:v>
                </c:pt>
                <c:pt idx="10">
                  <c:v>3.60131778553694</c:v>
                </c:pt>
                <c:pt idx="11">
                  <c:v>2.83701598692705</c:v>
                </c:pt>
                <c:pt idx="12">
                  <c:v>2.28952858504843</c:v>
                </c:pt>
                <c:pt idx="13">
                  <c:v>1.85909249642993</c:v>
                </c:pt>
                <c:pt idx="14">
                  <c:v>1.51326035423147</c:v>
                </c:pt>
                <c:pt idx="15">
                  <c:v>1.26080879260597</c:v>
                </c:pt>
                <c:pt idx="16">
                  <c:v>1.03186150995475</c:v>
                </c:pt>
                <c:pt idx="17">
                  <c:v>0.86525167563547</c:v>
                </c:pt>
                <c:pt idx="18">
                  <c:v>0.743112739579144</c:v>
                </c:pt>
                <c:pt idx="19">
                  <c:v>0.641458835723852</c:v>
                </c:pt>
                <c:pt idx="20">
                  <c:v>0.568188458212815</c:v>
                </c:pt>
              </c:numCache>
            </c:numRef>
          </c:val>
          <c:smooth val="0"/>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c:v>
                </c:pt>
                <c:pt idx="1">
                  <c:v>35.0234393383987</c:v>
                </c:pt>
                <c:pt idx="2">
                  <c:v>31.4645126281122</c:v>
                </c:pt>
                <c:pt idx="3">
                  <c:v>28.0628090897764</c:v>
                </c:pt>
                <c:pt idx="4">
                  <c:v>24.7849906241073</c:v>
                </c:pt>
                <c:pt idx="5">
                  <c:v>21.7451067097001</c:v>
                </c:pt>
                <c:pt idx="6">
                  <c:v>18.8726912369587</c:v>
                </c:pt>
                <c:pt idx="7">
                  <c:v>16.164040579989</c:v>
                </c:pt>
                <c:pt idx="8">
                  <c:v>13.7146570494719</c:v>
                </c:pt>
                <c:pt idx="9">
                  <c:v>11.5332678213875</c:v>
                </c:pt>
                <c:pt idx="10">
                  <c:v>9.5621015952747</c:v>
                </c:pt>
                <c:pt idx="11">
                  <c:v>7.85974438791512</c:v>
                </c:pt>
                <c:pt idx="12">
                  <c:v>6.38915549792746</c:v>
                </c:pt>
                <c:pt idx="13">
                  <c:v>5.14469860792021</c:v>
                </c:pt>
                <c:pt idx="14">
                  <c:v>4.12779700649663</c:v>
                </c:pt>
                <c:pt idx="15">
                  <c:v>3.29456226889965</c:v>
                </c:pt>
                <c:pt idx="16">
                  <c:v>2.63957619773796</c:v>
                </c:pt>
                <c:pt idx="17">
                  <c:v>2.09190448901735</c:v>
                </c:pt>
                <c:pt idx="18">
                  <c:v>1.66536031147826</c:v>
                </c:pt>
                <c:pt idx="19">
                  <c:v>1.35072866685803</c:v>
                </c:pt>
                <c:pt idx="20">
                  <c:v>1.11785855035177</c:v>
                </c:pt>
              </c:numCache>
            </c:numRef>
          </c:val>
          <c:smooth val="0"/>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c:v>
                </c:pt>
                <c:pt idx="1">
                  <c:v>7.64615621410343</c:v>
                </c:pt>
                <c:pt idx="2">
                  <c:v>6.16756832862682</c:v>
                </c:pt>
                <c:pt idx="3">
                  <c:v>4.86973119111536</c:v>
                </c:pt>
                <c:pt idx="4">
                  <c:v>3.81283144767384</c:v>
                </c:pt>
                <c:pt idx="5">
                  <c:v>2.95187309716664</c:v>
                </c:pt>
                <c:pt idx="6">
                  <c:v>2.25766719489904</c:v>
                </c:pt>
                <c:pt idx="7">
                  <c:v>1.73396377066107</c:v>
                </c:pt>
                <c:pt idx="8">
                  <c:v>1.34248222469709</c:v>
                </c:pt>
                <c:pt idx="9">
                  <c:v>1.02333655710372</c:v>
                </c:pt>
                <c:pt idx="10">
                  <c:v>0.794442940430729</c:v>
                </c:pt>
                <c:pt idx="11">
                  <c:v>0.620024458434476</c:v>
                </c:pt>
                <c:pt idx="12">
                  <c:v>0.484888021608065</c:v>
                </c:pt>
                <c:pt idx="13">
                  <c:v>0.384969601236906</c:v>
                </c:pt>
                <c:pt idx="14">
                  <c:v>0.314961164154126</c:v>
                </c:pt>
                <c:pt idx="15">
                  <c:v>0.259582674733283</c:v>
                </c:pt>
                <c:pt idx="16">
                  <c:v>0.205055434065105</c:v>
                </c:pt>
                <c:pt idx="17">
                  <c:v>0.165607717005245</c:v>
                </c:pt>
                <c:pt idx="18">
                  <c:v>0.127693461663647</c:v>
                </c:pt>
                <c:pt idx="19">
                  <c:v>0.107259928049652</c:v>
                </c:pt>
                <c:pt idx="20">
                  <c:v>0.0948584500790495</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c:v>
                </c:pt>
                <c:pt idx="1">
                  <c:v>22.1974325346571</c:v>
                </c:pt>
                <c:pt idx="2">
                  <c:v>19.1597218836827</c:v>
                </c:pt>
                <c:pt idx="3">
                  <c:v>16.2700173680569</c:v>
                </c:pt>
                <c:pt idx="4">
                  <c:v>13.6646743944599</c:v>
                </c:pt>
                <c:pt idx="5">
                  <c:v>11.2487109886825</c:v>
                </c:pt>
                <c:pt idx="6">
                  <c:v>9.13422814015907</c:v>
                </c:pt>
                <c:pt idx="7">
                  <c:v>7.29506440029329</c:v>
                </c:pt>
                <c:pt idx="8">
                  <c:v>5.76395503935541</c:v>
                </c:pt>
                <c:pt idx="9">
                  <c:v>4.57183710907257</c:v>
                </c:pt>
                <c:pt idx="10">
                  <c:v>3.62124054192216</c:v>
                </c:pt>
                <c:pt idx="11">
                  <c:v>2.82465744563394</c:v>
                </c:pt>
                <c:pt idx="12">
                  <c:v>2.20557162938203</c:v>
                </c:pt>
                <c:pt idx="13">
                  <c:v>1.74529093339582</c:v>
                </c:pt>
                <c:pt idx="14">
                  <c:v>1.36001024230947</c:v>
                </c:pt>
                <c:pt idx="15">
                  <c:v>1.10318155279391</c:v>
                </c:pt>
                <c:pt idx="16">
                  <c:v>0.887987924558931</c:v>
                </c:pt>
                <c:pt idx="17">
                  <c:v>0.704309985633356</c:v>
                </c:pt>
                <c:pt idx="18">
                  <c:v>0.608793559376764</c:v>
                </c:pt>
                <c:pt idx="19">
                  <c:v>0.52489859432161</c:v>
                </c:pt>
                <c:pt idx="20">
                  <c:v>0.444562347885003</c:v>
                </c:pt>
              </c:numCache>
            </c:numRef>
          </c:val>
          <c:smooth val="0"/>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c:v>
                </c:pt>
                <c:pt idx="1">
                  <c:v>35.1300336629186</c:v>
                </c:pt>
                <c:pt idx="2">
                  <c:v>31.5776109969918</c:v>
                </c:pt>
                <c:pt idx="3">
                  <c:v>28.1304194761463</c:v>
                </c:pt>
                <c:pt idx="4">
                  <c:v>24.8560399682021</c:v>
                </c:pt>
                <c:pt idx="5">
                  <c:v>21.7353911404308</c:v>
                </c:pt>
                <c:pt idx="6">
                  <c:v>18.885400408416</c:v>
                </c:pt>
                <c:pt idx="7">
                  <c:v>16.2282043832408</c:v>
                </c:pt>
                <c:pt idx="8">
                  <c:v>13.7943264153519</c:v>
                </c:pt>
                <c:pt idx="9">
                  <c:v>11.6819102288628</c:v>
                </c:pt>
                <c:pt idx="10">
                  <c:v>9.77313665835855</c:v>
                </c:pt>
                <c:pt idx="11">
                  <c:v>8.18859007914476</c:v>
                </c:pt>
                <c:pt idx="12">
                  <c:v>6.81445164145869</c:v>
                </c:pt>
                <c:pt idx="13">
                  <c:v>5.61385848659461</c:v>
                </c:pt>
                <c:pt idx="14">
                  <c:v>4.66726120595214</c:v>
                </c:pt>
                <c:pt idx="15">
                  <c:v>3.87499003444777</c:v>
                </c:pt>
                <c:pt idx="16">
                  <c:v>3.21310192068413</c:v>
                </c:pt>
                <c:pt idx="17">
                  <c:v>2.70132911630339</c:v>
                </c:pt>
                <c:pt idx="18">
                  <c:v>2.28657071449572</c:v>
                </c:pt>
                <c:pt idx="19">
                  <c:v>1.96734813639061</c:v>
                </c:pt>
                <c:pt idx="20">
                  <c:v>1.69402915223928</c:v>
                </c:pt>
              </c:numCache>
            </c:numRef>
          </c:val>
          <c:smooth val="0"/>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7.31158226526438</c:v>
                </c:pt>
                <c:pt idx="1">
                  <c:v>5.94853751403128</c:v>
                </c:pt>
                <c:pt idx="2">
                  <c:v>4.79696237987761</c:v>
                </c:pt>
                <c:pt idx="3">
                  <c:v>3.83215327304598</c:v>
                </c:pt>
                <c:pt idx="4">
                  <c:v>3.05415222883284</c:v>
                </c:pt>
                <c:pt idx="5">
                  <c:v>2.45181130374816</c:v>
                </c:pt>
                <c:pt idx="6">
                  <c:v>1.92778171496728</c:v>
                </c:pt>
                <c:pt idx="7">
                  <c:v>1.53278279808733</c:v>
                </c:pt>
                <c:pt idx="8">
                  <c:v>1.22773497890248</c:v>
                </c:pt>
                <c:pt idx="9">
                  <c:v>0.990093386686486</c:v>
                </c:pt>
                <c:pt idx="10">
                  <c:v>0.793234295200762</c:v>
                </c:pt>
                <c:pt idx="11">
                  <c:v>0.638647067911902</c:v>
                </c:pt>
                <c:pt idx="12">
                  <c:v>0.494285651519544</c:v>
                </c:pt>
                <c:pt idx="13">
                  <c:v>0.405366915090777</c:v>
                </c:pt>
                <c:pt idx="14">
                  <c:v>0.334014727368248</c:v>
                </c:pt>
                <c:pt idx="15">
                  <c:v>0.267172441042685</c:v>
                </c:pt>
                <c:pt idx="16">
                  <c:v>0.226279605063862</c:v>
                </c:pt>
                <c:pt idx="17">
                  <c:v>0.192076190436463</c:v>
                </c:pt>
                <c:pt idx="18">
                  <c:v>0.166410240752302</c:v>
                </c:pt>
                <c:pt idx="19">
                  <c:v>0.127182660325542</c:v>
                </c:pt>
                <c:pt idx="20">
                  <c:v>0.11534549933454</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DL(V)'!$DD$33:$DD$53</c:f>
              <c:numCache>
                <c:formatCode>General</c:formatCode>
                <c:ptCount val="21"/>
                <c:pt idx="0">
                  <c:v>0.324457543207446</c:v>
                </c:pt>
                <c:pt idx="1">
                  <c:v>0.306777122328927</c:v>
                </c:pt>
                <c:pt idx="2">
                  <c:v>0.292265457742613</c:v>
                </c:pt>
                <c:pt idx="3">
                  <c:v>0.280415680364499</c:v>
                </c:pt>
                <c:pt idx="4">
                  <c:v>0.270783417208853</c:v>
                </c:pt>
                <c:pt idx="5">
                  <c:v>0.262984606972749</c:v>
                </c:pt>
                <c:pt idx="6">
                  <c:v>0.256691635354711</c:v>
                </c:pt>
                <c:pt idx="7">
                  <c:v>0.251628292008521</c:v>
                </c:pt>
                <c:pt idx="8">
                  <c:v>0.24756407658223</c:v>
                </c:pt>
                <c:pt idx="9">
                  <c:v>0.244308317283026</c:v>
                </c:pt>
                <c:pt idx="10">
                  <c:v>0.24170445717635</c:v>
                </c:pt>
                <c:pt idx="11">
                  <c:v>0.239624746738942</c:v>
                </c:pt>
                <c:pt idx="12">
                  <c:v>0.23796547788083</c:v>
                </c:pt>
                <c:pt idx="13">
                  <c:v>0.236642814281562</c:v>
                </c:pt>
                <c:pt idx="14">
                  <c:v>0.235589216718535</c:v>
                </c:pt>
                <c:pt idx="15">
                  <c:v>0.234750426873187</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manualLayout>
          <c:layoutTarget val="inner"/>
          <c:xMode val="edge"/>
          <c:yMode val="edge"/>
          <c:x val="0.111541518538053"/>
          <c:y val="0.164062712005357"/>
          <c:w val="0.832959019973215"/>
          <c:h val="0.600129955360686"/>
        </c:manualLayout>
      </c:layout>
      <c:lineChart>
        <c:grouping val="standard"/>
        <c:varyColors val="0"/>
        <c:ser>
          <c:idx val="0"/>
          <c:order val="0"/>
          <c:tx>
            <c:strRef>
              <c:f>'[Synchronized scenarios Co-existence simulation results data_Ericsson_ZTE_CMCC_QC_HW_CATT.xlsx]Scn2 4GHz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UL(V)'!$B$33:$B$53</c:f>
              <c:numCache>
                <c:formatCode>General</c:formatCode>
                <c:ptCount val="21"/>
                <c:pt idx="0">
                  <c:v>1.49265785287511e-6</c:v>
                </c:pt>
                <c:pt idx="1">
                  <c:v>1.18642937696478e-6</c:v>
                </c:pt>
                <c:pt idx="2">
                  <c:v>9.43183708912443e-7</c:v>
                </c:pt>
                <c:pt idx="3">
                  <c:v>7.49966611035546e-7</c:v>
                </c:pt>
                <c:pt idx="4">
                  <c:v>5.96488880511004e-7</c:v>
                </c:pt>
                <c:pt idx="5">
                  <c:v>4.74577122044906e-7</c:v>
                </c:pt>
                <c:pt idx="6">
                  <c:v>3.77739228785146e-7</c:v>
                </c:pt>
                <c:pt idx="7">
                  <c:v>3.00818125964497e-7</c:v>
                </c:pt>
                <c:pt idx="8">
                  <c:v>2.39717579120224e-7</c:v>
                </c:pt>
                <c:pt idx="9">
                  <c:v>1.91183613384993e-7</c:v>
                </c:pt>
                <c:pt idx="10">
                  <c:v>1.5263180719316e-7</c:v>
                </c:pt>
                <c:pt idx="11">
                  <c:v>1.22008880776292e-7</c:v>
                </c:pt>
                <c:pt idx="12">
                  <c:v>9.76844050093462e-8</c:v>
                </c:pt>
                <c:pt idx="13">
                  <c:v>7.8362671906973e-8</c:v>
                </c:pt>
                <c:pt idx="14">
                  <c:v>6.30148822011734e-8</c:v>
                </c:pt>
                <c:pt idx="15">
                  <c:v>5.0823678598988e-8</c:v>
                </c:pt>
                <c:pt idx="16">
                  <c:v>4.1139847084537e-8</c:v>
                </c:pt>
                <c:pt idx="17">
                  <c:v>3.34478000851846e-8</c:v>
                </c:pt>
                <c:pt idx="18">
                  <c:v>2.73376765669298e-8</c:v>
                </c:pt>
                <c:pt idx="19">
                  <c:v>2.24843810237019e-8</c:v>
                </c:pt>
                <c:pt idx="20">
                  <c:v>1.8629131570691e-8</c:v>
                </c:pt>
              </c:numCache>
            </c:numRef>
          </c:val>
          <c:smooth val="0"/>
        </c:ser>
        <c:ser>
          <c:idx val="1"/>
          <c:order val="1"/>
          <c:tx>
            <c:strRef>
              <c:f>'[Synchronized scenarios Co-existence simulation results data_Ericsson_ZTE_CMCC_QC_HW_CATT.xlsx]Scn2 4GHz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UL(V)'!$C$33:$C$53</c:f>
              <c:numCache>
                <c:formatCode>General</c:formatCode>
                <c:ptCount val="21"/>
                <c:pt idx="0">
                  <c:v>1.59391857490476e-6</c:v>
                </c:pt>
                <c:pt idx="1">
                  <c:v>1.26691593882455e-6</c:v>
                </c:pt>
                <c:pt idx="2">
                  <c:v>1.00716844864124e-6</c:v>
                </c:pt>
                <c:pt idx="3">
                  <c:v>8.00843713566479e-7</c:v>
                </c:pt>
                <c:pt idx="4">
                  <c:v>6.36954178290239e-7</c:v>
                </c:pt>
                <c:pt idx="5">
                  <c:v>5.06772090957952e-7</c:v>
                </c:pt>
                <c:pt idx="6">
                  <c:v>4.0336479711911e-7</c:v>
                </c:pt>
                <c:pt idx="7">
                  <c:v>3.21225424038119e-7</c:v>
                </c:pt>
                <c:pt idx="8">
                  <c:v>2.55979804020257e-7</c:v>
                </c:pt>
                <c:pt idx="9">
                  <c:v>2.04153405292118e-7</c:v>
                </c:pt>
                <c:pt idx="10">
                  <c:v>1.62986169005563e-7</c:v>
                </c:pt>
                <c:pt idx="11">
                  <c:v>1.30285904287319e-7</c:v>
                </c:pt>
                <c:pt idx="12">
                  <c:v>1.0431115970988e-7</c:v>
                </c:pt>
                <c:pt idx="13">
                  <c:v>8.36786862024042e-8</c:v>
                </c:pt>
                <c:pt idx="14">
                  <c:v>6.72897182418808e-8</c:v>
                </c:pt>
                <c:pt idx="15">
                  <c:v>5.42715095086521e-8</c:v>
                </c:pt>
                <c:pt idx="16">
                  <c:v>4.39308034394514e-8</c:v>
                </c:pt>
                <c:pt idx="17">
                  <c:v>3.57168628006832e-8</c:v>
                </c:pt>
                <c:pt idx="18">
                  <c:v>2.91923041295661e-8</c:v>
                </c:pt>
                <c:pt idx="19">
                  <c:v>2.40096720283134e-8</c:v>
                </c:pt>
                <c:pt idx="20">
                  <c:v>1.98929317463126e-8</c:v>
                </c:pt>
              </c:numCache>
            </c:numRef>
          </c:val>
          <c:smooth val="0"/>
        </c:ser>
        <c:ser>
          <c:idx val="2"/>
          <c:order val="2"/>
          <c:tx>
            <c:strRef>
              <c:f>'[Synchronized scenarios Co-existence simulation results data_Ericsson_ZTE_CMCC_QC_HW_CATT.xlsx]Scn2 4GHz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UL(V)'!$D$33:$D$53</c:f>
              <c:numCache>
                <c:formatCode>General</c:formatCode>
                <c:ptCount val="21"/>
                <c:pt idx="0">
                  <c:v>0.00539689824077177</c:v>
                </c:pt>
                <c:pt idx="1">
                  <c:v>0.0042897700778101</c:v>
                </c:pt>
                <c:pt idx="2">
                  <c:v>0.00341031740075627</c:v>
                </c:pt>
                <c:pt idx="3">
                  <c:v>0.00271172468278088</c:v>
                </c:pt>
                <c:pt idx="4">
                  <c:v>0.00215680100985224</c:v>
                </c:pt>
                <c:pt idx="5">
                  <c:v>0.0017160020527912</c:v>
                </c:pt>
                <c:pt idx="6">
                  <c:v>0.00136585831632391</c:v>
                </c:pt>
                <c:pt idx="7">
                  <c:v>0.00108772630787743</c:v>
                </c:pt>
                <c:pt idx="8">
                  <c:v>0.000866796337757834</c:v>
                </c:pt>
                <c:pt idx="9">
                  <c:v>0.000691304249213422</c:v>
                </c:pt>
                <c:pt idx="10">
                  <c:v>0.000551905186660565</c:v>
                </c:pt>
                <c:pt idx="11">
                  <c:v>0.000441176107460171</c:v>
                </c:pt>
                <c:pt idx="12">
                  <c:v>0.000353220578207365</c:v>
                </c:pt>
                <c:pt idx="13">
                  <c:v>0.000283354831609578</c:v>
                </c:pt>
                <c:pt idx="14">
                  <c:v>0.000227858378928215</c:v>
                </c:pt>
                <c:pt idx="15">
                  <c:v>0.000183775905435599</c:v>
                </c:pt>
                <c:pt idx="16">
                  <c:v>0.000148759905325594</c:v>
                </c:pt>
                <c:pt idx="17">
                  <c:v>0.000120945678212619</c:v>
                </c:pt>
                <c:pt idx="18">
                  <c:v>9.88520336675971e-5</c:v>
                </c:pt>
                <c:pt idx="19">
                  <c:v>8.13024162423552e-5</c:v>
                </c:pt>
                <c:pt idx="20">
                  <c:v>6.73622522010697e-5</c:v>
                </c:pt>
              </c:numCache>
            </c:numRef>
          </c:val>
          <c:smooth val="0"/>
        </c:ser>
        <c:ser>
          <c:idx val="3"/>
          <c:order val="3"/>
          <c:tx>
            <c:strRef>
              <c:f>'[Synchronized scenarios Co-existence simulation results data_Ericsson_ZTE_CMCC_QC_HW_CATT.xlsx]Scn2 4GHz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UL(V)'!$E$33:$E$53</c:f>
              <c:numCache>
                <c:formatCode>General</c:formatCode>
                <c:ptCount val="21"/>
                <c:pt idx="0">
                  <c:v>7.63844554274584e-6</c:v>
                </c:pt>
                <c:pt idx="1">
                  <c:v>6.22899807289912e-6</c:v>
                </c:pt>
                <c:pt idx="2">
                  <c:v>4.81955060305239e-6</c:v>
                </c:pt>
                <c:pt idx="3">
                  <c:v>3.93024432998601e-6</c:v>
                </c:pt>
                <c:pt idx="4">
                  <c:v>3.04093805691963e-6</c:v>
                </c:pt>
                <c:pt idx="5">
                  <c:v>2.47982172574268e-6</c:v>
                </c:pt>
                <c:pt idx="6">
                  <c:v>1.91870539456573e-6</c:v>
                </c:pt>
                <c:pt idx="7">
                  <c:v>1.56466385958787e-6</c:v>
                </c:pt>
                <c:pt idx="8">
                  <c:v>1.21062232461e-6</c:v>
                </c:pt>
                <c:pt idx="9">
                  <c:v>9.87236997707086e-7</c:v>
                </c:pt>
                <c:pt idx="10">
                  <c:v>7.63851670804172e-7</c:v>
                </c:pt>
                <c:pt idx="11">
                  <c:v>6.2290488322958e-7</c:v>
                </c:pt>
                <c:pt idx="12">
                  <c:v>4.81958095654989e-7</c:v>
                </c:pt>
                <c:pt idx="13">
                  <c:v>3.93026666767327e-7</c:v>
                </c:pt>
                <c:pt idx="14">
                  <c:v>3.04095237879665e-7</c:v>
                </c:pt>
                <c:pt idx="15">
                  <c:v>2.47983195089674e-7</c:v>
                </c:pt>
                <c:pt idx="16">
                  <c:v>1.91871152299683e-7</c:v>
                </c:pt>
                <c:pt idx="17">
                  <c:v>1.5646695605831e-7</c:v>
                </c:pt>
                <c:pt idx="18">
                  <c:v>1.21062759816937e-7</c:v>
                </c:pt>
                <c:pt idx="19">
                  <c:v>9.87241177696774e-8</c:v>
                </c:pt>
                <c:pt idx="20">
                  <c:v>7.63854757224181e-8</c:v>
                </c:pt>
              </c:numCache>
            </c:numRef>
          </c:val>
          <c:smooth val="0"/>
        </c:ser>
        <c:ser>
          <c:idx val="4"/>
          <c:order val="4"/>
          <c:tx>
            <c:strRef>
              <c:f>'[Synchronized scenarios Co-existence simulation results data_Ericsson_ZTE_CMCC_QC_HW_CATT.xlsx]Scn2 4GHz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ser>
        <c:ser>
          <c:idx val="5"/>
          <c:order val="5"/>
          <c:tx>
            <c:strRef>
              <c:f>'[Synchronized scenarios Co-existence simulation results data_Ericsson_ZTE_CMCC_QC_HW_CATT.xlsx]Scn2 4GHz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UL(V)'!$G$33:$G$53</c:f>
              <c:numCache>
                <c:formatCode>General</c:formatCode>
                <c:ptCount val="21"/>
                <c:pt idx="0">
                  <c:v>3.72e-6</c:v>
                </c:pt>
                <c:pt idx="1">
                  <c:v>3e-6</c:v>
                </c:pt>
                <c:pt idx="2">
                  <c:v>2.42e-6</c:v>
                </c:pt>
                <c:pt idx="3">
                  <c:v>1.96e-6</c:v>
                </c:pt>
                <c:pt idx="4">
                  <c:v>1.6e-6</c:v>
                </c:pt>
                <c:pt idx="5">
                  <c:v>1.3e-6</c:v>
                </c:pt>
                <c:pt idx="6">
                  <c:v>1.08e-6</c:v>
                </c:pt>
                <c:pt idx="7">
                  <c:v>8.8e-7</c:v>
                </c:pt>
                <c:pt idx="8">
                  <c:v>7.4e-7</c:v>
                </c:pt>
                <c:pt idx="9">
                  <c:v>6.2e-7</c:v>
                </c:pt>
                <c:pt idx="10">
                  <c:v>5.9e-8</c:v>
                </c:pt>
                <c:pt idx="11">
                  <c:v>4.5e-8</c:v>
                </c:pt>
                <c:pt idx="12">
                  <c:v>4.1e-8</c:v>
                </c:pt>
                <c:pt idx="13">
                  <c:v>3.7e-8</c:v>
                </c:pt>
                <c:pt idx="14">
                  <c:v>3.3e-8</c:v>
                </c:pt>
                <c:pt idx="15">
                  <c:v>2.9e-8</c:v>
                </c:pt>
                <c:pt idx="16">
                  <c:v>2.5e-8</c:v>
                </c:pt>
                <c:pt idx="17">
                  <c:v>2.4e-8</c:v>
                </c:pt>
                <c:pt idx="18">
                  <c:v>2.4e-8</c:v>
                </c:pt>
                <c:pt idx="19">
                  <c:v>2.2e-8</c:v>
                </c:pt>
                <c:pt idx="20">
                  <c:v>2.2e-8</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manualLayout>
              <c:xMode val="edge"/>
              <c:yMode val="edge"/>
              <c:x val="0.442198985402216"/>
              <c:y val="0.84293505140651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210293611257776"/>
              <c:y val="0.258625887726475"/>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manualLayout>
          <c:xMode val="edge"/>
          <c:yMode val="edge"/>
          <c:x val="0.153189428813892"/>
          <c:y val="0.911971217605581"/>
          <c:w val="0.689225989608442"/>
          <c:h val="0.0880287851342526"/>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6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11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22E8DFF-5866-4837-A66C-E211F7185DBA}">
  <ds:schemaRefs/>
</ds:datastoreItem>
</file>

<file path=docProps/app.xml><?xml version="1.0" encoding="utf-8"?>
<Properties xmlns="http://schemas.openxmlformats.org/officeDocument/2006/extended-properties" xmlns:vt="http://schemas.openxmlformats.org/officeDocument/2006/docPropsVTypes">
  <Template>3gpp_70.dot</Template>
  <Pages>50</Pages>
  <Words>11886</Words>
  <Characters>67752</Characters>
  <Lines>564</Lines>
  <Paragraphs>158</Paragraphs>
  <TotalTime>2</TotalTime>
  <ScaleCrop>false</ScaleCrop>
  <LinksUpToDate>false</LinksUpToDate>
  <CharactersWithSpaces>79480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2023-06-02T08:43:00Z</dcterms:created>
  <dcterms:modified xsi:type="dcterms:W3CDTF">2023-08-29T07:45:45Z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46DCDF4E26EC4F6196AEC9E2682FB246</vt:lpwstr>
  </property>
</Properties>
</file>