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B297" w14:textId="5E7CCDB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073E53" w:rsidRPr="00073E53">
        <w:rPr>
          <w:rFonts w:ascii="Arial" w:eastAsia="SimSun" w:hAnsi="Arial" w:cs="Times New Roman"/>
          <w:b/>
          <w:bCs/>
          <w:sz w:val="24"/>
          <w:szCs w:val="20"/>
          <w:lang w:eastAsia="ja-JP"/>
        </w:rPr>
        <w:t>R4-2312189</w:t>
      </w:r>
    </w:p>
    <w:p w14:paraId="0B902E37" w14:textId="7CA85C4A"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67678F">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549A1E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D54E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3ACCD3" w14:textId="11410A5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7678F" w:rsidRPr="0067678F">
        <w:rPr>
          <w:rFonts w:ascii="Arial" w:eastAsia="Calibri" w:hAnsi="Arial" w:cs="Arial"/>
          <w:b/>
          <w:bCs/>
          <w:sz w:val="24"/>
        </w:rPr>
        <w:t>Updated Simulation Results for RRM Performance with Simultaneous L1 Measurements in HST FR2</w:t>
      </w:r>
      <w:r w:rsidR="004457A3">
        <w:rPr>
          <w:rFonts w:ascii="Arial" w:eastAsia="Calibri" w:hAnsi="Arial" w:cs="Arial"/>
          <w:b/>
          <w:bCs/>
          <w:sz w:val="24"/>
        </w:rPr>
        <w:t xml:space="preserve"> Enhanced</w:t>
      </w:r>
    </w:p>
    <w:p w14:paraId="78D0B9E1" w14:textId="1F160DCA"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00E56" w:rsidRPr="00900E56">
        <w:rPr>
          <w:rFonts w:ascii="Arial" w:eastAsia="MS Mincho" w:hAnsi="Arial" w:cs="Arial"/>
          <w:b/>
          <w:bCs/>
          <w:sz w:val="24"/>
          <w:szCs w:val="20"/>
        </w:rPr>
        <w:t>8.12.4.1</w:t>
      </w:r>
    </w:p>
    <w:p w14:paraId="7A77D6E9" w14:textId="05A325FC"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803D87">
        <w:rPr>
          <w:rFonts w:ascii="Arial" w:eastAsia="Calibri" w:hAnsi="Arial" w:cs="Arial"/>
          <w:b/>
          <w:bCs/>
          <w:sz w:val="24"/>
        </w:rPr>
        <w:t>Information</w:t>
      </w:r>
    </w:p>
    <w:p w14:paraId="627C9151" w14:textId="77777777" w:rsidR="00E323E9" w:rsidRPr="008C39F7" w:rsidRDefault="00E323E9" w:rsidP="00841BCD">
      <w:pPr>
        <w:tabs>
          <w:tab w:val="left" w:pos="1985"/>
        </w:tabs>
        <w:rPr>
          <w:rFonts w:ascii="Arial" w:eastAsia="Calibri" w:hAnsi="Arial" w:cs="Arial"/>
          <w:b/>
          <w:bCs/>
          <w:sz w:val="24"/>
        </w:rPr>
      </w:pPr>
    </w:p>
    <w:p w14:paraId="5FDFC72F" w14:textId="77777777" w:rsidR="00841BCD" w:rsidRPr="008C39F7" w:rsidRDefault="00841BCD" w:rsidP="00A37002">
      <w:pPr>
        <w:pStyle w:val="RAN4H1"/>
      </w:pPr>
      <w:bookmarkStart w:id="3" w:name="_Toc116995841"/>
      <w:bookmarkStart w:id="4" w:name="_Ref142311819"/>
      <w:r w:rsidRPr="008C39F7">
        <w:t>Intro</w:t>
      </w:r>
      <w:r w:rsidRPr="008C39F7">
        <w:rPr>
          <w:rStyle w:val="RAN4H1Char"/>
          <w:lang w:val="en-US"/>
        </w:rPr>
        <w:t>ductio</w:t>
      </w:r>
      <w:r w:rsidRPr="008C39F7">
        <w:t>n</w:t>
      </w:r>
      <w:bookmarkEnd w:id="3"/>
      <w:bookmarkEnd w:id="4"/>
    </w:p>
    <w:p w14:paraId="1832D7BF" w14:textId="7F0D192A" w:rsidR="00307D85" w:rsidRDefault="00307D85" w:rsidP="00307D85">
      <w:r>
        <w:t>One of the objectives of the NR</w:t>
      </w:r>
      <w:r>
        <w:rPr>
          <w:lang w:val="ru-RU"/>
        </w:rPr>
        <w:t>_</w:t>
      </w:r>
      <w:r>
        <w:t>HST</w:t>
      </w:r>
      <w:r>
        <w:rPr>
          <w:lang w:val="ru-RU"/>
        </w:rPr>
        <w:t>_</w:t>
      </w:r>
      <w:r>
        <w:t>FR2</w:t>
      </w:r>
      <w:r>
        <w:rPr>
          <w:lang w:val="ru-RU"/>
        </w:rPr>
        <w:t>_</w:t>
      </w:r>
      <w:proofErr w:type="spellStart"/>
      <w:r>
        <w:t>Enh</w:t>
      </w:r>
      <w:proofErr w:type="spellEnd"/>
      <w:r>
        <w:t xml:space="preserve"> WI </w:t>
      </w:r>
      <w:r>
        <w:fldChar w:fldCharType="begin"/>
      </w:r>
      <w:r>
        <w:instrText xml:space="preserve"> REF _Ref118741312 \r \h </w:instrText>
      </w:r>
      <w:r>
        <w:fldChar w:fldCharType="separate"/>
      </w:r>
      <w:r w:rsidR="000C0403">
        <w:t>[1]</w:t>
      </w:r>
      <w:r>
        <w:fldChar w:fldCharType="end"/>
      </w:r>
      <w:r>
        <w:t xml:space="preserve"> is to specify the requirements for simultaneous multi-panel operation:</w:t>
      </w:r>
    </w:p>
    <w:tbl>
      <w:tblPr>
        <w:tblStyle w:val="TableGrid"/>
        <w:tblW w:w="0" w:type="auto"/>
        <w:jc w:val="center"/>
        <w:tblLook w:val="04A0" w:firstRow="1" w:lastRow="0" w:firstColumn="1" w:lastColumn="0" w:noHBand="0" w:noVBand="1"/>
      </w:tblPr>
      <w:tblGrid>
        <w:gridCol w:w="9000"/>
      </w:tblGrid>
      <w:tr w:rsidR="00307D85" w14:paraId="7353B98A" w14:textId="77777777" w:rsidTr="00ED289E">
        <w:trPr>
          <w:jc w:val="center"/>
        </w:trPr>
        <w:tc>
          <w:tcPr>
            <w:tcW w:w="9000" w:type="dxa"/>
            <w:tcBorders>
              <w:top w:val="single" w:sz="4" w:space="0" w:color="auto"/>
              <w:left w:val="single" w:sz="4" w:space="0" w:color="auto"/>
              <w:bottom w:val="single" w:sz="4" w:space="0" w:color="auto"/>
              <w:right w:val="single" w:sz="4" w:space="0" w:color="auto"/>
            </w:tcBorders>
          </w:tcPr>
          <w:p w14:paraId="718B7401" w14:textId="77777777" w:rsidR="00307D85" w:rsidRDefault="00307D85" w:rsidP="00307D85">
            <w:pPr>
              <w:pStyle w:val="ListParagraph"/>
              <w:numPr>
                <w:ilvl w:val="0"/>
                <w:numId w:val="31"/>
              </w:numPr>
            </w:pPr>
            <w:r>
              <w:t xml:space="preserve">Specify the requirement for simultaneous multi-panel operation for train </w:t>
            </w:r>
            <w:proofErr w:type="gramStart"/>
            <w:r>
              <w:t>roof-mounted</w:t>
            </w:r>
            <w:proofErr w:type="gramEnd"/>
            <w:r>
              <w:t xml:space="preserve"> FR2 high power devices [RAN4]:</w:t>
            </w:r>
          </w:p>
          <w:p w14:paraId="0DEE3E5B" w14:textId="77777777" w:rsidR="00307D85" w:rsidRDefault="00307D85" w:rsidP="00307D85">
            <w:pPr>
              <w:pStyle w:val="ListParagraph"/>
              <w:numPr>
                <w:ilvl w:val="1"/>
                <w:numId w:val="31"/>
              </w:numPr>
            </w:pPr>
            <w:r>
              <w:t xml:space="preserve">Maximum 2 active panels supporting the multi-panel simultaneous reception. </w:t>
            </w:r>
          </w:p>
          <w:p w14:paraId="07DAE36E" w14:textId="77777777" w:rsidR="00307D85" w:rsidRDefault="00307D85" w:rsidP="00307D85">
            <w:pPr>
              <w:pStyle w:val="ListParagraph"/>
              <w:numPr>
                <w:ilvl w:val="1"/>
                <w:numId w:val="31"/>
              </w:numPr>
            </w:pPr>
            <w:r>
              <w:t xml:space="preserve">NOTE: Focus on FR2 HST specific requirements, and avoid the overlap with the scope of FR2 multi-Rx DL reception </w:t>
            </w:r>
          </w:p>
        </w:tc>
      </w:tr>
    </w:tbl>
    <w:p w14:paraId="46E89CD1" w14:textId="77777777" w:rsidR="00203D74" w:rsidRDefault="00203D74" w:rsidP="00203D74"/>
    <w:p w14:paraId="6E01E761" w14:textId="33853076" w:rsidR="00307D85" w:rsidRDefault="00203D74" w:rsidP="00307D85">
      <w:r>
        <w:t xml:space="preserve">During RAN4 discussions, it is questionable that whether reduction of Rx beam sweeping factor </w:t>
      </w:r>
      <w:r w:rsidR="00334361">
        <w:t xml:space="preserve">should be </w:t>
      </w:r>
      <w:r>
        <w:t>considered</w:t>
      </w:r>
      <w:r w:rsidR="00334361">
        <w:t>:</w:t>
      </w:r>
    </w:p>
    <w:tbl>
      <w:tblPr>
        <w:tblStyle w:val="TableGrid"/>
        <w:tblW w:w="0" w:type="auto"/>
        <w:jc w:val="center"/>
        <w:tblLook w:val="04A0" w:firstRow="1" w:lastRow="0" w:firstColumn="1" w:lastColumn="0" w:noHBand="0" w:noVBand="1"/>
      </w:tblPr>
      <w:tblGrid>
        <w:gridCol w:w="9000"/>
      </w:tblGrid>
      <w:tr w:rsidR="00203D74" w:rsidRPr="008C39F7" w14:paraId="5D41DA12" w14:textId="77777777" w:rsidTr="00ED289E">
        <w:trPr>
          <w:jc w:val="center"/>
        </w:trPr>
        <w:tc>
          <w:tcPr>
            <w:tcW w:w="9000" w:type="dxa"/>
          </w:tcPr>
          <w:p w14:paraId="3BE4F34D" w14:textId="77777777" w:rsidR="00203D74" w:rsidRPr="00656631" w:rsidRDefault="00203D74" w:rsidP="00ED289E">
            <w:pPr>
              <w:rPr>
                <w:u w:val="single"/>
              </w:rPr>
            </w:pPr>
            <w:r w:rsidRPr="00656631">
              <w:rPr>
                <w:u w:val="single"/>
              </w:rPr>
              <w:t>Whether to consider/enhance simultaneous L3+L3</w:t>
            </w:r>
            <w:r>
              <w:rPr>
                <w:u w:val="single"/>
              </w:rPr>
              <w:t>, L3+L1 and L1+L1</w:t>
            </w:r>
            <w:r w:rsidRPr="00656631">
              <w:rPr>
                <w:u w:val="single"/>
              </w:rPr>
              <w:t xml:space="preserve"> measurement </w:t>
            </w:r>
            <w:bookmarkStart w:id="5" w:name="_Hlk135865725"/>
            <w:r w:rsidRPr="00656631">
              <w:rPr>
                <w:u w:val="single"/>
                <w:lang w:eastAsia="zh-CN"/>
              </w:rPr>
              <w:t>for multi-panel RX in Rel-18 FR2 HST WI</w:t>
            </w:r>
            <w:bookmarkEnd w:id="5"/>
            <w:r w:rsidRPr="00656631">
              <w:rPr>
                <w:u w:val="single"/>
                <w:lang w:eastAsia="zh-CN"/>
              </w:rPr>
              <w:t>?</w:t>
            </w:r>
          </w:p>
          <w:p w14:paraId="59569CB9" w14:textId="77777777" w:rsidR="00203D74" w:rsidRPr="00B04EA8" w:rsidRDefault="00203D74" w:rsidP="00ED289E">
            <w:pPr>
              <w:pStyle w:val="ListParagraph"/>
              <w:numPr>
                <w:ilvl w:val="0"/>
                <w:numId w:val="28"/>
              </w:numPr>
              <w:spacing w:after="120" w:line="259" w:lineRule="auto"/>
              <w:ind w:left="936"/>
              <w:contextualSpacing w:val="0"/>
              <w:rPr>
                <w:rFonts w:eastAsia="SimSun"/>
                <w:szCs w:val="24"/>
                <w:highlight w:val="green"/>
                <w:lang w:eastAsia="zh-CN"/>
              </w:rPr>
            </w:pPr>
            <w:r w:rsidRPr="00B04EA8">
              <w:rPr>
                <w:rFonts w:eastAsia="SimSun"/>
                <w:szCs w:val="24"/>
                <w:highlight w:val="green"/>
                <w:lang w:eastAsia="zh-CN"/>
              </w:rPr>
              <w:t xml:space="preserve">Agreement from Thursday Ad-Hoc Session: </w:t>
            </w:r>
          </w:p>
          <w:p w14:paraId="6AC7578C" w14:textId="77777777" w:rsidR="00203D74" w:rsidRPr="00CC0AFD" w:rsidRDefault="00203D74" w:rsidP="00ED289E">
            <w:pPr>
              <w:pStyle w:val="ListParagraph"/>
              <w:numPr>
                <w:ilvl w:val="1"/>
                <w:numId w:val="28"/>
              </w:numPr>
              <w:spacing w:after="120" w:line="259" w:lineRule="auto"/>
              <w:contextualSpacing w:val="0"/>
              <w:rPr>
                <w:rFonts w:eastAsia="SimSun"/>
                <w:szCs w:val="24"/>
                <w:highlight w:val="green"/>
                <w:lang w:eastAsia="zh-CN"/>
              </w:rPr>
            </w:pPr>
            <w:r w:rsidRPr="00CC0AFD">
              <w:rPr>
                <w:rFonts w:eastAsia="SimSun"/>
                <w:szCs w:val="24"/>
                <w:highlight w:val="green"/>
                <w:lang w:eastAsia="zh-CN"/>
              </w:rPr>
              <w:t>RAN4 shall preclude the simultaneous L3+L3 measurement for multi-panel RX in Rel-18 FR2 HST WI.</w:t>
            </w:r>
          </w:p>
          <w:p w14:paraId="7C7676BD" w14:textId="77777777" w:rsidR="00203D74" w:rsidRPr="00CC0AFD" w:rsidRDefault="00203D74" w:rsidP="00ED289E">
            <w:pPr>
              <w:pStyle w:val="ListParagraph"/>
              <w:numPr>
                <w:ilvl w:val="1"/>
                <w:numId w:val="28"/>
              </w:numPr>
              <w:spacing w:after="120" w:line="259" w:lineRule="auto"/>
              <w:contextualSpacing w:val="0"/>
              <w:rPr>
                <w:rFonts w:eastAsia="SimSun"/>
                <w:szCs w:val="24"/>
                <w:highlight w:val="green"/>
                <w:lang w:eastAsia="zh-CN"/>
              </w:rPr>
            </w:pPr>
            <w:r w:rsidRPr="00CC0AFD">
              <w:rPr>
                <w:rFonts w:eastAsia="SimSun"/>
                <w:szCs w:val="24"/>
                <w:highlight w:val="green"/>
                <w:lang w:eastAsia="zh-CN"/>
              </w:rPr>
              <w:t>RAN4 shall preclude the simultaneous L3+L1 measurement for multi-panel RX in Rel-18 FR2 HST WI.</w:t>
            </w:r>
          </w:p>
          <w:p w14:paraId="67B62B9E" w14:textId="77777777" w:rsidR="00203D74" w:rsidRPr="000E478F" w:rsidRDefault="00203D74" w:rsidP="00ED289E">
            <w:pPr>
              <w:pStyle w:val="ListParagraph"/>
              <w:numPr>
                <w:ilvl w:val="1"/>
                <w:numId w:val="28"/>
              </w:numPr>
              <w:spacing w:after="120" w:line="259" w:lineRule="auto"/>
              <w:contextualSpacing w:val="0"/>
              <w:rPr>
                <w:rFonts w:eastAsia="SimSun"/>
                <w:szCs w:val="24"/>
                <w:highlight w:val="yellow"/>
                <w:lang w:eastAsia="zh-CN"/>
              </w:rPr>
            </w:pPr>
            <w:r w:rsidRPr="00CC0AFD">
              <w:rPr>
                <w:rFonts w:eastAsia="SimSun"/>
                <w:szCs w:val="24"/>
                <w:highlight w:val="green"/>
                <w:lang w:eastAsia="zh-CN"/>
              </w:rPr>
              <w:t xml:space="preserve">RAN4 shall consider the simultaneous L1+L1 measurement for multi-panel RX in Rel-18 FR2 </w:t>
            </w:r>
            <w:r w:rsidRPr="000E478F">
              <w:rPr>
                <w:rFonts w:eastAsia="SimSun"/>
                <w:szCs w:val="24"/>
                <w:highlight w:val="yellow"/>
                <w:lang w:eastAsia="zh-CN"/>
              </w:rPr>
              <w:t xml:space="preserve">HST WI, and new requirements shall be defined </w:t>
            </w:r>
            <w:proofErr w:type="gramStart"/>
            <w:r w:rsidRPr="000E478F">
              <w:rPr>
                <w:rFonts w:eastAsia="SimSun"/>
                <w:szCs w:val="24"/>
                <w:highlight w:val="yellow"/>
                <w:lang w:eastAsia="zh-CN"/>
              </w:rPr>
              <w:t>accordingly</w:t>
            </w:r>
            <w:proofErr w:type="gramEnd"/>
          </w:p>
          <w:p w14:paraId="52B42915" w14:textId="77777777" w:rsidR="00203D74" w:rsidRPr="000E478F" w:rsidRDefault="00203D74" w:rsidP="00ED289E">
            <w:pPr>
              <w:pStyle w:val="ListParagraph"/>
              <w:numPr>
                <w:ilvl w:val="2"/>
                <w:numId w:val="28"/>
              </w:numPr>
              <w:spacing w:after="120" w:line="259" w:lineRule="auto"/>
              <w:contextualSpacing w:val="0"/>
              <w:rPr>
                <w:rFonts w:eastAsia="SimSun"/>
                <w:szCs w:val="24"/>
                <w:highlight w:val="yellow"/>
                <w:lang w:eastAsia="zh-CN"/>
              </w:rPr>
            </w:pPr>
            <w:r w:rsidRPr="000E478F">
              <w:rPr>
                <w:rFonts w:eastAsia="SimSun"/>
                <w:szCs w:val="24"/>
                <w:highlight w:val="yellow"/>
                <w:lang w:eastAsia="zh-CN"/>
              </w:rPr>
              <w:t>FFS applicable condition of the enhancement for new requirement:</w:t>
            </w:r>
          </w:p>
          <w:p w14:paraId="6498FEEA" w14:textId="77777777" w:rsidR="00203D74" w:rsidRPr="000E478F" w:rsidRDefault="00203D74" w:rsidP="00ED289E">
            <w:pPr>
              <w:pStyle w:val="ListParagraph"/>
              <w:numPr>
                <w:ilvl w:val="3"/>
                <w:numId w:val="28"/>
              </w:numPr>
              <w:spacing w:after="120" w:line="259" w:lineRule="auto"/>
              <w:contextualSpacing w:val="0"/>
              <w:rPr>
                <w:rFonts w:eastAsia="SimSun"/>
                <w:szCs w:val="24"/>
                <w:highlight w:val="yellow"/>
                <w:lang w:eastAsia="zh-CN"/>
              </w:rPr>
            </w:pPr>
            <w:r w:rsidRPr="000E478F">
              <w:rPr>
                <w:rFonts w:eastAsia="SimSun"/>
                <w:szCs w:val="24"/>
                <w:highlight w:val="yellow"/>
                <w:lang w:eastAsia="zh-CN"/>
              </w:rPr>
              <w:t>Restriction on SSB configuration for neighboring RRHs</w:t>
            </w:r>
          </w:p>
          <w:p w14:paraId="5C78539D" w14:textId="77777777" w:rsidR="00203D74" w:rsidRPr="000E478F" w:rsidRDefault="00203D74" w:rsidP="00ED289E">
            <w:pPr>
              <w:pStyle w:val="ListParagraph"/>
              <w:numPr>
                <w:ilvl w:val="3"/>
                <w:numId w:val="28"/>
              </w:numPr>
              <w:spacing w:after="120" w:line="259" w:lineRule="auto"/>
              <w:contextualSpacing w:val="0"/>
              <w:rPr>
                <w:rFonts w:eastAsia="SimSun"/>
                <w:szCs w:val="24"/>
                <w:highlight w:val="yellow"/>
                <w:lang w:eastAsia="zh-CN"/>
              </w:rPr>
            </w:pPr>
            <w:r w:rsidRPr="000E478F">
              <w:rPr>
                <w:rFonts w:eastAsia="SimSun"/>
                <w:szCs w:val="24"/>
                <w:highlight w:val="yellow"/>
                <w:lang w:eastAsia="zh-CN"/>
              </w:rPr>
              <w:t xml:space="preserve">Enhancement on only set1, or both set1 and set2. </w:t>
            </w:r>
          </w:p>
          <w:p w14:paraId="0F2C8A80" w14:textId="77777777" w:rsidR="00203D74" w:rsidRPr="00203D74" w:rsidRDefault="00203D74" w:rsidP="00ED289E">
            <w:pPr>
              <w:pStyle w:val="ListParagraph"/>
              <w:numPr>
                <w:ilvl w:val="3"/>
                <w:numId w:val="28"/>
              </w:numPr>
              <w:overflowPunct w:val="0"/>
              <w:autoSpaceDE w:val="0"/>
              <w:autoSpaceDN w:val="0"/>
              <w:adjustRightInd w:val="0"/>
              <w:spacing w:after="180"/>
              <w:contextualSpacing w:val="0"/>
              <w:textAlignment w:val="baseline"/>
              <w:rPr>
                <w:rFonts w:eastAsia="SimSun"/>
                <w:b/>
                <w:bCs/>
                <w:szCs w:val="24"/>
                <w:highlight w:val="yellow"/>
                <w:lang w:eastAsia="zh-CN"/>
              </w:rPr>
            </w:pPr>
            <w:r w:rsidRPr="00203D74">
              <w:rPr>
                <w:rFonts w:eastAsia="SimSun"/>
                <w:b/>
                <w:bCs/>
                <w:szCs w:val="24"/>
                <w:highlight w:val="yellow"/>
                <w:lang w:eastAsia="zh-CN"/>
              </w:rPr>
              <w:t xml:space="preserve">The sweeping factor N1 can be reduced in FR2 HST multi-panel simultaneous </w:t>
            </w:r>
            <w:proofErr w:type="gramStart"/>
            <w:r w:rsidRPr="00203D74">
              <w:rPr>
                <w:rFonts w:eastAsia="SimSun"/>
                <w:b/>
                <w:bCs/>
                <w:szCs w:val="24"/>
                <w:highlight w:val="yellow"/>
                <w:lang w:eastAsia="zh-CN"/>
              </w:rPr>
              <w:t>reception</w:t>
            </w:r>
            <w:proofErr w:type="gramEnd"/>
            <w:r w:rsidRPr="00203D74">
              <w:rPr>
                <w:rFonts w:eastAsia="SimSun"/>
                <w:b/>
                <w:bCs/>
                <w:szCs w:val="24"/>
                <w:highlight w:val="yellow"/>
                <w:lang w:eastAsia="zh-CN"/>
              </w:rPr>
              <w:t xml:space="preserve"> </w:t>
            </w:r>
          </w:p>
          <w:p w14:paraId="3ACA0985" w14:textId="77777777" w:rsidR="00203D74" w:rsidRPr="00203D74" w:rsidRDefault="00203D74" w:rsidP="00ED289E">
            <w:pPr>
              <w:pStyle w:val="ListParagraph"/>
              <w:numPr>
                <w:ilvl w:val="4"/>
                <w:numId w:val="28"/>
              </w:numPr>
              <w:overflowPunct w:val="0"/>
              <w:autoSpaceDE w:val="0"/>
              <w:autoSpaceDN w:val="0"/>
              <w:adjustRightInd w:val="0"/>
              <w:spacing w:after="180"/>
              <w:contextualSpacing w:val="0"/>
              <w:textAlignment w:val="baseline"/>
              <w:rPr>
                <w:rFonts w:eastAsia="SimSun"/>
                <w:b/>
                <w:bCs/>
                <w:szCs w:val="24"/>
                <w:highlight w:val="yellow"/>
                <w:lang w:eastAsia="zh-CN"/>
              </w:rPr>
            </w:pPr>
            <w:r w:rsidRPr="00203D74">
              <w:rPr>
                <w:rFonts w:eastAsia="SimSun"/>
                <w:b/>
                <w:bCs/>
                <w:szCs w:val="24"/>
                <w:highlight w:val="yellow"/>
                <w:lang w:eastAsia="zh-CN"/>
              </w:rPr>
              <w:t xml:space="preserve">FFS how to reduce </w:t>
            </w:r>
            <w:proofErr w:type="gramStart"/>
            <w:r w:rsidRPr="00203D74">
              <w:rPr>
                <w:rFonts w:eastAsia="SimSun"/>
                <w:b/>
                <w:bCs/>
                <w:szCs w:val="24"/>
                <w:highlight w:val="yellow"/>
                <w:lang w:eastAsia="zh-CN"/>
              </w:rPr>
              <w:t>N1</w:t>
            </w:r>
            <w:proofErr w:type="gramEnd"/>
          </w:p>
          <w:p w14:paraId="73DC15EB" w14:textId="77777777" w:rsidR="00203D74" w:rsidRPr="008C39F7" w:rsidRDefault="00203D74" w:rsidP="00ED289E"/>
        </w:tc>
      </w:tr>
    </w:tbl>
    <w:p w14:paraId="348C4A87" w14:textId="77777777" w:rsidR="00203D74" w:rsidRDefault="00203D74" w:rsidP="00307D85"/>
    <w:p w14:paraId="1FFE781C" w14:textId="27435FA5" w:rsidR="00705BF9" w:rsidRDefault="002772DC" w:rsidP="00307D85">
      <w:r>
        <w:t xml:space="preserve">Our previous simulation results </w:t>
      </w:r>
      <w:r w:rsidR="00265025">
        <w:t xml:space="preserve">reported in RAN4#105 </w:t>
      </w:r>
      <w:r w:rsidR="00265025">
        <w:fldChar w:fldCharType="begin"/>
      </w:r>
      <w:r w:rsidR="00265025">
        <w:instrText xml:space="preserve"> REF _Ref142311493 \r \h </w:instrText>
      </w:r>
      <w:r w:rsidR="00265025">
        <w:fldChar w:fldCharType="separate"/>
      </w:r>
      <w:r w:rsidR="000C0403">
        <w:t>[2]</w:t>
      </w:r>
      <w:r w:rsidR="00265025">
        <w:fldChar w:fldCharType="end"/>
      </w:r>
      <w:r w:rsidR="00265025">
        <w:t xml:space="preserve"> </w:t>
      </w:r>
      <w:r w:rsidR="00334361">
        <w:t>considering</w:t>
      </w:r>
      <w:r w:rsidR="00265025">
        <w:t xml:space="preserve"> further reduced scaling factor for non-DPS (L3 mobility and handover based) suggested that gains in mobility performance with simultaneous two-panel measurement and reception can be expected in HST FR2 deployments. </w:t>
      </w:r>
    </w:p>
    <w:p w14:paraId="282DBF71" w14:textId="0F82EE97" w:rsidR="00307D85" w:rsidRDefault="00307D85" w:rsidP="00D12B23">
      <w:pPr>
        <w:jc w:val="both"/>
      </w:pPr>
      <w:r>
        <w:t xml:space="preserve">In this paper, we </w:t>
      </w:r>
      <w:r w:rsidR="002772DC">
        <w:t xml:space="preserve">further </w:t>
      </w:r>
      <w:r>
        <w:t>provide system simulation results</w:t>
      </w:r>
      <w:r w:rsidR="00334361">
        <w:t xml:space="preserve"> </w:t>
      </w:r>
      <w:r w:rsidR="002772DC">
        <w:t xml:space="preserve">with DPS (L1 mobility scheme) </w:t>
      </w:r>
      <w:r>
        <w:t xml:space="preserve">when the measurement scaling factor is reduced by half, i.e., from N=2 to 1 in Scenario-A, and from N=6 to 3 and Scenario-B. The simulation results are to give </w:t>
      </w:r>
      <w:r w:rsidR="002772DC">
        <w:t xml:space="preserve">additional view </w:t>
      </w:r>
      <w:r>
        <w:t>into possible advantages, if any,</w:t>
      </w:r>
      <w:r w:rsidR="00052454">
        <w:t xml:space="preserve"> of reduced scaling factor in HST FR2 multi-panel reception operation.</w:t>
      </w:r>
      <w:r>
        <w:t xml:space="preserve">  </w:t>
      </w:r>
    </w:p>
    <w:p w14:paraId="7E1610FD" w14:textId="5983108B" w:rsidR="00307D85" w:rsidRDefault="00307D85" w:rsidP="00D12B23">
      <w:pPr>
        <w:jc w:val="both"/>
      </w:pPr>
      <w:r>
        <w:lastRenderedPageBreak/>
        <w:t xml:space="preserve">This paper contributes </w:t>
      </w:r>
      <w:r w:rsidR="00334361">
        <w:t xml:space="preserve">to </w:t>
      </w:r>
      <w:r>
        <w:t xml:space="preserve">our discussion of </w:t>
      </w:r>
      <w:r w:rsidR="00052454">
        <w:t xml:space="preserve">HST FR2 </w:t>
      </w:r>
      <w:r w:rsidRPr="00F06A96">
        <w:t xml:space="preserve">RRM </w:t>
      </w:r>
      <w:r>
        <w:t>i</w:t>
      </w:r>
      <w:r w:rsidRPr="00F06A96">
        <w:t xml:space="preserve">mpacts by </w:t>
      </w:r>
      <w:r>
        <w:t>m</w:t>
      </w:r>
      <w:r w:rsidRPr="00F06A96">
        <w:t>ulti-</w:t>
      </w:r>
      <w:r>
        <w:t>p</w:t>
      </w:r>
      <w:r w:rsidRPr="00F06A96">
        <w:t xml:space="preserve">anel </w:t>
      </w:r>
      <w:r>
        <w:t>s</w:t>
      </w:r>
      <w:r w:rsidRPr="00F06A96">
        <w:t xml:space="preserve">imultaneous </w:t>
      </w:r>
      <w:r>
        <w:t>r</w:t>
      </w:r>
      <w:r w:rsidRPr="00F06A96">
        <w:t>eception</w:t>
      </w:r>
      <w:r>
        <w:t xml:space="preserve"> presented in the accompanying paper</w:t>
      </w:r>
      <w:r w:rsidR="00AC0707">
        <w:t xml:space="preserve"> </w:t>
      </w:r>
      <w:r w:rsidR="00AC0707">
        <w:fldChar w:fldCharType="begin"/>
      </w:r>
      <w:r w:rsidR="00AC0707">
        <w:instrText xml:space="preserve"> REF _Ref142311825 \r \h </w:instrText>
      </w:r>
      <w:r w:rsidR="00D12B23">
        <w:instrText xml:space="preserve"> \* MERGEFORMAT </w:instrText>
      </w:r>
      <w:r w:rsidR="00AC0707">
        <w:fldChar w:fldCharType="separate"/>
      </w:r>
      <w:r w:rsidR="000C0403">
        <w:t>[4]</w:t>
      </w:r>
      <w:r w:rsidR="00AC0707">
        <w:fldChar w:fldCharType="end"/>
      </w:r>
      <w:r>
        <w:t>.</w:t>
      </w:r>
    </w:p>
    <w:p w14:paraId="1E61076F" w14:textId="77777777" w:rsidR="0060543D" w:rsidRPr="008C39F7" w:rsidRDefault="0060543D" w:rsidP="005C23A4"/>
    <w:p w14:paraId="0B66DEA1" w14:textId="77777777" w:rsidR="003B659E" w:rsidRPr="008C39F7" w:rsidRDefault="003B659E" w:rsidP="00AE56B1">
      <w:pPr>
        <w:pStyle w:val="RAN4H1"/>
      </w:pPr>
      <w:bookmarkStart w:id="6" w:name="_Toc116995842"/>
      <w:r w:rsidRPr="008C39F7">
        <w:t>Discussion</w:t>
      </w:r>
      <w:bookmarkEnd w:id="6"/>
    </w:p>
    <w:p w14:paraId="2D267B37" w14:textId="5862F0A0" w:rsidR="00052454" w:rsidRDefault="00052454" w:rsidP="00052454">
      <w:r>
        <w:t>In this paper, we demonstrate</w:t>
      </w:r>
      <w:r w:rsidR="00334361">
        <w:t xml:space="preserve"> through the system</w:t>
      </w:r>
      <w:r w:rsidR="0096654D">
        <w:t>-</w:t>
      </w:r>
      <w:r w:rsidR="00334361">
        <w:t>level simulation possible</w:t>
      </w:r>
      <w:r>
        <w:t xml:space="preserve"> benefit</w:t>
      </w:r>
      <w:r w:rsidR="00334361">
        <w:t>s</w:t>
      </w:r>
      <w:r>
        <w:t xml:space="preserve"> </w:t>
      </w:r>
      <w:r w:rsidR="00334361">
        <w:t>of using</w:t>
      </w:r>
      <w:r>
        <w:t xml:space="preserve"> </w:t>
      </w:r>
      <w:r w:rsidR="00334361">
        <w:t>further reduced scaling factor to mobility performance of HST FR2</w:t>
      </w:r>
      <w:r>
        <w:t>. The goal is to provide an initial understanding on po</w:t>
      </w:r>
      <w:r w:rsidR="00334361">
        <w:t>tential</w:t>
      </w:r>
      <w:r>
        <w:t xml:space="preserve"> gains from using two-panel measurement and receptions in HST FR2 scenarios.</w:t>
      </w:r>
    </w:p>
    <w:p w14:paraId="6E609244" w14:textId="66B62275" w:rsidR="003725D2" w:rsidRDefault="00052454" w:rsidP="0096654D">
      <w:pPr>
        <w:jc w:val="both"/>
      </w:pPr>
      <w:r>
        <w:t xml:space="preserve">In the following system-level simulations for </w:t>
      </w:r>
      <w:r w:rsidRPr="00845788">
        <w:t>mobility performance</w:t>
      </w:r>
      <w:r>
        <w:t xml:space="preserve">, we consider both deployment scenarios specified in Release 17 </w:t>
      </w:r>
      <w:r w:rsidR="00DA1068">
        <w:fldChar w:fldCharType="begin"/>
      </w:r>
      <w:r w:rsidR="00DA1068">
        <w:instrText xml:space="preserve"> REF _Ref115391339 \r </w:instrText>
      </w:r>
      <w:r w:rsidR="0096654D">
        <w:instrText xml:space="preserve"> \* MERGEFORMAT </w:instrText>
      </w:r>
      <w:r w:rsidR="00DA1068">
        <w:fldChar w:fldCharType="separate"/>
      </w:r>
      <w:r w:rsidR="000C0403">
        <w:t>[1]</w:t>
      </w:r>
      <w:r w:rsidR="00DA1068">
        <w:fldChar w:fldCharType="end"/>
      </w:r>
      <w:r>
        <w:t xml:space="preserve">, i.e., Scenario-A and Scenario-B. </w:t>
      </w:r>
      <w:r w:rsidR="003725D2" w:rsidRPr="0042374C">
        <w:rPr>
          <w:b/>
          <w:bCs/>
        </w:rPr>
        <w:t>Th</w:t>
      </w:r>
      <w:r w:rsidRPr="0042374C">
        <w:rPr>
          <w:b/>
          <w:bCs/>
        </w:rPr>
        <w:t xml:space="preserve">e results </w:t>
      </w:r>
      <w:r w:rsidR="003725D2" w:rsidRPr="0042374C">
        <w:rPr>
          <w:b/>
          <w:bCs/>
        </w:rPr>
        <w:t xml:space="preserve">for DPS (L1 mobility and beam switching based) </w:t>
      </w:r>
      <w:r w:rsidRPr="0042374C">
        <w:rPr>
          <w:b/>
          <w:bCs/>
        </w:rPr>
        <w:t>transmission</w:t>
      </w:r>
      <w:r w:rsidR="00370BF3" w:rsidRPr="0042374C">
        <w:rPr>
          <w:b/>
          <w:bCs/>
        </w:rPr>
        <w:t>s are presented.</w:t>
      </w:r>
      <w:r w:rsidR="002772DC" w:rsidRPr="0042374C">
        <w:rPr>
          <w:b/>
          <w:bCs/>
        </w:rPr>
        <w:t xml:space="preserve"> Note that results for non-DPS scheme (L3 mobility and HO based) were presented in </w:t>
      </w:r>
      <w:r w:rsidR="00C12E20" w:rsidRPr="0042374C">
        <w:rPr>
          <w:b/>
          <w:bCs/>
        </w:rPr>
        <w:fldChar w:fldCharType="begin"/>
      </w:r>
      <w:r w:rsidR="00C12E20" w:rsidRPr="0042374C">
        <w:rPr>
          <w:b/>
          <w:bCs/>
        </w:rPr>
        <w:instrText xml:space="preserve"> REF _Ref142311493 \r \h </w:instrText>
      </w:r>
      <w:r w:rsidR="0042374C">
        <w:rPr>
          <w:b/>
          <w:bCs/>
        </w:rPr>
        <w:instrText xml:space="preserve"> \* MERGEFORMAT </w:instrText>
      </w:r>
      <w:r w:rsidR="00C12E20" w:rsidRPr="0042374C">
        <w:rPr>
          <w:b/>
          <w:bCs/>
        </w:rPr>
      </w:r>
      <w:r w:rsidR="00C12E20" w:rsidRPr="0042374C">
        <w:rPr>
          <w:b/>
          <w:bCs/>
        </w:rPr>
        <w:fldChar w:fldCharType="separate"/>
      </w:r>
      <w:r w:rsidR="000C0403">
        <w:rPr>
          <w:b/>
          <w:bCs/>
        </w:rPr>
        <w:t>[2]</w:t>
      </w:r>
      <w:r w:rsidR="00C12E20" w:rsidRPr="0042374C">
        <w:rPr>
          <w:b/>
          <w:bCs/>
        </w:rPr>
        <w:fldChar w:fldCharType="end"/>
      </w:r>
      <w:r w:rsidR="002772DC" w:rsidRPr="0042374C">
        <w:rPr>
          <w:b/>
          <w:bCs/>
        </w:rPr>
        <w:t>.</w:t>
      </w:r>
    </w:p>
    <w:p w14:paraId="4D4F995D" w14:textId="26C81574" w:rsidR="00052454" w:rsidRDefault="00052454" w:rsidP="0096654D">
      <w:pPr>
        <w:jc w:val="both"/>
      </w:pPr>
      <w:r>
        <w:t xml:space="preserve">We consider </w:t>
      </w:r>
      <w:r w:rsidRPr="00AC2561">
        <w:rPr>
          <w:b/>
          <w:bCs/>
        </w:rPr>
        <w:t>further enhanced configuration</w:t>
      </w:r>
      <w:r>
        <w:t xml:space="preserve"> by reducing the scaling factor from 2 to 1 in Scenario-A, and from 6 to 3 in Scenario-B</w:t>
      </w:r>
      <w:r w:rsidR="0042374C">
        <w:t xml:space="preserve"> in </w:t>
      </w:r>
      <w:proofErr w:type="spellStart"/>
      <w:r w:rsidR="0042374C" w:rsidRPr="0042374C">
        <w:rPr>
          <w:b/>
          <w:bCs/>
        </w:rPr>
        <w:t>uni</w:t>
      </w:r>
      <w:proofErr w:type="spellEnd"/>
      <w:r w:rsidR="0042374C" w:rsidRPr="0042374C">
        <w:rPr>
          <w:b/>
          <w:bCs/>
        </w:rPr>
        <w:t>-directional</w:t>
      </w:r>
      <w:r w:rsidR="0042374C">
        <w:t xml:space="preserve"> deployment</w:t>
      </w:r>
      <w:r>
        <w:t>. There are several reasons why</w:t>
      </w:r>
      <w:r w:rsidR="004830F8">
        <w:rPr>
          <w:lang w:val="en-150"/>
        </w:rPr>
        <w:t xml:space="preserve"> we</w:t>
      </w:r>
      <w:r>
        <w:t xml:space="preserve"> find </w:t>
      </w:r>
      <w:proofErr w:type="spellStart"/>
      <w:r>
        <w:t>th</w:t>
      </w:r>
      <w:proofErr w:type="spellEnd"/>
      <w:r w:rsidR="004830F8">
        <w:rPr>
          <w:lang w:val="en-150"/>
        </w:rPr>
        <w:t>ese</w:t>
      </w:r>
      <w:r>
        <w:t xml:space="preserve"> results indicative</w:t>
      </w:r>
      <w:r w:rsidR="00B87F9B">
        <w:t xml:space="preserve"> to two-panel measurement and receptions in HST FR2 scenarios</w:t>
      </w:r>
      <w:r>
        <w:t>:</w:t>
      </w:r>
    </w:p>
    <w:p w14:paraId="01BB7003" w14:textId="580F0F46" w:rsidR="00052454" w:rsidRDefault="00052454" w:rsidP="0096654D">
      <w:pPr>
        <w:pStyle w:val="ListParagraph"/>
        <w:numPr>
          <w:ilvl w:val="0"/>
          <w:numId w:val="31"/>
        </w:numPr>
        <w:jc w:val="both"/>
      </w:pPr>
      <w:r>
        <w:t xml:space="preserve">In general, the RX sweeping scaling factors </w:t>
      </w:r>
      <w:proofErr w:type="gramStart"/>
      <w:r>
        <w:t>takes into account</w:t>
      </w:r>
      <w:proofErr w:type="gramEnd"/>
      <w:r>
        <w:t xml:space="preserve"> the signal can come from both directions from the UE. If the measurement can be don</w:t>
      </w:r>
      <w:r w:rsidR="00E62290">
        <w:t>e</w:t>
      </w:r>
      <w:r>
        <w:t xml:space="preserve"> simultaneously on both panels, the UE need</w:t>
      </w:r>
      <w:r w:rsidR="00B87F9B">
        <w:t>s</w:t>
      </w:r>
      <w:r>
        <w:t xml:space="preserve"> twice less time to perform the measurements. It is true both for </w:t>
      </w:r>
      <w:proofErr w:type="spellStart"/>
      <w:r>
        <w:t>uni</w:t>
      </w:r>
      <w:proofErr w:type="spellEnd"/>
      <w:r>
        <w:t>-directional and bi-directional deployments.</w:t>
      </w:r>
    </w:p>
    <w:p w14:paraId="2FFDEF23" w14:textId="7B6F8F36" w:rsidR="00052454" w:rsidRDefault="00052454" w:rsidP="0096654D">
      <w:pPr>
        <w:pStyle w:val="ListParagraph"/>
        <w:numPr>
          <w:ilvl w:val="0"/>
          <w:numId w:val="31"/>
        </w:numPr>
        <w:jc w:val="both"/>
      </w:pPr>
      <w:r>
        <w:t>A bi-directional deployment, when the UE can receive data and perform measurements simultaneously with both panels can be analyzed as a combination of two unidirectional deployments from the mobility point of view</w:t>
      </w:r>
      <w:r w:rsidR="00B87F9B">
        <w:t>, i.e., o</w:t>
      </w:r>
      <w:r>
        <w:t>ne of the panels is travelling in the “same” direction while the other one - in the “opposite” direction relative to the serving beam.</w:t>
      </w:r>
      <w:r w:rsidR="00B87F9B">
        <w:t xml:space="preserve"> </w:t>
      </w:r>
      <w:r w:rsidR="00235C0B" w:rsidRPr="00FE18C1">
        <w:t xml:space="preserve">In </w:t>
      </w:r>
      <w:proofErr w:type="gramStart"/>
      <w:r w:rsidR="00235C0B" w:rsidRPr="00FE18C1">
        <w:t>fact</w:t>
      </w:r>
      <w:proofErr w:type="gramEnd"/>
      <w:r w:rsidR="00235C0B" w:rsidRPr="00FE18C1">
        <w:t xml:space="preserve"> with multi-DCI multi-TRP assumption, beam switching can be done for each UE panel independently, i.e., the beam switching on one panel does not trigger beam switching on the other panel. The beam failure recovery can </w:t>
      </w:r>
      <w:r w:rsidR="006F6245" w:rsidRPr="00FE18C1">
        <w:t xml:space="preserve">also </w:t>
      </w:r>
      <w:r w:rsidR="00235C0B" w:rsidRPr="00FE18C1">
        <w:t>be link specific.</w:t>
      </w:r>
    </w:p>
    <w:p w14:paraId="192779F8" w14:textId="77777777" w:rsidR="00594570" w:rsidRDefault="00594570" w:rsidP="0096654D">
      <w:pPr>
        <w:jc w:val="both"/>
      </w:pPr>
    </w:p>
    <w:p w14:paraId="59D0905B" w14:textId="7454D7C4" w:rsidR="00286EAF" w:rsidRDefault="00052454" w:rsidP="0096654D">
      <w:pPr>
        <w:jc w:val="both"/>
      </w:pPr>
      <w:r>
        <w:t>The parameters for the delay and measurement periods corresponding the reduced scaling factors are provided in Table </w:t>
      </w:r>
      <w:r w:rsidR="00594570">
        <w:t xml:space="preserve">1, </w:t>
      </w:r>
      <w:r w:rsidR="00594570" w:rsidRPr="006046EE">
        <w:t>and general settings in Table 6.3.8.1-1</w:t>
      </w:r>
      <w:r w:rsidR="00594570">
        <w:t xml:space="preserve"> from TR </w:t>
      </w:r>
      <w:r w:rsidR="00594570">
        <w:fldChar w:fldCharType="begin"/>
      </w:r>
      <w:r w:rsidR="00594570">
        <w:instrText xml:space="preserve"> REF _Ref142307720 \r \h </w:instrText>
      </w:r>
      <w:r w:rsidR="0096654D">
        <w:instrText xml:space="preserve"> \* MERGEFORMAT </w:instrText>
      </w:r>
      <w:r w:rsidR="00594570">
        <w:fldChar w:fldCharType="separate"/>
      </w:r>
      <w:r w:rsidR="00594570">
        <w:t>[3]</w:t>
      </w:r>
      <w:r w:rsidR="00594570">
        <w:fldChar w:fldCharType="end"/>
      </w:r>
    </w:p>
    <w:p w14:paraId="053C80A3" w14:textId="77777777" w:rsidR="00672C16" w:rsidRPr="00D35120" w:rsidRDefault="00672C16" w:rsidP="00672C16">
      <w:pPr>
        <w:pStyle w:val="TH"/>
        <w:rPr>
          <w:rFonts w:eastAsia="SimSun"/>
          <w:lang w:val="en-US"/>
        </w:rPr>
      </w:pPr>
      <w:r w:rsidRPr="0087344D">
        <w:rPr>
          <w:rFonts w:eastAsia="SimSun"/>
          <w:lang w:val="en-US"/>
        </w:rPr>
        <w:lastRenderedPageBreak/>
        <w:t xml:space="preserve">Table </w:t>
      </w:r>
      <w:r>
        <w:rPr>
          <w:rFonts w:eastAsia="SimSun"/>
          <w:lang w:val="en-US" w:eastAsia="zh-CN"/>
        </w:rPr>
        <w:t>1</w:t>
      </w:r>
      <w:r w:rsidRPr="0087344D">
        <w:rPr>
          <w:rFonts w:eastAsia="SimSun"/>
          <w:lang w:val="en-US"/>
        </w:rPr>
        <w:t xml:space="preserve">: </w:t>
      </w:r>
      <w:r>
        <w:rPr>
          <w:rFonts w:eastAsia="SimSun"/>
          <w:lang w:val="en-US"/>
        </w:rPr>
        <w:t xml:space="preserve">Measurement period and delay </w:t>
      </w:r>
      <w:r w:rsidRPr="0087344D">
        <w:rPr>
          <w:rFonts w:eastAsia="SimSun"/>
          <w:lang w:val="en-US"/>
        </w:rPr>
        <w:t>simulation assumptions for mobility performance evaluation</w:t>
      </w:r>
      <w:r>
        <w:rPr>
          <w:rFonts w:eastAsia="SimSun"/>
          <w:lang w:val="en-US"/>
        </w:rPr>
        <w:t xml:space="preserve"> with </w:t>
      </w:r>
      <w:r w:rsidRPr="00235C0B">
        <w:rPr>
          <w:rFonts w:eastAsia="SimSun"/>
          <w:u w:val="single"/>
          <w:lang w:val="en-US"/>
        </w:rPr>
        <w:t>further</w:t>
      </w:r>
      <w:r>
        <w:rPr>
          <w:rFonts w:eastAsia="SimSun"/>
          <w:lang w:val="en-US"/>
        </w:rPr>
        <w:t xml:space="preserve"> enhanced scaling factors</w:t>
      </w:r>
      <w:r w:rsidRPr="0087344D">
        <w:rPr>
          <w:rFonts w:eastAsia="SimSun"/>
          <w:lang w:val="en-US"/>
        </w:rPr>
        <w:t>.</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68"/>
        <w:gridCol w:w="5777"/>
      </w:tblGrid>
      <w:tr w:rsidR="00672C16" w:rsidRPr="00D35120" w14:paraId="777C24E8" w14:textId="77777777" w:rsidTr="00ED289E">
        <w:trPr>
          <w:jc w:val="center"/>
        </w:trPr>
        <w:tc>
          <w:tcPr>
            <w:tcW w:w="0" w:type="auto"/>
          </w:tcPr>
          <w:p w14:paraId="7D1FA4CF" w14:textId="77777777" w:rsidR="00672C16" w:rsidRPr="00D35120" w:rsidRDefault="00672C16" w:rsidP="00ED289E">
            <w:pPr>
              <w:pStyle w:val="TAH"/>
              <w:rPr>
                <w:rFonts w:eastAsia="SimSun"/>
                <w:lang w:val="en-US"/>
              </w:rPr>
            </w:pPr>
            <w:r w:rsidRPr="00D35120">
              <w:rPr>
                <w:rFonts w:eastAsia="SimSun"/>
                <w:lang w:val="en-US"/>
              </w:rPr>
              <w:t>Parameter</w:t>
            </w:r>
          </w:p>
        </w:tc>
        <w:tc>
          <w:tcPr>
            <w:tcW w:w="0" w:type="auto"/>
          </w:tcPr>
          <w:p w14:paraId="420290DC" w14:textId="533CA14B" w:rsidR="00672C16" w:rsidRPr="00D35120" w:rsidRDefault="00443C42" w:rsidP="00ED289E">
            <w:pPr>
              <w:pStyle w:val="TAH"/>
              <w:rPr>
                <w:rFonts w:eastAsia="SimSun"/>
                <w:lang w:val="en-US"/>
              </w:rPr>
            </w:pPr>
            <w:r>
              <w:rPr>
                <w:rFonts w:cs="Arial"/>
                <w:b w:val="0"/>
                <w:bCs/>
                <w:szCs w:val="18"/>
              </w:rPr>
              <w:t>T</w:t>
            </w:r>
            <w:r>
              <w:rPr>
                <w:rFonts w:cs="Arial"/>
                <w:b w:val="0"/>
                <w:bCs/>
                <w:sz w:val="12"/>
                <w:szCs w:val="12"/>
              </w:rPr>
              <w:t>L1-RSRP_Measurement_Period_SSB</w:t>
            </w:r>
          </w:p>
        </w:tc>
      </w:tr>
      <w:tr w:rsidR="00672C16" w:rsidRPr="00D35120" w14:paraId="28386500" w14:textId="77777777" w:rsidTr="00ED289E">
        <w:trPr>
          <w:jc w:val="center"/>
        </w:trPr>
        <w:tc>
          <w:tcPr>
            <w:tcW w:w="0" w:type="auto"/>
          </w:tcPr>
          <w:p w14:paraId="70A0C214" w14:textId="77777777" w:rsidR="00672C16" w:rsidRPr="00D35120" w:rsidRDefault="00672C16" w:rsidP="00ED289E">
            <w:pPr>
              <w:pStyle w:val="TAL"/>
              <w:rPr>
                <w:lang w:val="en-US"/>
              </w:rPr>
            </w:pPr>
            <w:r w:rsidRPr="00D35120">
              <w:rPr>
                <w:lang w:val="en-US"/>
              </w:rPr>
              <w:t>DRX</w:t>
            </w:r>
          </w:p>
        </w:tc>
        <w:tc>
          <w:tcPr>
            <w:tcW w:w="0" w:type="auto"/>
          </w:tcPr>
          <w:p w14:paraId="62426563" w14:textId="77777777" w:rsidR="00672C16" w:rsidRPr="00D35120" w:rsidRDefault="00672C16" w:rsidP="00ED289E">
            <w:r w:rsidRPr="00D35120">
              <w:t>DRX disabled (DRX 0), 40, 80, 160</w:t>
            </w:r>
            <w:r>
              <w:t xml:space="preserve"> </w:t>
            </w:r>
            <w:r w:rsidRPr="00D35120">
              <w:t>ms cycles</w:t>
            </w:r>
          </w:p>
        </w:tc>
      </w:tr>
      <w:tr w:rsidR="00672C16" w:rsidRPr="00D35120" w14:paraId="35114127" w14:textId="77777777" w:rsidTr="00ED289E">
        <w:trPr>
          <w:jc w:val="center"/>
        </w:trPr>
        <w:tc>
          <w:tcPr>
            <w:tcW w:w="0" w:type="auto"/>
            <w:shd w:val="clear" w:color="auto" w:fill="auto"/>
          </w:tcPr>
          <w:p w14:paraId="16878945" w14:textId="77777777" w:rsidR="00672C16" w:rsidRPr="00D35120" w:rsidRDefault="00672C16" w:rsidP="00ED289E">
            <w:pPr>
              <w:pStyle w:val="TAL"/>
              <w:rPr>
                <w:lang w:val="en-US" w:eastAsia="zh-CN"/>
              </w:rPr>
            </w:pPr>
            <w:r w:rsidRPr="00D35120">
              <w:rPr>
                <w:lang w:val="en-US" w:eastAsia="zh-CN"/>
              </w:rPr>
              <w:t>RRC measurement period</w:t>
            </w:r>
          </w:p>
          <w:p w14:paraId="68A9CE7E" w14:textId="77777777" w:rsidR="00672C16" w:rsidRPr="00D35120" w:rsidRDefault="00672C16" w:rsidP="00ED289E">
            <w:pPr>
              <w:pStyle w:val="TAL"/>
              <w:rPr>
                <w:lang w:val="en-US"/>
              </w:rPr>
            </w:pPr>
            <w:r w:rsidRPr="00D35120">
              <w:rPr>
                <w:lang w:val="en-US" w:eastAsia="zh-CN"/>
              </w:rPr>
              <w:t>L1 RSRP measurement period</w:t>
            </w:r>
          </w:p>
        </w:tc>
        <w:tc>
          <w:tcPr>
            <w:tcW w:w="0" w:type="auto"/>
            <w:shd w:val="clear" w:color="auto" w:fill="auto"/>
          </w:tcPr>
          <w:p w14:paraId="55639AFA" w14:textId="77777777" w:rsidR="00672C16" w:rsidRPr="00E61222" w:rsidRDefault="00672C16" w:rsidP="00ED289E">
            <w:pPr>
              <w:pStyle w:val="TAL"/>
              <w:rPr>
                <w:b/>
                <w:bCs/>
                <w:lang w:val="en-US"/>
              </w:rPr>
            </w:pPr>
            <w:r w:rsidRPr="00E61222">
              <w:rPr>
                <w:b/>
                <w:bCs/>
                <w:lang w:val="en-US"/>
              </w:rPr>
              <w:t>Scaling factor N=1:</w:t>
            </w:r>
          </w:p>
          <w:p w14:paraId="693D558A" w14:textId="77777777" w:rsidR="00672C16" w:rsidRPr="00D35120" w:rsidRDefault="00672C16" w:rsidP="00ED289E">
            <w:pPr>
              <w:pStyle w:val="TAL"/>
              <w:ind w:left="284"/>
              <w:rPr>
                <w:lang w:val="en-US"/>
              </w:rPr>
            </w:pPr>
            <w:r w:rsidRPr="00D35120">
              <w:rPr>
                <w:lang w:val="en-US"/>
              </w:rPr>
              <w:t xml:space="preserve">DRX 0: </w:t>
            </w:r>
            <w:r>
              <w:rPr>
                <w:lang w:val="en-US"/>
              </w:rPr>
              <w:t xml:space="preserve">60 </w:t>
            </w:r>
            <w:proofErr w:type="spellStart"/>
            <w:r>
              <w:rPr>
                <w:lang w:val="en-US"/>
              </w:rPr>
              <w:t>ms</w:t>
            </w:r>
            <w:proofErr w:type="spellEnd"/>
          </w:p>
          <w:p w14:paraId="71077E79" w14:textId="77777777" w:rsidR="00672C16" w:rsidRPr="00D35120" w:rsidRDefault="00672C16" w:rsidP="00ED289E">
            <w:pPr>
              <w:pStyle w:val="TAL"/>
              <w:ind w:left="284"/>
              <w:rPr>
                <w:lang w:val="en-US"/>
              </w:rPr>
            </w:pPr>
            <w:r w:rsidRPr="00D35120">
              <w:rPr>
                <w:lang w:val="en-US"/>
              </w:rPr>
              <w:t xml:space="preserve">DRX 40: </w:t>
            </w:r>
            <w:r>
              <w:rPr>
                <w:lang w:val="en-US"/>
              </w:rPr>
              <w:t xml:space="preserve">180 </w:t>
            </w:r>
            <w:proofErr w:type="spellStart"/>
            <w:r>
              <w:rPr>
                <w:lang w:val="en-US"/>
              </w:rPr>
              <w:t>ms</w:t>
            </w:r>
            <w:proofErr w:type="spellEnd"/>
          </w:p>
          <w:p w14:paraId="478BE503" w14:textId="77777777" w:rsidR="00672C16" w:rsidRDefault="00672C16" w:rsidP="00ED289E">
            <w:pPr>
              <w:pStyle w:val="TAL"/>
              <w:ind w:left="284"/>
              <w:rPr>
                <w:lang w:val="en-US"/>
              </w:rPr>
            </w:pPr>
            <w:r w:rsidRPr="00D35120">
              <w:rPr>
                <w:lang w:val="en-US"/>
              </w:rPr>
              <w:t xml:space="preserve">DRX 80: </w:t>
            </w:r>
            <w:r>
              <w:rPr>
                <w:lang w:val="en-US"/>
              </w:rPr>
              <w:t xml:space="preserve">360 </w:t>
            </w:r>
            <w:proofErr w:type="spellStart"/>
            <w:r>
              <w:rPr>
                <w:lang w:val="en-US"/>
              </w:rPr>
              <w:t>ms</w:t>
            </w:r>
            <w:proofErr w:type="spellEnd"/>
          </w:p>
          <w:p w14:paraId="5CDD8412" w14:textId="77777777" w:rsidR="00672C16" w:rsidRPr="00D35120" w:rsidRDefault="00672C16" w:rsidP="00ED289E">
            <w:pPr>
              <w:pStyle w:val="TAL"/>
              <w:ind w:left="284"/>
              <w:rPr>
                <w:lang w:val="en-US"/>
              </w:rPr>
            </w:pPr>
            <w:r w:rsidRPr="00D35120">
              <w:rPr>
                <w:lang w:val="en-US"/>
              </w:rPr>
              <w:t xml:space="preserve">DRX </w:t>
            </w:r>
            <w:r>
              <w:rPr>
                <w:lang w:val="en-US"/>
              </w:rPr>
              <w:t>160</w:t>
            </w:r>
            <w:r w:rsidRPr="00D35120">
              <w:rPr>
                <w:lang w:val="en-US"/>
              </w:rPr>
              <w:t xml:space="preserve">: </w:t>
            </w:r>
            <w:r>
              <w:rPr>
                <w:lang w:val="en-US"/>
              </w:rPr>
              <w:t xml:space="preserve">720 </w:t>
            </w:r>
            <w:proofErr w:type="spellStart"/>
            <w:r>
              <w:rPr>
                <w:lang w:val="en-US"/>
              </w:rPr>
              <w:t>ms</w:t>
            </w:r>
            <w:proofErr w:type="spellEnd"/>
            <w:r>
              <w:rPr>
                <w:lang w:val="en-US"/>
              </w:rPr>
              <w:t xml:space="preserve"> </w:t>
            </w:r>
          </w:p>
          <w:p w14:paraId="39209A87" w14:textId="77777777" w:rsidR="00672C16" w:rsidRPr="00E61222" w:rsidRDefault="00672C16" w:rsidP="00ED289E">
            <w:pPr>
              <w:pStyle w:val="TAL"/>
              <w:rPr>
                <w:b/>
                <w:bCs/>
                <w:lang w:val="en-US"/>
              </w:rPr>
            </w:pPr>
            <w:r w:rsidRPr="00E61222">
              <w:rPr>
                <w:b/>
                <w:bCs/>
                <w:lang w:val="en-US"/>
              </w:rPr>
              <w:t>Scaling factor N = 3:</w:t>
            </w:r>
          </w:p>
          <w:p w14:paraId="32D50DC7" w14:textId="77777777" w:rsidR="00672C16" w:rsidRPr="00D35120" w:rsidRDefault="00672C16" w:rsidP="00ED289E">
            <w:pPr>
              <w:pStyle w:val="TAL"/>
              <w:ind w:left="284"/>
              <w:rPr>
                <w:lang w:val="en-US"/>
              </w:rPr>
            </w:pPr>
            <w:r w:rsidRPr="00D35120">
              <w:rPr>
                <w:lang w:val="en-US"/>
              </w:rPr>
              <w:t xml:space="preserve">DRX 0: </w:t>
            </w:r>
            <w:r>
              <w:rPr>
                <w:lang w:val="en-US"/>
              </w:rPr>
              <w:t xml:space="preserve">180 </w:t>
            </w:r>
            <w:proofErr w:type="spellStart"/>
            <w:r>
              <w:rPr>
                <w:lang w:val="en-US"/>
              </w:rPr>
              <w:t>ms</w:t>
            </w:r>
            <w:proofErr w:type="spellEnd"/>
          </w:p>
          <w:p w14:paraId="327E51E0" w14:textId="77777777" w:rsidR="00672C16" w:rsidRPr="00D35120" w:rsidRDefault="00672C16" w:rsidP="00ED289E">
            <w:pPr>
              <w:pStyle w:val="TAL"/>
              <w:ind w:left="284"/>
              <w:rPr>
                <w:lang w:val="en-US"/>
              </w:rPr>
            </w:pPr>
            <w:r w:rsidRPr="00D35120">
              <w:rPr>
                <w:lang w:val="en-US"/>
              </w:rPr>
              <w:t xml:space="preserve">DRX 40: </w:t>
            </w:r>
            <w:r>
              <w:rPr>
                <w:lang w:val="en-US"/>
              </w:rPr>
              <w:t xml:space="preserve">540 </w:t>
            </w:r>
            <w:proofErr w:type="spellStart"/>
            <w:r>
              <w:rPr>
                <w:lang w:val="en-US"/>
              </w:rPr>
              <w:t>ms</w:t>
            </w:r>
            <w:proofErr w:type="spellEnd"/>
          </w:p>
          <w:p w14:paraId="3317DC43" w14:textId="77777777" w:rsidR="00672C16" w:rsidRPr="00D35120" w:rsidRDefault="00672C16" w:rsidP="00ED289E">
            <w:pPr>
              <w:pStyle w:val="TAL"/>
              <w:ind w:left="284"/>
              <w:rPr>
                <w:lang w:val="en-US"/>
              </w:rPr>
            </w:pPr>
            <w:r w:rsidRPr="00D35120">
              <w:rPr>
                <w:lang w:val="en-US"/>
              </w:rPr>
              <w:t xml:space="preserve">DRX 80: </w:t>
            </w:r>
            <w:r>
              <w:rPr>
                <w:lang w:val="en-US"/>
              </w:rPr>
              <w:t xml:space="preserve">1080 </w:t>
            </w:r>
            <w:proofErr w:type="spellStart"/>
            <w:r>
              <w:rPr>
                <w:lang w:val="en-US"/>
              </w:rPr>
              <w:t>ms</w:t>
            </w:r>
            <w:proofErr w:type="spellEnd"/>
          </w:p>
          <w:p w14:paraId="3569C0AB" w14:textId="77777777" w:rsidR="00672C16" w:rsidRPr="00D35120" w:rsidRDefault="00672C16" w:rsidP="00ED289E">
            <w:pPr>
              <w:pStyle w:val="TAL"/>
              <w:ind w:left="284"/>
              <w:rPr>
                <w:lang w:val="en-US"/>
              </w:rPr>
            </w:pPr>
            <w:r w:rsidRPr="00D35120">
              <w:rPr>
                <w:lang w:val="en-US"/>
              </w:rPr>
              <w:t xml:space="preserve">DRX 160: </w:t>
            </w:r>
            <w:r>
              <w:rPr>
                <w:lang w:val="en-US"/>
              </w:rPr>
              <w:t xml:space="preserve">2160 </w:t>
            </w:r>
            <w:proofErr w:type="spellStart"/>
            <w:r>
              <w:rPr>
                <w:lang w:val="en-US"/>
              </w:rPr>
              <w:t>ms</w:t>
            </w:r>
            <w:proofErr w:type="spellEnd"/>
          </w:p>
        </w:tc>
      </w:tr>
      <w:tr w:rsidR="00672C16" w:rsidRPr="00D35120" w14:paraId="21FCB42C" w14:textId="77777777" w:rsidTr="00ED289E">
        <w:trPr>
          <w:jc w:val="center"/>
        </w:trPr>
        <w:tc>
          <w:tcPr>
            <w:tcW w:w="0" w:type="auto"/>
            <w:shd w:val="clear" w:color="auto" w:fill="auto"/>
          </w:tcPr>
          <w:p w14:paraId="71FD579F" w14:textId="77777777" w:rsidR="00672C16" w:rsidRPr="00D35120" w:rsidRDefault="00672C16" w:rsidP="00ED289E">
            <w:pPr>
              <w:pStyle w:val="TAL"/>
              <w:rPr>
                <w:b/>
                <w:bCs/>
                <w:lang w:val="en-US"/>
              </w:rPr>
            </w:pPr>
            <w:r w:rsidRPr="00D35120">
              <w:rPr>
                <w:lang w:val="en-US"/>
              </w:rPr>
              <w:t>Cell detection delay</w:t>
            </w:r>
          </w:p>
          <w:p w14:paraId="1F176287" w14:textId="77777777" w:rsidR="00672C16" w:rsidRPr="00D35120" w:rsidRDefault="00672C16" w:rsidP="00ED289E">
            <w:pPr>
              <w:pStyle w:val="TAL"/>
              <w:rPr>
                <w:lang w:val="en-US"/>
              </w:rPr>
            </w:pPr>
            <w:r w:rsidRPr="00D35120">
              <w:rPr>
                <w:lang w:val="en-US"/>
              </w:rPr>
              <w:t>(T</w:t>
            </w:r>
            <w:r w:rsidRPr="00D35120">
              <w:rPr>
                <w:vertAlign w:val="subscript"/>
                <w:lang w:val="en-US"/>
              </w:rPr>
              <w:t>PSS/</w:t>
            </w:r>
            <w:proofErr w:type="spellStart"/>
            <w:r w:rsidRPr="00D35120">
              <w:rPr>
                <w:vertAlign w:val="subscript"/>
                <w:lang w:val="en-US"/>
              </w:rPr>
              <w:t>SSS_sync_intra</w:t>
            </w:r>
            <w:proofErr w:type="spellEnd"/>
            <w:r w:rsidRPr="00D35120">
              <w:rPr>
                <w:lang w:val="en-US"/>
              </w:rPr>
              <w:t>)</w:t>
            </w:r>
          </w:p>
        </w:tc>
        <w:tc>
          <w:tcPr>
            <w:tcW w:w="0" w:type="auto"/>
            <w:shd w:val="clear" w:color="auto" w:fill="auto"/>
          </w:tcPr>
          <w:p w14:paraId="5F2BA0F2" w14:textId="77777777" w:rsidR="00672C16" w:rsidRPr="00E61222" w:rsidRDefault="00672C16" w:rsidP="00ED289E">
            <w:pPr>
              <w:pStyle w:val="TAL"/>
              <w:rPr>
                <w:b/>
                <w:bCs/>
                <w:lang w:val="en-US"/>
              </w:rPr>
            </w:pPr>
            <w:r w:rsidRPr="00E61222">
              <w:rPr>
                <w:b/>
                <w:bCs/>
                <w:lang w:val="en-US"/>
              </w:rPr>
              <w:t>Scaling factor N=</w:t>
            </w:r>
            <w:r w:rsidRPr="00A365E4">
              <w:rPr>
                <w:b/>
                <w:bCs/>
              </w:rPr>
              <w:t>1</w:t>
            </w:r>
            <w:r w:rsidRPr="00E61222">
              <w:rPr>
                <w:b/>
                <w:bCs/>
                <w:lang w:val="en-US"/>
              </w:rPr>
              <w:t>:</w:t>
            </w:r>
          </w:p>
          <w:p w14:paraId="27CA3DD4" w14:textId="77777777" w:rsidR="00672C16" w:rsidRPr="00D35120" w:rsidRDefault="00672C16" w:rsidP="00ED289E">
            <w:pPr>
              <w:pStyle w:val="TAL"/>
              <w:ind w:left="284"/>
              <w:rPr>
                <w:lang w:val="en-US"/>
              </w:rPr>
            </w:pPr>
            <w:r w:rsidRPr="00D35120">
              <w:rPr>
                <w:lang w:val="en-US"/>
              </w:rPr>
              <w:t xml:space="preserve">DRX 0: </w:t>
            </w:r>
            <w:r>
              <w:rPr>
                <w:lang w:val="en-US"/>
              </w:rPr>
              <w:t xml:space="preserve">600 </w:t>
            </w:r>
            <w:proofErr w:type="spellStart"/>
            <w:r>
              <w:rPr>
                <w:lang w:val="en-US"/>
              </w:rPr>
              <w:t>ms</w:t>
            </w:r>
            <w:proofErr w:type="spellEnd"/>
          </w:p>
          <w:p w14:paraId="14B2C6A9" w14:textId="77777777" w:rsidR="00672C16" w:rsidRPr="00D35120" w:rsidRDefault="00672C16" w:rsidP="00ED289E">
            <w:pPr>
              <w:pStyle w:val="TAL"/>
              <w:ind w:left="284"/>
              <w:rPr>
                <w:lang w:val="en-US"/>
              </w:rPr>
            </w:pPr>
            <w:r w:rsidRPr="00D35120">
              <w:rPr>
                <w:lang w:val="en-US"/>
              </w:rPr>
              <w:t xml:space="preserve">DRX 40: </w:t>
            </w:r>
            <w:r>
              <w:rPr>
                <w:lang w:val="en-US"/>
              </w:rPr>
              <w:t xml:space="preserve">600 </w:t>
            </w:r>
            <w:proofErr w:type="spellStart"/>
            <w:r>
              <w:rPr>
                <w:lang w:val="en-US"/>
              </w:rPr>
              <w:t>ms</w:t>
            </w:r>
            <w:proofErr w:type="spellEnd"/>
          </w:p>
          <w:p w14:paraId="297BF04D" w14:textId="77777777" w:rsidR="00672C16" w:rsidRDefault="00672C16" w:rsidP="00ED289E">
            <w:pPr>
              <w:pStyle w:val="TAL"/>
              <w:ind w:left="284"/>
              <w:rPr>
                <w:lang w:val="en-US"/>
              </w:rPr>
            </w:pPr>
            <w:r w:rsidRPr="00D35120">
              <w:rPr>
                <w:lang w:val="en-US"/>
              </w:rPr>
              <w:t xml:space="preserve">DRX 80: </w:t>
            </w:r>
            <w:r>
              <w:rPr>
                <w:lang w:val="en-US"/>
              </w:rPr>
              <w:t xml:space="preserve">600 </w:t>
            </w:r>
            <w:proofErr w:type="spellStart"/>
            <w:r>
              <w:rPr>
                <w:lang w:val="en-US"/>
              </w:rPr>
              <w:t>ms</w:t>
            </w:r>
            <w:proofErr w:type="spellEnd"/>
          </w:p>
          <w:p w14:paraId="12BE8893" w14:textId="77777777" w:rsidR="00672C16" w:rsidRPr="00D35120" w:rsidRDefault="00672C16" w:rsidP="00ED289E">
            <w:pPr>
              <w:pStyle w:val="TAL"/>
              <w:ind w:left="284"/>
              <w:rPr>
                <w:lang w:val="en-US"/>
              </w:rPr>
            </w:pPr>
            <w:r w:rsidRPr="00D35120">
              <w:rPr>
                <w:lang w:val="en-US"/>
              </w:rPr>
              <w:t xml:space="preserve">DRX </w:t>
            </w:r>
            <w:r>
              <w:rPr>
                <w:lang w:val="en-US"/>
              </w:rPr>
              <w:t>160</w:t>
            </w:r>
            <w:r w:rsidRPr="00D35120">
              <w:rPr>
                <w:lang w:val="en-US"/>
              </w:rPr>
              <w:t xml:space="preserve">: </w:t>
            </w:r>
            <w:r>
              <w:rPr>
                <w:lang w:val="en-US"/>
              </w:rPr>
              <w:t xml:space="preserve">720 </w:t>
            </w:r>
            <w:proofErr w:type="spellStart"/>
            <w:r>
              <w:rPr>
                <w:lang w:val="en-US"/>
              </w:rPr>
              <w:t>ms</w:t>
            </w:r>
            <w:proofErr w:type="spellEnd"/>
          </w:p>
          <w:p w14:paraId="328A37A2" w14:textId="77777777" w:rsidR="00672C16" w:rsidRPr="00E61222" w:rsidRDefault="00672C16" w:rsidP="00ED289E">
            <w:pPr>
              <w:pStyle w:val="TAL"/>
              <w:rPr>
                <w:b/>
                <w:bCs/>
                <w:lang w:val="en-US"/>
              </w:rPr>
            </w:pPr>
            <w:r w:rsidRPr="00E61222">
              <w:rPr>
                <w:b/>
                <w:bCs/>
                <w:lang w:val="en-US"/>
              </w:rPr>
              <w:t>Scaling factor N = 3:</w:t>
            </w:r>
          </w:p>
          <w:p w14:paraId="7B851F95" w14:textId="77777777" w:rsidR="00672C16" w:rsidRPr="00D35120" w:rsidRDefault="00672C16" w:rsidP="00ED289E">
            <w:pPr>
              <w:pStyle w:val="TAL"/>
              <w:ind w:left="284"/>
              <w:rPr>
                <w:lang w:val="en-US"/>
              </w:rPr>
            </w:pPr>
            <w:r w:rsidRPr="00D35120">
              <w:rPr>
                <w:lang w:val="en-US"/>
              </w:rPr>
              <w:t xml:space="preserve">DRX 0: </w:t>
            </w:r>
            <w:r>
              <w:rPr>
                <w:lang w:val="en-US"/>
              </w:rPr>
              <w:t xml:space="preserve">600 </w:t>
            </w:r>
            <w:proofErr w:type="spellStart"/>
            <w:r>
              <w:rPr>
                <w:lang w:val="en-US"/>
              </w:rPr>
              <w:t>ms</w:t>
            </w:r>
            <w:proofErr w:type="spellEnd"/>
          </w:p>
          <w:p w14:paraId="3D19A040" w14:textId="77777777" w:rsidR="00672C16" w:rsidRPr="00D35120" w:rsidRDefault="00672C16" w:rsidP="00ED289E">
            <w:pPr>
              <w:pStyle w:val="TAL"/>
              <w:ind w:left="284"/>
              <w:rPr>
                <w:lang w:val="en-US"/>
              </w:rPr>
            </w:pPr>
            <w:r w:rsidRPr="00D35120">
              <w:rPr>
                <w:lang w:val="en-US"/>
              </w:rPr>
              <w:t xml:space="preserve">DRX 40: </w:t>
            </w:r>
            <w:r>
              <w:rPr>
                <w:lang w:val="en-US"/>
              </w:rPr>
              <w:t xml:space="preserve">600 </w:t>
            </w:r>
            <w:proofErr w:type="spellStart"/>
            <w:r>
              <w:rPr>
                <w:lang w:val="en-US"/>
              </w:rPr>
              <w:t>ms</w:t>
            </w:r>
            <w:proofErr w:type="spellEnd"/>
          </w:p>
          <w:p w14:paraId="1B257A50" w14:textId="77777777" w:rsidR="00672C16" w:rsidRPr="00D35120" w:rsidRDefault="00672C16" w:rsidP="00ED289E">
            <w:pPr>
              <w:pStyle w:val="TAL"/>
              <w:ind w:left="284"/>
              <w:rPr>
                <w:lang w:val="en-US"/>
              </w:rPr>
            </w:pPr>
            <w:r w:rsidRPr="00D35120">
              <w:rPr>
                <w:lang w:val="en-US"/>
              </w:rPr>
              <w:t xml:space="preserve">DRX 80: </w:t>
            </w:r>
            <w:r>
              <w:rPr>
                <w:lang w:val="en-US"/>
              </w:rPr>
              <w:t xml:space="preserve">1080 </w:t>
            </w:r>
            <w:proofErr w:type="spellStart"/>
            <w:r>
              <w:rPr>
                <w:lang w:val="en-US"/>
              </w:rPr>
              <w:t>ms</w:t>
            </w:r>
            <w:proofErr w:type="spellEnd"/>
          </w:p>
          <w:p w14:paraId="07D21859" w14:textId="77777777" w:rsidR="00672C16" w:rsidRPr="00D35120" w:rsidRDefault="00672C16" w:rsidP="00ED289E">
            <w:pPr>
              <w:pStyle w:val="TAL"/>
              <w:ind w:left="284"/>
              <w:rPr>
                <w:lang w:val="en-US"/>
              </w:rPr>
            </w:pPr>
            <w:r w:rsidRPr="00D35120">
              <w:rPr>
                <w:lang w:val="en-US"/>
              </w:rPr>
              <w:t>DRX 160:</w:t>
            </w:r>
            <w:r>
              <w:rPr>
                <w:lang w:val="en-US"/>
              </w:rPr>
              <w:t xml:space="preserve"> 2160 </w:t>
            </w:r>
            <w:proofErr w:type="spellStart"/>
            <w:r>
              <w:rPr>
                <w:lang w:val="en-US"/>
              </w:rPr>
              <w:t>ms</w:t>
            </w:r>
            <w:proofErr w:type="spellEnd"/>
          </w:p>
        </w:tc>
      </w:tr>
      <w:tr w:rsidR="00672C16" w:rsidRPr="00D35120" w14:paraId="6C7ED5C1" w14:textId="77777777" w:rsidTr="00ED289E">
        <w:trPr>
          <w:jc w:val="center"/>
        </w:trPr>
        <w:tc>
          <w:tcPr>
            <w:tcW w:w="0" w:type="auto"/>
            <w:shd w:val="clear" w:color="auto" w:fill="auto"/>
          </w:tcPr>
          <w:p w14:paraId="7698CB68" w14:textId="77777777" w:rsidR="00672C16" w:rsidRPr="00D35120" w:rsidRDefault="00672C16" w:rsidP="00ED289E">
            <w:pPr>
              <w:pStyle w:val="TAL"/>
              <w:rPr>
                <w:lang w:val="en-US"/>
              </w:rPr>
            </w:pPr>
            <w:r w:rsidRPr="00D35120">
              <w:rPr>
                <w:lang w:val="en-US"/>
              </w:rPr>
              <w:t>RLM assumptions</w:t>
            </w:r>
          </w:p>
        </w:tc>
        <w:tc>
          <w:tcPr>
            <w:tcW w:w="0" w:type="auto"/>
            <w:shd w:val="clear" w:color="auto" w:fill="auto"/>
          </w:tcPr>
          <w:p w14:paraId="5EC0434D" w14:textId="77777777" w:rsidR="00672C16" w:rsidRPr="00E61222" w:rsidRDefault="00672C16" w:rsidP="00ED289E">
            <w:pPr>
              <w:pStyle w:val="TAL"/>
              <w:rPr>
                <w:b/>
                <w:bCs/>
                <w:lang w:val="en-US"/>
              </w:rPr>
            </w:pPr>
            <w:r w:rsidRPr="00E61222">
              <w:rPr>
                <w:b/>
                <w:bCs/>
                <w:lang w:val="en-US"/>
              </w:rPr>
              <w:t>Scaling factor N=</w:t>
            </w:r>
            <w:r w:rsidRPr="00C95E71">
              <w:rPr>
                <w:b/>
                <w:bCs/>
              </w:rPr>
              <w:t>1</w:t>
            </w:r>
            <w:r w:rsidRPr="00E61222">
              <w:rPr>
                <w:b/>
                <w:bCs/>
                <w:lang w:val="en-US"/>
              </w:rPr>
              <w:t>:</w:t>
            </w:r>
          </w:p>
          <w:p w14:paraId="10E2B7D1" w14:textId="77777777" w:rsidR="00672C16" w:rsidRPr="00536EBF" w:rsidRDefault="00672C16" w:rsidP="00ED289E">
            <w:pPr>
              <w:pStyle w:val="TAL"/>
              <w:ind w:left="284"/>
              <w:rPr>
                <w:lang w:val="en-US"/>
              </w:rPr>
            </w:pPr>
            <w:proofErr w:type="spellStart"/>
            <w:r w:rsidRPr="00536EBF">
              <w:rPr>
                <w:lang w:val="en-US"/>
              </w:rPr>
              <w:t>T</w:t>
            </w:r>
            <w:r w:rsidRPr="00536EBF">
              <w:rPr>
                <w:vertAlign w:val="subscript"/>
                <w:lang w:val="en-US"/>
              </w:rPr>
              <w:t>Evaluate_out_CSI</w:t>
            </w:r>
            <w:proofErr w:type="spellEnd"/>
            <w:r w:rsidRPr="00536EBF">
              <w:rPr>
                <w:vertAlign w:val="subscript"/>
                <w:lang w:val="en-US"/>
              </w:rPr>
              <w:t>-RS</w:t>
            </w:r>
            <w:r w:rsidRPr="00536EBF">
              <w:rPr>
                <w:lang w:val="en-US"/>
              </w:rPr>
              <w:t>: 600, 3600, 72</w:t>
            </w:r>
            <w:r>
              <w:rPr>
                <w:lang w:val="en-US"/>
              </w:rPr>
              <w:t>0</w:t>
            </w:r>
            <w:r w:rsidRPr="00536EBF">
              <w:rPr>
                <w:lang w:val="en-US"/>
              </w:rPr>
              <w:t xml:space="preserve">0, 14400 </w:t>
            </w:r>
            <w:proofErr w:type="spellStart"/>
            <w:r w:rsidRPr="00536EBF">
              <w:rPr>
                <w:lang w:val="en-US"/>
              </w:rPr>
              <w:t>ms</w:t>
            </w:r>
            <w:proofErr w:type="spellEnd"/>
            <w:r w:rsidRPr="00536EBF">
              <w:rPr>
                <w:lang w:val="en-US"/>
              </w:rPr>
              <w:t xml:space="preserve"> (DRX 0, 40, 80, 160)</w:t>
            </w:r>
          </w:p>
          <w:p w14:paraId="64B29468" w14:textId="77777777" w:rsidR="00672C16" w:rsidRPr="00E61222" w:rsidRDefault="00672C16" w:rsidP="00ED289E">
            <w:pPr>
              <w:pStyle w:val="TAL"/>
              <w:rPr>
                <w:b/>
                <w:bCs/>
                <w:lang w:val="en-US"/>
              </w:rPr>
            </w:pPr>
            <w:r w:rsidRPr="00E61222">
              <w:rPr>
                <w:b/>
                <w:bCs/>
                <w:lang w:val="en-US"/>
              </w:rPr>
              <w:t>Scaling factor N = 3:</w:t>
            </w:r>
          </w:p>
          <w:p w14:paraId="31F43E90" w14:textId="77777777" w:rsidR="00672C16" w:rsidRPr="00AA7E22" w:rsidRDefault="00672C16" w:rsidP="00ED289E">
            <w:pPr>
              <w:pStyle w:val="TAL"/>
              <w:ind w:left="284"/>
              <w:rPr>
                <w:lang w:val="en-US"/>
              </w:rPr>
            </w:pPr>
            <w:proofErr w:type="spellStart"/>
            <w:r w:rsidRPr="00536EBF">
              <w:rPr>
                <w:lang w:val="en-US"/>
              </w:rPr>
              <w:t>T</w:t>
            </w:r>
            <w:r w:rsidRPr="00536EBF">
              <w:rPr>
                <w:vertAlign w:val="subscript"/>
                <w:lang w:val="en-US"/>
              </w:rPr>
              <w:t>Evaluate_out_CSI</w:t>
            </w:r>
            <w:proofErr w:type="spellEnd"/>
            <w:r w:rsidRPr="00536EBF">
              <w:rPr>
                <w:vertAlign w:val="subscript"/>
                <w:lang w:val="en-US"/>
              </w:rPr>
              <w:t>-RS</w:t>
            </w:r>
            <w:r w:rsidRPr="00536EBF">
              <w:rPr>
                <w:lang w:val="en-US"/>
              </w:rPr>
              <w:t>: 600, 3600, 720</w:t>
            </w:r>
            <w:r>
              <w:rPr>
                <w:lang w:val="en-US"/>
              </w:rPr>
              <w:t>0</w:t>
            </w:r>
            <w:r w:rsidRPr="00536EBF">
              <w:rPr>
                <w:lang w:val="en-US"/>
              </w:rPr>
              <w:t xml:space="preserve">, 14400 </w:t>
            </w:r>
            <w:proofErr w:type="spellStart"/>
            <w:r w:rsidRPr="00536EBF">
              <w:rPr>
                <w:lang w:val="en-US"/>
              </w:rPr>
              <w:t>ms</w:t>
            </w:r>
            <w:proofErr w:type="spellEnd"/>
            <w:r w:rsidRPr="00536EBF">
              <w:rPr>
                <w:lang w:val="en-US"/>
              </w:rPr>
              <w:t xml:space="preserve"> (DRX 0, 40, 80, 160)</w:t>
            </w:r>
          </w:p>
          <w:p w14:paraId="0210D98E" w14:textId="77777777" w:rsidR="00672C16" w:rsidRDefault="00672C16" w:rsidP="00ED289E">
            <w:pPr>
              <w:pStyle w:val="TAL"/>
              <w:rPr>
                <w:lang w:val="en-US"/>
              </w:rPr>
            </w:pPr>
          </w:p>
          <w:p w14:paraId="5B76DBC0" w14:textId="77777777" w:rsidR="00672C16" w:rsidRPr="00D35120" w:rsidRDefault="00672C16" w:rsidP="00ED289E">
            <w:pPr>
              <w:pStyle w:val="TAL"/>
              <w:rPr>
                <w:lang w:val="en-US"/>
              </w:rPr>
            </w:pPr>
            <w:r w:rsidRPr="00D35120">
              <w:rPr>
                <w:lang w:val="en-US"/>
              </w:rPr>
              <w:t>N310: 2 samples</w:t>
            </w:r>
          </w:p>
          <w:p w14:paraId="79D9334F" w14:textId="77777777" w:rsidR="00672C16" w:rsidRPr="00D35120" w:rsidRDefault="00672C16" w:rsidP="00ED289E">
            <w:pPr>
              <w:pStyle w:val="TAL"/>
              <w:rPr>
                <w:lang w:val="en-US"/>
              </w:rPr>
            </w:pPr>
            <w:r w:rsidRPr="00D35120">
              <w:rPr>
                <w:lang w:val="en-US"/>
              </w:rPr>
              <w:t>N311: 2 samples</w:t>
            </w:r>
          </w:p>
          <w:p w14:paraId="1C925763" w14:textId="77777777" w:rsidR="00672C16" w:rsidRPr="00D35120" w:rsidRDefault="00672C16" w:rsidP="00ED289E">
            <w:pPr>
              <w:pStyle w:val="TAL"/>
              <w:rPr>
                <w:lang w:val="en-US"/>
              </w:rPr>
            </w:pPr>
            <w:proofErr w:type="spellStart"/>
            <w:r w:rsidRPr="00D35120">
              <w:rPr>
                <w:lang w:val="en-US"/>
              </w:rPr>
              <w:t>Q</w:t>
            </w:r>
            <w:r w:rsidRPr="00D35120">
              <w:rPr>
                <w:vertAlign w:val="subscript"/>
                <w:lang w:val="en-US"/>
              </w:rPr>
              <w:t>out</w:t>
            </w:r>
            <w:proofErr w:type="spellEnd"/>
            <w:r w:rsidRPr="00D35120">
              <w:rPr>
                <w:lang w:val="en-US"/>
              </w:rPr>
              <w:t xml:space="preserve"> threshold SINR: -8 dB</w:t>
            </w:r>
          </w:p>
          <w:p w14:paraId="352F23D8" w14:textId="77777777" w:rsidR="00672C16" w:rsidRPr="00D35120" w:rsidRDefault="00672C16" w:rsidP="00ED289E">
            <w:pPr>
              <w:pStyle w:val="TAL"/>
              <w:rPr>
                <w:lang w:val="en-US"/>
              </w:rPr>
            </w:pPr>
            <w:r w:rsidRPr="00D35120">
              <w:rPr>
                <w:lang w:val="en-US"/>
              </w:rPr>
              <w:t>Q</w:t>
            </w:r>
            <w:r w:rsidRPr="00D35120">
              <w:rPr>
                <w:vertAlign w:val="subscript"/>
                <w:lang w:val="en-US"/>
              </w:rPr>
              <w:t>in</w:t>
            </w:r>
            <w:r w:rsidRPr="00D35120">
              <w:rPr>
                <w:lang w:val="en-US"/>
              </w:rPr>
              <w:t xml:space="preserve"> threshold SINR: -6 dB</w:t>
            </w:r>
          </w:p>
        </w:tc>
      </w:tr>
    </w:tbl>
    <w:p w14:paraId="4E3719AF" w14:textId="77777777" w:rsidR="00672C16" w:rsidRDefault="00672C16" w:rsidP="00300956"/>
    <w:p w14:paraId="56995218" w14:textId="541FE587" w:rsidR="00286EAF" w:rsidRDefault="00803D87" w:rsidP="00286EAF">
      <w:pPr>
        <w:pStyle w:val="RAN4H2"/>
      </w:pPr>
      <w:r>
        <w:t>Uni-directional Scenario A</w:t>
      </w:r>
      <w:r w:rsidR="00705BF9">
        <w:t xml:space="preserve"> with DPS</w:t>
      </w:r>
    </w:p>
    <w:p w14:paraId="0AD756BA" w14:textId="77777777" w:rsidR="00705BF9" w:rsidRDefault="00705BF9" w:rsidP="0064492E">
      <w:pPr>
        <w:jc w:val="both"/>
      </w:pPr>
      <w:r>
        <w:t xml:space="preserve">This section shows system level simulation mobility performance results with further enhanced scaling N=1 for </w:t>
      </w:r>
      <w:proofErr w:type="spellStart"/>
      <w:r>
        <w:t>uni</w:t>
      </w:r>
      <w:proofErr w:type="spellEnd"/>
      <w:r>
        <w:t xml:space="preserve">-directional Scenario-A for both cases when the train is traveling into </w:t>
      </w:r>
      <w:r w:rsidRPr="002772DC">
        <w:rPr>
          <w:b/>
          <w:bCs/>
        </w:rPr>
        <w:t>‘same’</w:t>
      </w:r>
      <w:r>
        <w:t xml:space="preserve"> direction and </w:t>
      </w:r>
      <w:r w:rsidRPr="002772DC">
        <w:rPr>
          <w:b/>
          <w:bCs/>
        </w:rPr>
        <w:t>‘opposite’</w:t>
      </w:r>
      <w:r>
        <w:t xml:space="preserve"> direction </w:t>
      </w:r>
      <w:proofErr w:type="spellStart"/>
      <w:r>
        <w:t>w.r.t.</w:t>
      </w:r>
      <w:proofErr w:type="spellEnd"/>
      <w:r>
        <w:t xml:space="preserve"> serving beam orientation. In addition to the new simulation result with scaling factor N=1, previous results with enhanced scaling factor N=2 (reported in [3]) are also included for comparison purposes.</w:t>
      </w:r>
    </w:p>
    <w:p w14:paraId="22A3AA97" w14:textId="27A28BC1" w:rsidR="00705BF9" w:rsidRDefault="004669BB" w:rsidP="0064492E">
      <w:pPr>
        <w:jc w:val="both"/>
      </w:pPr>
      <w:r>
        <w:fldChar w:fldCharType="begin"/>
      </w:r>
      <w:r>
        <w:instrText xml:space="preserve"> REF _Ref118465030 \h </w:instrText>
      </w:r>
      <w:r w:rsidR="0064492E">
        <w:instrText xml:space="preserve"> \* MERGEFORMAT </w:instrText>
      </w:r>
      <w:r>
        <w:fldChar w:fldCharType="separate"/>
      </w:r>
      <w:r w:rsidR="000C0403" w:rsidRPr="00D1575A">
        <w:t xml:space="preserve">Figure </w:t>
      </w:r>
      <w:r w:rsidR="000C0403">
        <w:rPr>
          <w:noProof/>
        </w:rPr>
        <w:t>1</w:t>
      </w:r>
      <w:r>
        <w:fldChar w:fldCharType="end"/>
      </w:r>
      <w:r>
        <w:t xml:space="preserve"> </w:t>
      </w:r>
      <w:r w:rsidR="00705BF9">
        <w:t xml:space="preserve">shows the successful </w:t>
      </w:r>
      <w:r w:rsidR="00443C42">
        <w:t xml:space="preserve">beam switch </w:t>
      </w:r>
      <w:r w:rsidR="00705BF9">
        <w:t xml:space="preserve">rate per CPE per second. Here, </w:t>
      </w:r>
      <w:r w:rsidR="002772DC">
        <w:t xml:space="preserve">for </w:t>
      </w:r>
      <w:r w:rsidR="00705BF9">
        <w:t xml:space="preserve">DPS </w:t>
      </w:r>
      <w:r w:rsidR="002772DC">
        <w:t>scheme, all the RRH</w:t>
      </w:r>
      <w:r w:rsidR="00635188">
        <w:t>s share the same PCI</w:t>
      </w:r>
      <w:r w:rsidR="00705BF9">
        <w:t xml:space="preserve">. As expected, further enhanced scaling N=1 results in higher </w:t>
      </w:r>
      <w:r w:rsidR="00443C42">
        <w:t>beam switch</w:t>
      </w:r>
      <w:r w:rsidR="00594570">
        <w:t>ing</w:t>
      </w:r>
      <w:r w:rsidR="00443C42">
        <w:t xml:space="preserve"> </w:t>
      </w:r>
      <w:r w:rsidR="00705BF9">
        <w:t>rate</w:t>
      </w:r>
      <w:r>
        <w:t xml:space="preserve"> in general</w:t>
      </w:r>
      <w:r w:rsidR="00635188">
        <w:t xml:space="preserve">. </w:t>
      </w:r>
      <w:r w:rsidR="00705BF9">
        <w:t xml:space="preserve"> </w:t>
      </w:r>
      <w:r w:rsidR="00635188">
        <w:t>T</w:t>
      </w:r>
      <w:r w:rsidR="00705BF9">
        <w:t>he</w:t>
      </w:r>
      <w:r>
        <w:t xml:space="preserve"> significantly</w:t>
      </w:r>
      <w:r w:rsidR="00705BF9">
        <w:t xml:space="preserve"> </w:t>
      </w:r>
      <w:r>
        <w:t xml:space="preserve">increased </w:t>
      </w:r>
      <w:r w:rsidR="0058318B">
        <w:t>beam switching r</w:t>
      </w:r>
      <w:r w:rsidR="00705BF9">
        <w:t>ate</w:t>
      </w:r>
      <w:r>
        <w:t xml:space="preserve"> is seen occurred without or with short DRX cycles,</w:t>
      </w:r>
      <w:r w:rsidR="00705BF9">
        <w:t xml:space="preserve"> DRX </w:t>
      </w:r>
      <w:r>
        <w:t>&lt;</w:t>
      </w:r>
      <w:r w:rsidR="00705BF9">
        <w:t xml:space="preserve">80 </w:t>
      </w:r>
      <w:proofErr w:type="spellStart"/>
      <w:r w:rsidR="00705BF9">
        <w:t>ms</w:t>
      </w:r>
      <w:r>
        <w:t>.</w:t>
      </w:r>
      <w:proofErr w:type="spellEnd"/>
      <w:r>
        <w:t xml:space="preserve"> The trend of </w:t>
      </w:r>
      <w:r w:rsidR="0058318B">
        <w:t>beam switching rate</w:t>
      </w:r>
      <w:r>
        <w:t xml:space="preserve"> </w:t>
      </w:r>
      <w:proofErr w:type="spellStart"/>
      <w:r>
        <w:t>w.r.t.</w:t>
      </w:r>
      <w:proofErr w:type="spellEnd"/>
      <w:r>
        <w:t xml:space="preserve"> DRX is relatively</w:t>
      </w:r>
      <w:r w:rsidR="00705BF9">
        <w:t xml:space="preserve"> </w:t>
      </w:r>
      <w:proofErr w:type="gramStart"/>
      <w:r w:rsidR="00705BF9">
        <w:t>similar</w:t>
      </w:r>
      <w:r w:rsidR="00594570">
        <w:t xml:space="preserve"> to</w:t>
      </w:r>
      <w:proofErr w:type="gramEnd"/>
      <w:r w:rsidR="00705BF9">
        <w:t xml:space="preserve"> handover rate </w:t>
      </w:r>
      <w:r w:rsidR="0058318B">
        <w:t xml:space="preserve">(see </w:t>
      </w:r>
      <w:r w:rsidR="0058318B">
        <w:fldChar w:fldCharType="begin"/>
      </w:r>
      <w:r w:rsidR="0058318B">
        <w:instrText xml:space="preserve"> REF _Ref142311493 \r \h </w:instrText>
      </w:r>
      <w:r w:rsidR="0064492E">
        <w:instrText xml:space="preserve"> \* MERGEFORMAT </w:instrText>
      </w:r>
      <w:r w:rsidR="0058318B">
        <w:fldChar w:fldCharType="separate"/>
      </w:r>
      <w:r w:rsidR="0058318B">
        <w:t>[2]</w:t>
      </w:r>
      <w:r w:rsidR="0058318B">
        <w:fldChar w:fldCharType="end"/>
      </w:r>
      <w:r w:rsidR="0058318B">
        <w:t xml:space="preserve">) </w:t>
      </w:r>
      <w:r>
        <w:t>between</w:t>
      </w:r>
      <w:r w:rsidR="00705BF9">
        <w:t xml:space="preserve"> both </w:t>
      </w:r>
      <w:r w:rsidR="00594570">
        <w:t>train moving</w:t>
      </w:r>
      <w:r w:rsidR="00705BF9">
        <w:t xml:space="preserve"> directions</w:t>
      </w:r>
      <w:r>
        <w:t>.</w:t>
      </w:r>
    </w:p>
    <w:p w14:paraId="1FC407FA" w14:textId="51E6B5CE" w:rsidR="00803D87" w:rsidRDefault="00803D87" w:rsidP="00803D87">
      <w:pPr>
        <w:jc w:val="center"/>
      </w:pPr>
      <w:r>
        <w:rPr>
          <w:noProof/>
        </w:rPr>
        <w:drawing>
          <wp:inline distT="0" distB="0" distL="0" distR="0" wp14:anchorId="569B5CFD" wp14:editId="42425D2B">
            <wp:extent cx="2722306" cy="217604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3">
                      <a:extLst>
                        <a:ext uri="{28A0092B-C50C-407E-A947-70E740481C1C}">
                          <a14:useLocalDpi xmlns:a14="http://schemas.microsoft.com/office/drawing/2010/main" val="0"/>
                        </a:ext>
                      </a:extLst>
                    </a:blip>
                    <a:stretch>
                      <a:fillRect/>
                    </a:stretch>
                  </pic:blipFill>
                  <pic:spPr>
                    <a:xfrm>
                      <a:off x="0" y="0"/>
                      <a:ext cx="2729543" cy="2181824"/>
                    </a:xfrm>
                    <a:prstGeom prst="rect">
                      <a:avLst/>
                    </a:prstGeom>
                  </pic:spPr>
                </pic:pic>
              </a:graphicData>
            </a:graphic>
          </wp:inline>
        </w:drawing>
      </w:r>
      <w:r>
        <w:rPr>
          <w:noProof/>
        </w:rPr>
        <w:drawing>
          <wp:inline distT="0" distB="0" distL="0" distR="0" wp14:anchorId="5EC0EFE9" wp14:editId="124F4BDB">
            <wp:extent cx="2711417" cy="21781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2727901" cy="2191414"/>
                    </a:xfrm>
                    <a:prstGeom prst="rect">
                      <a:avLst/>
                    </a:prstGeom>
                  </pic:spPr>
                </pic:pic>
              </a:graphicData>
            </a:graphic>
          </wp:inline>
        </w:drawing>
      </w:r>
    </w:p>
    <w:p w14:paraId="3E72D67D" w14:textId="3A64F4B1" w:rsidR="00803D87" w:rsidRDefault="00803D87" w:rsidP="00F45366">
      <w:pPr>
        <w:pStyle w:val="Caption"/>
      </w:pPr>
      <w:bookmarkStart w:id="7" w:name="_Ref118465030"/>
      <w:bookmarkStart w:id="8" w:name="_Ref118711562"/>
      <w:r w:rsidRPr="00D1575A">
        <w:t xml:space="preserve">Figure </w:t>
      </w:r>
      <w:r w:rsidR="0040381E">
        <w:fldChar w:fldCharType="begin"/>
      </w:r>
      <w:r w:rsidR="0040381E">
        <w:instrText xml:space="preserve"> SEQ Figure \* ARABIC </w:instrText>
      </w:r>
      <w:r w:rsidR="0040381E">
        <w:fldChar w:fldCharType="separate"/>
      </w:r>
      <w:r w:rsidR="000C0403">
        <w:rPr>
          <w:noProof/>
        </w:rPr>
        <w:t>1</w:t>
      </w:r>
      <w:r w:rsidR="0040381E">
        <w:rPr>
          <w:noProof/>
        </w:rPr>
        <w:fldChar w:fldCharType="end"/>
      </w:r>
      <w:bookmarkEnd w:id="7"/>
      <w:r w:rsidR="0041513C">
        <w:rPr>
          <w:noProof/>
        </w:rPr>
        <w:t>:</w:t>
      </w:r>
      <w:r w:rsidRPr="00D1575A">
        <w:t xml:space="preserve"> </w:t>
      </w:r>
      <w:r>
        <w:t>Beam switching</w:t>
      </w:r>
      <w:r w:rsidRPr="00D1575A">
        <w:t xml:space="preserve"> rate in </w:t>
      </w:r>
      <w:r>
        <w:t xml:space="preserve">Uni-directional Scenario A with </w:t>
      </w:r>
      <w:r w:rsidRPr="00D1575A">
        <w:t xml:space="preserve">DPS (left: </w:t>
      </w:r>
      <w:r w:rsidR="00542226">
        <w:t>Same</w:t>
      </w:r>
      <w:r>
        <w:t xml:space="preserve"> direction</w:t>
      </w:r>
      <w:r w:rsidRPr="00D1575A">
        <w:t xml:space="preserve">, right: </w:t>
      </w:r>
      <w:r w:rsidR="00542226">
        <w:t>Opposite</w:t>
      </w:r>
      <w:r>
        <w:t xml:space="preserve"> direction)</w:t>
      </w:r>
      <w:bookmarkEnd w:id="8"/>
    </w:p>
    <w:p w14:paraId="1B8070F2" w14:textId="0C9B0AB3" w:rsidR="00F45366" w:rsidRDefault="004669BB" w:rsidP="00121AD8">
      <w:pPr>
        <w:jc w:val="both"/>
      </w:pPr>
      <w:r>
        <w:lastRenderedPageBreak/>
        <w:fldChar w:fldCharType="begin"/>
      </w:r>
      <w:r>
        <w:instrText xml:space="preserve"> REF _Ref142305077 \h </w:instrText>
      </w:r>
      <w:r w:rsidR="00121AD8">
        <w:instrText xml:space="preserve"> \* MERGEFORMAT </w:instrText>
      </w:r>
      <w:r>
        <w:fldChar w:fldCharType="separate"/>
      </w:r>
      <w:r w:rsidR="000C0403" w:rsidRPr="00D1575A">
        <w:t xml:space="preserve">Figure </w:t>
      </w:r>
      <w:r w:rsidR="000C0403">
        <w:rPr>
          <w:noProof/>
        </w:rPr>
        <w:t>2</w:t>
      </w:r>
      <w:r>
        <w:fldChar w:fldCharType="end"/>
      </w:r>
      <w:r>
        <w:t xml:space="preserve"> shows the ping-pong handover rates, where h</w:t>
      </w:r>
      <w:r w:rsidRPr="00E47744">
        <w:t xml:space="preserve">andover is defined as ping-pong if it happens back-and-forth between two same </w:t>
      </w:r>
      <w:r>
        <w:t>RRHs</w:t>
      </w:r>
      <w:r w:rsidRPr="00E47744">
        <w:t xml:space="preserve"> within 1 second</w:t>
      </w:r>
      <w:r>
        <w:t xml:space="preserve">. We observe scaling N=1 </w:t>
      </w:r>
      <w:r w:rsidR="00F23F56">
        <w:t xml:space="preserve">significantly </w:t>
      </w:r>
      <w:r>
        <w:t>increases the ping-pong rates compared to Scaling N=2</w:t>
      </w:r>
      <w:r w:rsidR="00F23F56">
        <w:t xml:space="preserve"> in all</w:t>
      </w:r>
      <w:r w:rsidR="00594570">
        <w:t xml:space="preserve"> simulated</w:t>
      </w:r>
      <w:r w:rsidR="00F23F56">
        <w:t xml:space="preserve"> DRX cycles.</w:t>
      </w:r>
    </w:p>
    <w:p w14:paraId="309E121F" w14:textId="77777777" w:rsidR="00803D87" w:rsidRDefault="00803D87" w:rsidP="00803D87">
      <w:pPr>
        <w:jc w:val="center"/>
      </w:pPr>
      <w:r>
        <w:rPr>
          <w:noProof/>
        </w:rPr>
        <w:drawing>
          <wp:inline distT="0" distB="0" distL="0" distR="0" wp14:anchorId="526A8D21" wp14:editId="206ADD9E">
            <wp:extent cx="2829963" cy="2262093"/>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829963" cy="2262093"/>
                    </a:xfrm>
                    <a:prstGeom prst="rect">
                      <a:avLst/>
                    </a:prstGeom>
                  </pic:spPr>
                </pic:pic>
              </a:graphicData>
            </a:graphic>
          </wp:inline>
        </w:drawing>
      </w:r>
      <w:r>
        <w:rPr>
          <w:noProof/>
        </w:rPr>
        <w:drawing>
          <wp:inline distT="0" distB="0" distL="0" distR="0" wp14:anchorId="2B8EFC43" wp14:editId="1A510111">
            <wp:extent cx="2815884" cy="2262093"/>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2815884" cy="2262093"/>
                    </a:xfrm>
                    <a:prstGeom prst="rect">
                      <a:avLst/>
                    </a:prstGeom>
                  </pic:spPr>
                </pic:pic>
              </a:graphicData>
            </a:graphic>
          </wp:inline>
        </w:drawing>
      </w:r>
    </w:p>
    <w:p w14:paraId="1FB41397" w14:textId="7FCDBFFB" w:rsidR="00803D87" w:rsidRDefault="00803D87" w:rsidP="00F45366">
      <w:pPr>
        <w:pStyle w:val="Caption"/>
        <w:jc w:val="left"/>
      </w:pPr>
      <w:bookmarkStart w:id="9" w:name="_Ref142305077"/>
      <w:r w:rsidRPr="00D1575A">
        <w:t xml:space="preserve">Figure </w:t>
      </w:r>
      <w:r w:rsidR="0040381E">
        <w:fldChar w:fldCharType="begin"/>
      </w:r>
      <w:r w:rsidR="0040381E">
        <w:instrText xml:space="preserve"> SEQ Figure \* ARABIC </w:instrText>
      </w:r>
      <w:r w:rsidR="0040381E">
        <w:fldChar w:fldCharType="separate"/>
      </w:r>
      <w:r w:rsidR="000C0403">
        <w:rPr>
          <w:noProof/>
        </w:rPr>
        <w:t>2</w:t>
      </w:r>
      <w:r w:rsidR="0040381E">
        <w:rPr>
          <w:noProof/>
        </w:rPr>
        <w:fldChar w:fldCharType="end"/>
      </w:r>
      <w:bookmarkEnd w:id="9"/>
      <w:r w:rsidR="0041513C">
        <w:rPr>
          <w:noProof/>
        </w:rPr>
        <w:t>:</w:t>
      </w:r>
      <w:r w:rsidRPr="00D1575A">
        <w:t xml:space="preserve"> </w:t>
      </w:r>
      <w:r>
        <w:t>Beam ping-pong</w:t>
      </w:r>
      <w:r w:rsidRPr="00D1575A">
        <w:t xml:space="preserve"> rate in </w:t>
      </w:r>
      <w:r>
        <w:t xml:space="preserve">Uni-directional Scenario A with </w:t>
      </w:r>
      <w:r w:rsidRPr="00D1575A">
        <w:t xml:space="preserve">DPS (left: </w:t>
      </w:r>
      <w:r w:rsidR="00594570">
        <w:t>Same</w:t>
      </w:r>
      <w:r>
        <w:t xml:space="preserve"> direction</w:t>
      </w:r>
      <w:r w:rsidRPr="00D1575A">
        <w:t xml:space="preserve">, right: </w:t>
      </w:r>
      <w:r w:rsidR="00594570">
        <w:t>Opposite</w:t>
      </w:r>
      <w:r>
        <w:t xml:space="preserve"> direction)</w:t>
      </w:r>
    </w:p>
    <w:p w14:paraId="71813772" w14:textId="32F63C49" w:rsidR="00F23F56" w:rsidRPr="00F23F56" w:rsidRDefault="00F23F56" w:rsidP="00121AD8">
      <w:pPr>
        <w:jc w:val="both"/>
      </w:pPr>
      <w:r>
        <w:fldChar w:fldCharType="begin"/>
      </w:r>
      <w:r>
        <w:instrText xml:space="preserve"> REF _Ref142305565 \h </w:instrText>
      </w:r>
      <w:r w:rsidR="00121AD8">
        <w:instrText xml:space="preserve"> \* MERGEFORMAT </w:instrText>
      </w:r>
      <w:r>
        <w:fldChar w:fldCharType="separate"/>
      </w:r>
      <w:r w:rsidR="000C0403" w:rsidRPr="00D1575A">
        <w:t xml:space="preserve">Figure </w:t>
      </w:r>
      <w:r w:rsidR="000C0403">
        <w:rPr>
          <w:noProof/>
        </w:rPr>
        <w:t>3</w:t>
      </w:r>
      <w:r>
        <w:fldChar w:fldCharType="end"/>
      </w:r>
      <w:r>
        <w:t xml:space="preserve"> shows the time-of-outage rate results. </w:t>
      </w:r>
      <w:r w:rsidRPr="00695C19">
        <w:t>Time-of-outage is detected mainly when SINR drops below -8 dB or handover is executed</w:t>
      </w:r>
      <w:r>
        <w:t xml:space="preserve">. Also, re-connection or re-establishment time after RLF is calculated as outage. It is observed that in general the outage time </w:t>
      </w:r>
      <w:r w:rsidR="00594570">
        <w:t>decreases</w:t>
      </w:r>
      <w:r>
        <w:t xml:space="preserve"> when scaling is reduced from N=2 to 1. The decrease is seen</w:t>
      </w:r>
      <w:r w:rsidR="00BB03EB">
        <w:t xml:space="preserve"> very</w:t>
      </w:r>
      <w:r>
        <w:t xml:space="preserve"> significantly in the case when the train is traveling opposite direction to the beam orientation</w:t>
      </w:r>
      <w:r w:rsidR="00BB03EB">
        <w:t xml:space="preserve"> and with high DRX cycles configured, e.g., 12% to 3.8% with DRX=160ms.</w:t>
      </w:r>
    </w:p>
    <w:p w14:paraId="3A48E2C4" w14:textId="77777777" w:rsidR="00803D87" w:rsidRDefault="00803D87" w:rsidP="00803D87">
      <w:pPr>
        <w:jc w:val="center"/>
      </w:pPr>
      <w:r>
        <w:rPr>
          <w:noProof/>
        </w:rPr>
        <w:drawing>
          <wp:inline distT="0" distB="0" distL="0" distR="0" wp14:anchorId="6C117422" wp14:editId="31C31C95">
            <wp:extent cx="2829962" cy="2262093"/>
            <wp:effectExtent l="0" t="0" r="889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2829962" cy="2262093"/>
                    </a:xfrm>
                    <a:prstGeom prst="rect">
                      <a:avLst/>
                    </a:prstGeom>
                  </pic:spPr>
                </pic:pic>
              </a:graphicData>
            </a:graphic>
          </wp:inline>
        </w:drawing>
      </w:r>
      <w:r>
        <w:rPr>
          <w:noProof/>
        </w:rPr>
        <w:drawing>
          <wp:inline distT="0" distB="0" distL="0" distR="0" wp14:anchorId="6794713B" wp14:editId="2E1D57F4">
            <wp:extent cx="2815883" cy="2262093"/>
            <wp:effectExtent l="0" t="0" r="381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2815883" cy="2262093"/>
                    </a:xfrm>
                    <a:prstGeom prst="rect">
                      <a:avLst/>
                    </a:prstGeom>
                  </pic:spPr>
                </pic:pic>
              </a:graphicData>
            </a:graphic>
          </wp:inline>
        </w:drawing>
      </w:r>
    </w:p>
    <w:p w14:paraId="1930469B" w14:textId="66DA482E" w:rsidR="00803D87" w:rsidRDefault="00803D87" w:rsidP="00BB33F9">
      <w:pPr>
        <w:pStyle w:val="Caption"/>
      </w:pPr>
      <w:bookmarkStart w:id="10" w:name="_Ref142305565"/>
      <w:r w:rsidRPr="00D1575A">
        <w:t xml:space="preserve">Figure </w:t>
      </w:r>
      <w:r w:rsidR="0040381E">
        <w:fldChar w:fldCharType="begin"/>
      </w:r>
      <w:r w:rsidR="0040381E">
        <w:instrText xml:space="preserve"> SEQ Figure \* ARABIC </w:instrText>
      </w:r>
      <w:r w:rsidR="0040381E">
        <w:fldChar w:fldCharType="separate"/>
      </w:r>
      <w:r w:rsidR="000C0403">
        <w:rPr>
          <w:noProof/>
        </w:rPr>
        <w:t>3</w:t>
      </w:r>
      <w:r w:rsidR="0040381E">
        <w:rPr>
          <w:noProof/>
        </w:rPr>
        <w:fldChar w:fldCharType="end"/>
      </w:r>
      <w:bookmarkEnd w:id="10"/>
      <w:r w:rsidR="0041513C">
        <w:rPr>
          <w:noProof/>
        </w:rPr>
        <w:t>:</w:t>
      </w:r>
      <w:r w:rsidRPr="00D1575A">
        <w:t xml:space="preserve"> </w:t>
      </w:r>
      <w:r>
        <w:t>Time-of-outage percentage</w:t>
      </w:r>
      <w:r w:rsidRPr="00D1575A">
        <w:t xml:space="preserve"> in </w:t>
      </w:r>
      <w:r>
        <w:t xml:space="preserve">Uni-directional Scenario A with </w:t>
      </w:r>
      <w:r w:rsidRPr="00D1575A">
        <w:t xml:space="preserve">DPS </w:t>
      </w:r>
      <w:r w:rsidR="00542226" w:rsidRPr="00D1575A">
        <w:t xml:space="preserve">(left: </w:t>
      </w:r>
      <w:r w:rsidR="00542226">
        <w:t>Same direction</w:t>
      </w:r>
      <w:r w:rsidR="00542226" w:rsidRPr="00D1575A">
        <w:t xml:space="preserve">, right: </w:t>
      </w:r>
      <w:r w:rsidR="00542226">
        <w:t>Opposite direction)</w:t>
      </w:r>
    </w:p>
    <w:p w14:paraId="618E128F" w14:textId="1E6502F9" w:rsidR="00BB03EB" w:rsidRPr="00BB03EB" w:rsidRDefault="00BB03EB" w:rsidP="00306DC0">
      <w:pPr>
        <w:jc w:val="both"/>
      </w:pPr>
      <w:r>
        <w:fldChar w:fldCharType="begin"/>
      </w:r>
      <w:r>
        <w:instrText xml:space="preserve"> REF _Ref142306226 \h </w:instrText>
      </w:r>
      <w:r w:rsidR="00306DC0">
        <w:instrText xml:space="preserve"> \* MERGEFORMAT </w:instrText>
      </w:r>
      <w:r>
        <w:fldChar w:fldCharType="separate"/>
      </w:r>
      <w:r w:rsidR="000C0403" w:rsidRPr="00D1575A">
        <w:t xml:space="preserve">Figure </w:t>
      </w:r>
      <w:r w:rsidR="000C0403">
        <w:rPr>
          <w:noProof/>
        </w:rPr>
        <w:t>4</w:t>
      </w:r>
      <w:r>
        <w:fldChar w:fldCharType="end"/>
      </w:r>
      <w:r>
        <w:t xml:space="preserve"> shows </w:t>
      </w:r>
      <w:r>
        <w:rPr>
          <w:rFonts w:eastAsia="SimSun"/>
          <w:lang w:eastAsia="zh-CN"/>
        </w:rPr>
        <w:t xml:space="preserve">beam failure indication rate as percentage of BFIs per beam switches. </w:t>
      </w:r>
      <w:r>
        <w:t xml:space="preserve"> We observe that further enhanced scaling N=1 improves the mobility robustness, especially when longer DRX cycles are configured (e.g., DRX &gt; 80 </w:t>
      </w:r>
      <w:proofErr w:type="spellStart"/>
      <w:r>
        <w:t>ms</w:t>
      </w:r>
      <w:proofErr w:type="spellEnd"/>
      <w:r>
        <w:t xml:space="preserve">) which is the challenging mobility scenario with scaling N=2. Here, no failure is seen with DRX=80 </w:t>
      </w:r>
      <w:proofErr w:type="spellStart"/>
      <w:r>
        <w:t>ms</w:t>
      </w:r>
      <w:proofErr w:type="spellEnd"/>
      <w:r>
        <w:t xml:space="preserve"> setting</w:t>
      </w:r>
      <w:r w:rsidR="0058318B">
        <w:t xml:space="preserve">, </w:t>
      </w:r>
      <w:r>
        <w:t xml:space="preserve">while failure rate significantly drops from </w:t>
      </w:r>
      <w:r w:rsidR="0058318B">
        <w:t>36</w:t>
      </w:r>
      <w:r>
        <w:t xml:space="preserve">% </w:t>
      </w:r>
      <w:r w:rsidR="00B4134C">
        <w:t xml:space="preserve">for N= </w:t>
      </w:r>
      <w:r w:rsidR="00717114">
        <w:t xml:space="preserve">2 </w:t>
      </w:r>
      <w:r>
        <w:t xml:space="preserve">to below </w:t>
      </w:r>
      <w:r w:rsidR="001816EC">
        <w:t>15</w:t>
      </w:r>
      <w:r>
        <w:t>% with DRX=160</w:t>
      </w:r>
      <w:r w:rsidR="003B50EF">
        <w:t xml:space="preserve"> </w:t>
      </w:r>
      <w:proofErr w:type="spellStart"/>
      <w:r w:rsidR="00066D78">
        <w:t>ms</w:t>
      </w:r>
      <w:proofErr w:type="spellEnd"/>
      <w:r w:rsidR="00066D78">
        <w:t xml:space="preserve"> </w:t>
      </w:r>
      <w:r w:rsidR="00594570">
        <w:t>for</w:t>
      </w:r>
      <w:r w:rsidR="003B50EF">
        <w:t xml:space="preserve"> N=1</w:t>
      </w:r>
      <w:r w:rsidR="0058318B">
        <w:t xml:space="preserve"> </w:t>
      </w:r>
      <w:r w:rsidR="00594570">
        <w:t>in o</w:t>
      </w:r>
      <w:r w:rsidR="0058318B">
        <w:t>pposite direction.</w:t>
      </w:r>
    </w:p>
    <w:p w14:paraId="7369B566" w14:textId="77777777" w:rsidR="00803D87" w:rsidRDefault="00803D87" w:rsidP="00803D87">
      <w:pPr>
        <w:jc w:val="center"/>
      </w:pPr>
      <w:r>
        <w:rPr>
          <w:noProof/>
        </w:rPr>
        <w:lastRenderedPageBreak/>
        <w:drawing>
          <wp:inline distT="0" distB="0" distL="0" distR="0" wp14:anchorId="5B99AEB9" wp14:editId="620744D1">
            <wp:extent cx="2829962" cy="2262093"/>
            <wp:effectExtent l="0" t="0" r="889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9">
                      <a:extLst>
                        <a:ext uri="{28A0092B-C50C-407E-A947-70E740481C1C}">
                          <a14:useLocalDpi xmlns:a14="http://schemas.microsoft.com/office/drawing/2010/main" val="0"/>
                        </a:ext>
                      </a:extLst>
                    </a:blip>
                    <a:stretch>
                      <a:fillRect/>
                    </a:stretch>
                  </pic:blipFill>
                  <pic:spPr>
                    <a:xfrm>
                      <a:off x="0" y="0"/>
                      <a:ext cx="2829962" cy="2262093"/>
                    </a:xfrm>
                    <a:prstGeom prst="rect">
                      <a:avLst/>
                    </a:prstGeom>
                  </pic:spPr>
                </pic:pic>
              </a:graphicData>
            </a:graphic>
          </wp:inline>
        </w:drawing>
      </w:r>
      <w:r>
        <w:rPr>
          <w:noProof/>
        </w:rPr>
        <w:drawing>
          <wp:inline distT="0" distB="0" distL="0" distR="0" wp14:anchorId="350D9CE2" wp14:editId="1D43288E">
            <wp:extent cx="2815883" cy="2262093"/>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0">
                      <a:extLst>
                        <a:ext uri="{28A0092B-C50C-407E-A947-70E740481C1C}">
                          <a14:useLocalDpi xmlns:a14="http://schemas.microsoft.com/office/drawing/2010/main" val="0"/>
                        </a:ext>
                      </a:extLst>
                    </a:blip>
                    <a:stretch>
                      <a:fillRect/>
                    </a:stretch>
                  </pic:blipFill>
                  <pic:spPr>
                    <a:xfrm>
                      <a:off x="0" y="0"/>
                      <a:ext cx="2815883" cy="2262093"/>
                    </a:xfrm>
                    <a:prstGeom prst="rect">
                      <a:avLst/>
                    </a:prstGeom>
                  </pic:spPr>
                </pic:pic>
              </a:graphicData>
            </a:graphic>
          </wp:inline>
        </w:drawing>
      </w:r>
    </w:p>
    <w:p w14:paraId="39610F6E" w14:textId="65220AAF" w:rsidR="00803D87" w:rsidRDefault="00803D87" w:rsidP="00803D87">
      <w:pPr>
        <w:pStyle w:val="Caption"/>
      </w:pPr>
      <w:bookmarkStart w:id="11" w:name="_Ref142306226"/>
      <w:r w:rsidRPr="00D1575A">
        <w:t xml:space="preserve">Figure </w:t>
      </w:r>
      <w:r w:rsidR="0040381E">
        <w:fldChar w:fldCharType="begin"/>
      </w:r>
      <w:r w:rsidR="0040381E">
        <w:instrText xml:space="preserve"> SEQ Figure \* ARABIC </w:instrText>
      </w:r>
      <w:r w:rsidR="0040381E">
        <w:fldChar w:fldCharType="separate"/>
      </w:r>
      <w:r w:rsidR="000C0403">
        <w:rPr>
          <w:noProof/>
        </w:rPr>
        <w:t>4</w:t>
      </w:r>
      <w:r w:rsidR="0040381E">
        <w:rPr>
          <w:noProof/>
        </w:rPr>
        <w:fldChar w:fldCharType="end"/>
      </w:r>
      <w:bookmarkEnd w:id="11"/>
      <w:r w:rsidRPr="00D1575A">
        <w:t xml:space="preserve"> </w:t>
      </w:r>
      <w:r>
        <w:t xml:space="preserve">Beam failure rate </w:t>
      </w:r>
      <w:r w:rsidRPr="00D1575A">
        <w:t xml:space="preserve">in </w:t>
      </w:r>
      <w:r>
        <w:t xml:space="preserve">Uni-directional Scenario A with </w:t>
      </w:r>
      <w:r w:rsidRPr="00D1575A">
        <w:t xml:space="preserve">DPS </w:t>
      </w:r>
      <w:r w:rsidR="00542226" w:rsidRPr="00D1575A">
        <w:t xml:space="preserve">(left: </w:t>
      </w:r>
      <w:r w:rsidR="00542226">
        <w:t>Same direction</w:t>
      </w:r>
      <w:r w:rsidR="00542226" w:rsidRPr="00D1575A">
        <w:t xml:space="preserve">, right: </w:t>
      </w:r>
      <w:r w:rsidR="00542226">
        <w:t>Opposite direction)</w:t>
      </w:r>
    </w:p>
    <w:p w14:paraId="6FF58DAC" w14:textId="6A022445" w:rsidR="00803D87" w:rsidRPr="00803D87" w:rsidRDefault="003B50EF" w:rsidP="00803D87">
      <w:pPr>
        <w:rPr>
          <w:rFonts w:ascii="Arial" w:hAnsi="Arial" w:cs="Arial"/>
          <w:sz w:val="18"/>
          <w:szCs w:val="20"/>
        </w:rPr>
      </w:pPr>
      <w:r>
        <w:fldChar w:fldCharType="begin"/>
      </w:r>
      <w:r>
        <w:instrText xml:space="preserve"> REF _Ref142307007 \h </w:instrText>
      </w:r>
      <w:r>
        <w:fldChar w:fldCharType="separate"/>
      </w:r>
      <w:r w:rsidR="000C0403" w:rsidRPr="00D1575A">
        <w:t xml:space="preserve">Figure </w:t>
      </w:r>
      <w:r w:rsidR="000C0403">
        <w:rPr>
          <w:noProof/>
        </w:rPr>
        <w:t>5</w:t>
      </w:r>
      <w:r>
        <w:fldChar w:fldCharType="end"/>
      </w:r>
      <w:r>
        <w:rPr>
          <w:rFonts w:eastAsia="SimSun"/>
          <w:lang w:eastAsia="zh-CN"/>
        </w:rPr>
        <w:t xml:space="preserve"> shows distribution of raw SINR values taken from the CQI measurements. It is observed that SINR level is improved when the scaling is reduced from N=2 to 1, especially in the case of high DRX cycles. </w:t>
      </w:r>
    </w:p>
    <w:p w14:paraId="0D83C58F" w14:textId="77777777" w:rsidR="006D41DD" w:rsidRDefault="006D41DD" w:rsidP="006D41DD">
      <w:pPr>
        <w:jc w:val="center"/>
      </w:pPr>
      <w:r>
        <w:rPr>
          <w:noProof/>
        </w:rPr>
        <w:drawing>
          <wp:inline distT="0" distB="0" distL="0" distR="0" wp14:anchorId="69D9740A" wp14:editId="75B2A725">
            <wp:extent cx="2829961" cy="2122471"/>
            <wp:effectExtent l="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29961" cy="2122471"/>
                    </a:xfrm>
                    <a:prstGeom prst="rect">
                      <a:avLst/>
                    </a:prstGeom>
                  </pic:spPr>
                </pic:pic>
              </a:graphicData>
            </a:graphic>
          </wp:inline>
        </w:drawing>
      </w:r>
      <w:r>
        <w:rPr>
          <w:noProof/>
        </w:rPr>
        <w:drawing>
          <wp:inline distT="0" distB="0" distL="0" distR="0" wp14:anchorId="4701AD8E" wp14:editId="11DC7703">
            <wp:extent cx="2815882" cy="2111912"/>
            <wp:effectExtent l="0" t="0" r="381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15882" cy="2111912"/>
                    </a:xfrm>
                    <a:prstGeom prst="rect">
                      <a:avLst/>
                    </a:prstGeom>
                  </pic:spPr>
                </pic:pic>
              </a:graphicData>
            </a:graphic>
          </wp:inline>
        </w:drawing>
      </w:r>
    </w:p>
    <w:p w14:paraId="5F5D7F4F" w14:textId="77F41F00" w:rsidR="00803D87" w:rsidRPr="00803D87" w:rsidRDefault="006D41DD" w:rsidP="00594570">
      <w:pPr>
        <w:pStyle w:val="Caption"/>
      </w:pPr>
      <w:bookmarkStart w:id="12" w:name="_Ref142307007"/>
      <w:r w:rsidRPr="00D1575A">
        <w:t xml:space="preserve">Figure </w:t>
      </w:r>
      <w:r w:rsidR="0040381E">
        <w:fldChar w:fldCharType="begin"/>
      </w:r>
      <w:r w:rsidR="0040381E">
        <w:instrText xml:space="preserve"> SEQ Figure \* ARABIC </w:instrText>
      </w:r>
      <w:r w:rsidR="0040381E">
        <w:fldChar w:fldCharType="separate"/>
      </w:r>
      <w:r w:rsidR="000C0403">
        <w:rPr>
          <w:noProof/>
        </w:rPr>
        <w:t>5</w:t>
      </w:r>
      <w:r w:rsidR="0040381E">
        <w:rPr>
          <w:noProof/>
        </w:rPr>
        <w:fldChar w:fldCharType="end"/>
      </w:r>
      <w:bookmarkEnd w:id="12"/>
      <w:r w:rsidR="0041513C">
        <w:rPr>
          <w:noProof/>
        </w:rPr>
        <w:t>:</w:t>
      </w:r>
      <w:r w:rsidRPr="00D1575A">
        <w:t xml:space="preserve"> </w:t>
      </w:r>
      <w:r>
        <w:t xml:space="preserve">SINR distribution </w:t>
      </w:r>
      <w:r w:rsidRPr="00D1575A">
        <w:t xml:space="preserve">in </w:t>
      </w:r>
      <w:r>
        <w:t xml:space="preserve">Uni-directional Scenario A with </w:t>
      </w:r>
      <w:r w:rsidRPr="00D1575A">
        <w:t xml:space="preserve">DPS </w:t>
      </w:r>
      <w:r w:rsidR="00542226" w:rsidRPr="00D1575A">
        <w:t xml:space="preserve">(left: </w:t>
      </w:r>
      <w:r w:rsidR="00542226">
        <w:t>Same direction</w:t>
      </w:r>
      <w:r w:rsidR="00542226" w:rsidRPr="00D1575A">
        <w:t xml:space="preserve">, right: </w:t>
      </w:r>
      <w:r w:rsidR="00542226">
        <w:t>Opposite direction)</w:t>
      </w:r>
    </w:p>
    <w:p w14:paraId="1B092EF4" w14:textId="4A5B0069" w:rsidR="00803D87" w:rsidRDefault="00803D87" w:rsidP="00803D87"/>
    <w:p w14:paraId="202B97B6" w14:textId="7AE86ACC" w:rsidR="00803D87" w:rsidRDefault="00803D87" w:rsidP="00803D87">
      <w:pPr>
        <w:pStyle w:val="RAN4H2"/>
      </w:pPr>
      <w:r>
        <w:t>Uni-directional Scenario B</w:t>
      </w:r>
      <w:r w:rsidR="002772DC">
        <w:t xml:space="preserve"> with DPS</w:t>
      </w:r>
    </w:p>
    <w:p w14:paraId="3C028509" w14:textId="242FD803" w:rsidR="00DE1891" w:rsidRDefault="003B50EF" w:rsidP="00306DC0">
      <w:pPr>
        <w:jc w:val="both"/>
      </w:pPr>
      <w:r>
        <w:rPr>
          <w:rFonts w:eastAsia="SimSun"/>
          <w:lang w:eastAsia="zh-CN"/>
        </w:rPr>
        <w:t xml:space="preserve">This section shows system-level mobility performance results with further enhanced scaling </w:t>
      </w:r>
      <w:r w:rsidR="00B03CE4">
        <w:rPr>
          <w:rFonts w:eastAsia="SimSun"/>
          <w:lang w:eastAsia="zh-CN"/>
        </w:rPr>
        <w:t xml:space="preserve">from N=6 to </w:t>
      </w:r>
      <w:r>
        <w:rPr>
          <w:rFonts w:eastAsia="SimSun"/>
          <w:lang w:eastAsia="zh-CN"/>
        </w:rPr>
        <w:t xml:space="preserve">N=3 in </w:t>
      </w:r>
      <w:proofErr w:type="spellStart"/>
      <w:r>
        <w:rPr>
          <w:rFonts w:eastAsia="SimSun"/>
          <w:lang w:eastAsia="zh-CN"/>
        </w:rPr>
        <w:t>uni</w:t>
      </w:r>
      <w:proofErr w:type="spellEnd"/>
      <w:r>
        <w:rPr>
          <w:rFonts w:eastAsia="SimSun"/>
          <w:lang w:eastAsia="zh-CN"/>
        </w:rPr>
        <w:t xml:space="preserve">-directional Scenario-B </w:t>
      </w:r>
      <w:r w:rsidRPr="00845788">
        <w:t xml:space="preserve">for both </w:t>
      </w:r>
      <w:r>
        <w:t>c</w:t>
      </w:r>
      <w:r w:rsidRPr="00845788">
        <w:t>ase</w:t>
      </w:r>
      <w:r>
        <w:t>s</w:t>
      </w:r>
      <w:r w:rsidRPr="00845788">
        <w:t xml:space="preserve"> when train is traveling into </w:t>
      </w:r>
      <w:r w:rsidRPr="003B50EF">
        <w:rPr>
          <w:b/>
          <w:bCs/>
        </w:rPr>
        <w:t>‘same’</w:t>
      </w:r>
      <w:r w:rsidRPr="00845788">
        <w:t xml:space="preserve"> direction </w:t>
      </w:r>
      <w:r>
        <w:t>and</w:t>
      </w:r>
      <w:r w:rsidRPr="00845788">
        <w:t xml:space="preserve"> </w:t>
      </w:r>
      <w:r w:rsidRPr="003B50EF">
        <w:rPr>
          <w:b/>
          <w:bCs/>
        </w:rPr>
        <w:t>‘opposite’</w:t>
      </w:r>
      <w:r w:rsidRPr="00845788">
        <w:t xml:space="preserve"> direction </w:t>
      </w:r>
      <w:proofErr w:type="spellStart"/>
      <w:r>
        <w:t>w.r.t.</w:t>
      </w:r>
      <w:proofErr w:type="spellEnd"/>
      <w:r>
        <w:t xml:space="preserve"> serving beam orientation</w:t>
      </w:r>
      <w:r>
        <w:rPr>
          <w:rFonts w:eastAsia="SimSun"/>
          <w:lang w:eastAsia="zh-CN"/>
        </w:rPr>
        <w:t xml:space="preserve">. Both beam settings, i.e., 1 and 2 beams per RRH, are included in this </w:t>
      </w:r>
      <w:r w:rsidR="00594570">
        <w:rPr>
          <w:rFonts w:eastAsia="SimSun"/>
          <w:lang w:eastAsia="zh-CN"/>
        </w:rPr>
        <w:t>simulation</w:t>
      </w:r>
      <w:r>
        <w:rPr>
          <w:rFonts w:eastAsia="SimSun"/>
          <w:lang w:eastAsia="zh-CN"/>
        </w:rPr>
        <w:t xml:space="preserve">. </w:t>
      </w:r>
      <w:r>
        <w:t xml:space="preserve">In addition to the new simulation result with scaling factor N=3, previous results </w:t>
      </w:r>
      <w:r w:rsidR="00594570">
        <w:t>with scaling</w:t>
      </w:r>
      <w:r>
        <w:t xml:space="preserve"> factor N=6 (reported in </w:t>
      </w:r>
      <w:r w:rsidR="00DA1068">
        <w:fldChar w:fldCharType="begin"/>
      </w:r>
      <w:r w:rsidR="00DA1068">
        <w:instrText xml:space="preserve"> REF _Ref115391339 \r </w:instrText>
      </w:r>
      <w:r w:rsidR="00306DC0">
        <w:instrText xml:space="preserve"> \* MERGEFORMAT </w:instrText>
      </w:r>
      <w:r w:rsidR="00DA1068">
        <w:fldChar w:fldCharType="separate"/>
      </w:r>
      <w:r w:rsidR="000C0403">
        <w:t>[1]</w:t>
      </w:r>
      <w:r w:rsidR="00DA1068">
        <w:fldChar w:fldCharType="end"/>
      </w:r>
      <w:r>
        <w:t>) are also provided for comparison purposes.</w:t>
      </w:r>
    </w:p>
    <w:p w14:paraId="72B2C2AF" w14:textId="3FD5136B" w:rsidR="00DE1891" w:rsidRDefault="00DE1891" w:rsidP="00306DC0">
      <w:pPr>
        <w:jc w:val="both"/>
      </w:pPr>
      <w:r w:rsidRPr="00DE1891">
        <w:fldChar w:fldCharType="begin"/>
      </w:r>
      <w:r w:rsidRPr="00DE1891">
        <w:instrText xml:space="preserve"> REF _Ref142307556 \h  \* MERGEFORMAT </w:instrText>
      </w:r>
      <w:r w:rsidRPr="00DE1891">
        <w:fldChar w:fldCharType="separate"/>
      </w:r>
      <w:r w:rsidR="000C0403" w:rsidRPr="00D1575A">
        <w:t xml:space="preserve">Figure </w:t>
      </w:r>
      <w:r w:rsidR="000C0403">
        <w:rPr>
          <w:noProof/>
        </w:rPr>
        <w:t>6</w:t>
      </w:r>
      <w:r w:rsidRPr="00DE1891">
        <w:fldChar w:fldCharType="end"/>
      </w:r>
      <w:r>
        <w:t xml:space="preserve"> and </w:t>
      </w:r>
      <w:r>
        <w:fldChar w:fldCharType="begin"/>
      </w:r>
      <w:r>
        <w:instrText xml:space="preserve"> REF _Ref142307560 \h </w:instrText>
      </w:r>
      <w:r w:rsidR="00306DC0">
        <w:instrText xml:space="preserve"> \* MERGEFORMAT </w:instrText>
      </w:r>
      <w:r>
        <w:fldChar w:fldCharType="separate"/>
      </w:r>
      <w:r w:rsidR="000C0403" w:rsidRPr="00D1575A">
        <w:t xml:space="preserve">Figure </w:t>
      </w:r>
      <w:r w:rsidR="000C0403">
        <w:rPr>
          <w:noProof/>
        </w:rPr>
        <w:t>7</w:t>
      </w:r>
      <w:r>
        <w:fldChar w:fldCharType="end"/>
      </w:r>
      <w:r>
        <w:t xml:space="preserve"> show the successful </w:t>
      </w:r>
      <w:r w:rsidR="00C61272">
        <w:t>b</w:t>
      </w:r>
      <w:r w:rsidR="00F64DD2" w:rsidRPr="00F64DD2">
        <w:t xml:space="preserve">eam switching </w:t>
      </w:r>
      <w:r>
        <w:t>rate per CPE per second and the ping-pong handover rates, respectively. In general, reduced scaling factor results in the increase of beam switching and beam ping-pong rate. The</w:t>
      </w:r>
      <w:r w:rsidR="005B0837">
        <w:t xml:space="preserve"> increases are seen most obvious without DRX setting.</w:t>
      </w:r>
    </w:p>
    <w:p w14:paraId="19A4D95F" w14:textId="42CFE149" w:rsidR="00803D87" w:rsidRDefault="00803D87" w:rsidP="003B50EF">
      <w:r>
        <w:rPr>
          <w:noProof/>
        </w:rPr>
        <w:lastRenderedPageBreak/>
        <w:drawing>
          <wp:inline distT="0" distB="0" distL="0" distR="0" wp14:anchorId="424C52F6" wp14:editId="7415AA23">
            <wp:extent cx="2820577" cy="2262094"/>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3">
                      <a:extLst>
                        <a:ext uri="{28A0092B-C50C-407E-A947-70E740481C1C}">
                          <a14:useLocalDpi xmlns:a14="http://schemas.microsoft.com/office/drawing/2010/main" val="0"/>
                        </a:ext>
                      </a:extLst>
                    </a:blip>
                    <a:stretch>
                      <a:fillRect/>
                    </a:stretch>
                  </pic:blipFill>
                  <pic:spPr>
                    <a:xfrm>
                      <a:off x="0" y="0"/>
                      <a:ext cx="2820577" cy="2262094"/>
                    </a:xfrm>
                    <a:prstGeom prst="rect">
                      <a:avLst/>
                    </a:prstGeom>
                  </pic:spPr>
                </pic:pic>
              </a:graphicData>
            </a:graphic>
          </wp:inline>
        </w:drawing>
      </w:r>
      <w:r>
        <w:rPr>
          <w:noProof/>
        </w:rPr>
        <w:drawing>
          <wp:inline distT="0" distB="0" distL="0" distR="0" wp14:anchorId="6EFD8071" wp14:editId="43FAB254">
            <wp:extent cx="2815884" cy="2254578"/>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24">
                      <a:extLst>
                        <a:ext uri="{28A0092B-C50C-407E-A947-70E740481C1C}">
                          <a14:useLocalDpi xmlns:a14="http://schemas.microsoft.com/office/drawing/2010/main" val="0"/>
                        </a:ext>
                      </a:extLst>
                    </a:blip>
                    <a:stretch>
                      <a:fillRect/>
                    </a:stretch>
                  </pic:blipFill>
                  <pic:spPr>
                    <a:xfrm>
                      <a:off x="0" y="0"/>
                      <a:ext cx="2815884" cy="2254578"/>
                    </a:xfrm>
                    <a:prstGeom prst="rect">
                      <a:avLst/>
                    </a:prstGeom>
                  </pic:spPr>
                </pic:pic>
              </a:graphicData>
            </a:graphic>
          </wp:inline>
        </w:drawing>
      </w:r>
    </w:p>
    <w:p w14:paraId="6433CCB4" w14:textId="66D61C50" w:rsidR="00803D87" w:rsidRDefault="00803D87" w:rsidP="00DE1891">
      <w:pPr>
        <w:pStyle w:val="Caption"/>
      </w:pPr>
      <w:bookmarkStart w:id="13" w:name="_Ref142307556"/>
      <w:r w:rsidRPr="00D1575A">
        <w:t xml:space="preserve">Figure </w:t>
      </w:r>
      <w:r w:rsidR="0040381E">
        <w:fldChar w:fldCharType="begin"/>
      </w:r>
      <w:r w:rsidR="0040381E">
        <w:instrText xml:space="preserve"> SEQ Figure \* ARABIC </w:instrText>
      </w:r>
      <w:r w:rsidR="0040381E">
        <w:fldChar w:fldCharType="separate"/>
      </w:r>
      <w:r w:rsidR="000C0403">
        <w:rPr>
          <w:noProof/>
        </w:rPr>
        <w:t>6</w:t>
      </w:r>
      <w:r w:rsidR="0040381E">
        <w:rPr>
          <w:noProof/>
        </w:rPr>
        <w:fldChar w:fldCharType="end"/>
      </w:r>
      <w:bookmarkEnd w:id="13"/>
      <w:r w:rsidR="0041513C">
        <w:rPr>
          <w:noProof/>
        </w:rPr>
        <w:t>:</w:t>
      </w:r>
      <w:r w:rsidRPr="00D1575A">
        <w:t xml:space="preserve"> </w:t>
      </w:r>
      <w:r>
        <w:t>Beam switching</w:t>
      </w:r>
      <w:r w:rsidRPr="00D1575A">
        <w:t xml:space="preserve"> rate in </w:t>
      </w:r>
      <w:r>
        <w:t xml:space="preserve">Uni-directional Scenario </w:t>
      </w:r>
      <w:r w:rsidR="00672C16">
        <w:t>B</w:t>
      </w:r>
      <w:r>
        <w:t xml:space="preserve"> with </w:t>
      </w:r>
      <w:r w:rsidRPr="00D1575A">
        <w:t xml:space="preserve">DPS </w:t>
      </w:r>
      <w:r w:rsidR="00650B69" w:rsidRPr="00D1575A">
        <w:t xml:space="preserve">(left: </w:t>
      </w:r>
      <w:r w:rsidR="00650B69">
        <w:t>Same direction</w:t>
      </w:r>
      <w:r w:rsidR="00650B69" w:rsidRPr="00D1575A">
        <w:t xml:space="preserve">, right: </w:t>
      </w:r>
      <w:r w:rsidR="00650B69">
        <w:t>Opposite direction)</w:t>
      </w:r>
    </w:p>
    <w:p w14:paraId="03009B43" w14:textId="77777777" w:rsidR="00803D87" w:rsidRDefault="00803D87" w:rsidP="00803D87">
      <w:pPr>
        <w:jc w:val="center"/>
      </w:pPr>
      <w:r>
        <w:rPr>
          <w:noProof/>
        </w:rPr>
        <w:drawing>
          <wp:inline distT="0" distB="0" distL="0" distR="0" wp14:anchorId="3187131F" wp14:editId="5B38161C">
            <wp:extent cx="2820576" cy="2262093"/>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5">
                      <a:extLst>
                        <a:ext uri="{28A0092B-C50C-407E-A947-70E740481C1C}">
                          <a14:useLocalDpi xmlns:a14="http://schemas.microsoft.com/office/drawing/2010/main" val="0"/>
                        </a:ext>
                      </a:extLst>
                    </a:blip>
                    <a:stretch>
                      <a:fillRect/>
                    </a:stretch>
                  </pic:blipFill>
                  <pic:spPr>
                    <a:xfrm>
                      <a:off x="0" y="0"/>
                      <a:ext cx="2820576" cy="2262093"/>
                    </a:xfrm>
                    <a:prstGeom prst="rect">
                      <a:avLst/>
                    </a:prstGeom>
                  </pic:spPr>
                </pic:pic>
              </a:graphicData>
            </a:graphic>
          </wp:inline>
        </w:drawing>
      </w:r>
      <w:r>
        <w:rPr>
          <w:noProof/>
        </w:rPr>
        <w:drawing>
          <wp:inline distT="0" distB="0" distL="0" distR="0" wp14:anchorId="4DCE997E" wp14:editId="404FC6CC">
            <wp:extent cx="2815883" cy="2254578"/>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26">
                      <a:extLst>
                        <a:ext uri="{28A0092B-C50C-407E-A947-70E740481C1C}">
                          <a14:useLocalDpi xmlns:a14="http://schemas.microsoft.com/office/drawing/2010/main" val="0"/>
                        </a:ext>
                      </a:extLst>
                    </a:blip>
                    <a:stretch>
                      <a:fillRect/>
                    </a:stretch>
                  </pic:blipFill>
                  <pic:spPr>
                    <a:xfrm>
                      <a:off x="0" y="0"/>
                      <a:ext cx="2815883" cy="2254578"/>
                    </a:xfrm>
                    <a:prstGeom prst="rect">
                      <a:avLst/>
                    </a:prstGeom>
                  </pic:spPr>
                </pic:pic>
              </a:graphicData>
            </a:graphic>
          </wp:inline>
        </w:drawing>
      </w:r>
    </w:p>
    <w:p w14:paraId="4951016D" w14:textId="62485DB5" w:rsidR="00803D87" w:rsidRDefault="00803D87" w:rsidP="00803D87">
      <w:pPr>
        <w:pStyle w:val="Caption"/>
        <w:jc w:val="left"/>
      </w:pPr>
      <w:bookmarkStart w:id="14" w:name="_Ref142307560"/>
      <w:r w:rsidRPr="00D1575A">
        <w:t xml:space="preserve">Figure </w:t>
      </w:r>
      <w:r w:rsidR="0040381E">
        <w:fldChar w:fldCharType="begin"/>
      </w:r>
      <w:r w:rsidR="0040381E">
        <w:instrText xml:space="preserve"> SEQ Figure \* ARABIC </w:instrText>
      </w:r>
      <w:r w:rsidR="0040381E">
        <w:fldChar w:fldCharType="separate"/>
      </w:r>
      <w:r w:rsidR="000C0403">
        <w:rPr>
          <w:noProof/>
        </w:rPr>
        <w:t>7</w:t>
      </w:r>
      <w:r w:rsidR="0040381E">
        <w:rPr>
          <w:noProof/>
        </w:rPr>
        <w:fldChar w:fldCharType="end"/>
      </w:r>
      <w:bookmarkEnd w:id="14"/>
      <w:r w:rsidR="0041513C">
        <w:rPr>
          <w:noProof/>
        </w:rPr>
        <w:t>:</w:t>
      </w:r>
      <w:r w:rsidRPr="00D1575A">
        <w:t xml:space="preserve"> </w:t>
      </w:r>
      <w:r>
        <w:t>Beam ping-pong</w:t>
      </w:r>
      <w:r w:rsidRPr="00D1575A">
        <w:t xml:space="preserve"> rate in </w:t>
      </w:r>
      <w:r>
        <w:t xml:space="preserve">Uni-directional Scenario </w:t>
      </w:r>
      <w:r w:rsidR="00672C16">
        <w:t>B</w:t>
      </w:r>
      <w:r>
        <w:t xml:space="preserve"> with </w:t>
      </w:r>
      <w:r w:rsidRPr="00D1575A">
        <w:t xml:space="preserve">DPS </w:t>
      </w:r>
      <w:r w:rsidR="00650B69" w:rsidRPr="00D1575A">
        <w:t xml:space="preserve">(left: </w:t>
      </w:r>
      <w:r w:rsidR="00650B69">
        <w:t>Same direction</w:t>
      </w:r>
      <w:r w:rsidR="00650B69" w:rsidRPr="00D1575A">
        <w:t xml:space="preserve">, right: </w:t>
      </w:r>
      <w:r w:rsidR="00650B69">
        <w:t>Opposite direction)</w:t>
      </w:r>
    </w:p>
    <w:p w14:paraId="7DD29539" w14:textId="71F4178E" w:rsidR="00672C16" w:rsidRPr="00672C16" w:rsidRDefault="005B0837" w:rsidP="005D59FC">
      <w:pPr>
        <w:jc w:val="both"/>
      </w:pPr>
      <w:r>
        <w:fldChar w:fldCharType="begin"/>
      </w:r>
      <w:r>
        <w:instrText xml:space="preserve"> REF _Ref142307973 \h </w:instrText>
      </w:r>
      <w:r w:rsidR="005D59FC">
        <w:instrText xml:space="preserve"> \* MERGEFORMAT </w:instrText>
      </w:r>
      <w:r>
        <w:fldChar w:fldCharType="separate"/>
      </w:r>
      <w:r w:rsidR="000C0403" w:rsidRPr="00D1575A">
        <w:t xml:space="preserve">Figure </w:t>
      </w:r>
      <w:r w:rsidR="000C0403">
        <w:rPr>
          <w:noProof/>
        </w:rPr>
        <w:t>8</w:t>
      </w:r>
      <w:r>
        <w:fldChar w:fldCharType="end"/>
      </w:r>
      <w:r>
        <w:t xml:space="preserve"> </w:t>
      </w:r>
      <w:r>
        <w:rPr>
          <w:rFonts w:eastAsia="SimSun"/>
          <w:lang w:eastAsia="zh-CN"/>
        </w:rPr>
        <w:t xml:space="preserve">shows time-of-outage percentage per call (existence of CPE in the simulation) and average time-of-outage duration due to low SINR (below -8 dB) conditions. </w:t>
      </w:r>
      <w:proofErr w:type="gramStart"/>
      <w:r>
        <w:rPr>
          <w:rFonts w:eastAsia="SimSun"/>
          <w:lang w:eastAsia="zh-CN"/>
        </w:rPr>
        <w:t>Similar to</w:t>
      </w:r>
      <w:proofErr w:type="gramEnd"/>
      <w:r>
        <w:rPr>
          <w:rFonts w:eastAsia="SimSun"/>
          <w:lang w:eastAsia="zh-CN"/>
        </w:rPr>
        <w:t xml:space="preserve"> the results of Scenario A, it is observed that the reduced scaling factor decreases the outage time, especially when the train is moving opposite</w:t>
      </w:r>
      <w:r w:rsidR="00650B69">
        <w:rPr>
          <w:rFonts w:eastAsia="SimSun"/>
          <w:lang w:eastAsia="zh-CN"/>
        </w:rPr>
        <w:t xml:space="preserve"> to</w:t>
      </w:r>
      <w:r>
        <w:rPr>
          <w:rFonts w:eastAsia="SimSun"/>
          <w:lang w:eastAsia="zh-CN"/>
        </w:rPr>
        <w:t xml:space="preserve"> the serving beam orientation and with </w:t>
      </w:r>
      <w:r w:rsidR="00650B69">
        <w:rPr>
          <w:rFonts w:eastAsia="SimSun"/>
          <w:lang w:eastAsia="zh-CN"/>
        </w:rPr>
        <w:t>long</w:t>
      </w:r>
      <w:r>
        <w:rPr>
          <w:rFonts w:eastAsia="SimSun"/>
          <w:lang w:eastAsia="zh-CN"/>
        </w:rPr>
        <w:t xml:space="preserve"> DRX </w:t>
      </w:r>
      <w:r w:rsidR="00650B69">
        <w:rPr>
          <w:rFonts w:eastAsia="SimSun"/>
          <w:lang w:eastAsia="zh-CN"/>
        </w:rPr>
        <w:t>cycles</w:t>
      </w:r>
      <w:r>
        <w:rPr>
          <w:rFonts w:eastAsia="SimSun"/>
          <w:lang w:eastAsia="zh-CN"/>
        </w:rPr>
        <w:t xml:space="preserve">. </w:t>
      </w:r>
    </w:p>
    <w:p w14:paraId="680E2197" w14:textId="77777777" w:rsidR="00803D87" w:rsidRDefault="00803D87" w:rsidP="00803D87">
      <w:pPr>
        <w:jc w:val="center"/>
      </w:pPr>
      <w:r>
        <w:rPr>
          <w:noProof/>
        </w:rPr>
        <w:drawing>
          <wp:inline distT="0" distB="0" distL="0" distR="0" wp14:anchorId="736FA7FC" wp14:editId="52F19D14">
            <wp:extent cx="2820576" cy="2262093"/>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7">
                      <a:extLst>
                        <a:ext uri="{28A0092B-C50C-407E-A947-70E740481C1C}">
                          <a14:useLocalDpi xmlns:a14="http://schemas.microsoft.com/office/drawing/2010/main" val="0"/>
                        </a:ext>
                      </a:extLst>
                    </a:blip>
                    <a:stretch>
                      <a:fillRect/>
                    </a:stretch>
                  </pic:blipFill>
                  <pic:spPr>
                    <a:xfrm>
                      <a:off x="0" y="0"/>
                      <a:ext cx="2820576" cy="2262093"/>
                    </a:xfrm>
                    <a:prstGeom prst="rect">
                      <a:avLst/>
                    </a:prstGeom>
                  </pic:spPr>
                </pic:pic>
              </a:graphicData>
            </a:graphic>
          </wp:inline>
        </w:drawing>
      </w:r>
      <w:r>
        <w:rPr>
          <w:noProof/>
        </w:rPr>
        <w:drawing>
          <wp:inline distT="0" distB="0" distL="0" distR="0" wp14:anchorId="2E6ABA1E" wp14:editId="4C710C24">
            <wp:extent cx="2815883" cy="2254577"/>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28">
                      <a:extLst>
                        <a:ext uri="{28A0092B-C50C-407E-A947-70E740481C1C}">
                          <a14:useLocalDpi xmlns:a14="http://schemas.microsoft.com/office/drawing/2010/main" val="0"/>
                        </a:ext>
                      </a:extLst>
                    </a:blip>
                    <a:stretch>
                      <a:fillRect/>
                    </a:stretch>
                  </pic:blipFill>
                  <pic:spPr>
                    <a:xfrm>
                      <a:off x="0" y="0"/>
                      <a:ext cx="2815883" cy="2254577"/>
                    </a:xfrm>
                    <a:prstGeom prst="rect">
                      <a:avLst/>
                    </a:prstGeom>
                  </pic:spPr>
                </pic:pic>
              </a:graphicData>
            </a:graphic>
          </wp:inline>
        </w:drawing>
      </w:r>
    </w:p>
    <w:p w14:paraId="012B9D2A" w14:textId="6845E82B" w:rsidR="00803D87" w:rsidRDefault="00803D87" w:rsidP="005D59FC">
      <w:pPr>
        <w:pStyle w:val="Caption"/>
      </w:pPr>
      <w:bookmarkStart w:id="15" w:name="_Ref142307973"/>
      <w:bookmarkStart w:id="16" w:name="_Ref142307966"/>
      <w:r w:rsidRPr="00D1575A">
        <w:t xml:space="preserve">Figure </w:t>
      </w:r>
      <w:r w:rsidR="0040381E">
        <w:fldChar w:fldCharType="begin"/>
      </w:r>
      <w:r w:rsidR="0040381E">
        <w:instrText xml:space="preserve"> SEQ Figure \</w:instrText>
      </w:r>
      <w:r w:rsidR="0040381E">
        <w:instrText xml:space="preserve">* ARABIC </w:instrText>
      </w:r>
      <w:r w:rsidR="0040381E">
        <w:fldChar w:fldCharType="separate"/>
      </w:r>
      <w:r w:rsidR="000C0403">
        <w:rPr>
          <w:noProof/>
        </w:rPr>
        <w:t>8</w:t>
      </w:r>
      <w:r w:rsidR="0040381E">
        <w:rPr>
          <w:noProof/>
        </w:rPr>
        <w:fldChar w:fldCharType="end"/>
      </w:r>
      <w:bookmarkEnd w:id="15"/>
      <w:r w:rsidRPr="00D1575A">
        <w:t xml:space="preserve"> </w:t>
      </w:r>
      <w:r>
        <w:t>Time-of-outage percentage</w:t>
      </w:r>
      <w:r w:rsidRPr="00D1575A">
        <w:t xml:space="preserve"> in </w:t>
      </w:r>
      <w:r>
        <w:t xml:space="preserve">Uni-directional Scenario </w:t>
      </w:r>
      <w:r w:rsidR="00672C16">
        <w:t>B</w:t>
      </w:r>
      <w:r>
        <w:t xml:space="preserve"> with </w:t>
      </w:r>
      <w:r w:rsidRPr="00D1575A">
        <w:t xml:space="preserve">DPS </w:t>
      </w:r>
      <w:bookmarkEnd w:id="16"/>
      <w:r w:rsidR="00650B69" w:rsidRPr="00D1575A">
        <w:t xml:space="preserve">(left: </w:t>
      </w:r>
      <w:r w:rsidR="00650B69">
        <w:t>Same direction</w:t>
      </w:r>
      <w:r w:rsidR="00650B69" w:rsidRPr="00D1575A">
        <w:t xml:space="preserve">, right: </w:t>
      </w:r>
      <w:r w:rsidR="00650B69">
        <w:t>Opposite direction)</w:t>
      </w:r>
    </w:p>
    <w:p w14:paraId="0E59CD8C" w14:textId="3C388411" w:rsidR="005B0837" w:rsidRPr="005B0837" w:rsidRDefault="005B0837" w:rsidP="005D59FC">
      <w:pPr>
        <w:jc w:val="both"/>
      </w:pPr>
      <w:r>
        <w:lastRenderedPageBreak/>
        <w:fldChar w:fldCharType="begin"/>
      </w:r>
      <w:r>
        <w:instrText xml:space="preserve"> REF _Ref142307978 \h </w:instrText>
      </w:r>
      <w:r w:rsidR="005D59FC">
        <w:instrText xml:space="preserve"> \* MERGEFORMAT </w:instrText>
      </w:r>
      <w:r>
        <w:fldChar w:fldCharType="separate"/>
      </w:r>
      <w:r w:rsidR="000C0403" w:rsidRPr="00D1575A">
        <w:t xml:space="preserve">Figure </w:t>
      </w:r>
      <w:r w:rsidR="000C0403">
        <w:rPr>
          <w:noProof/>
        </w:rPr>
        <w:t>9</w:t>
      </w:r>
      <w:r>
        <w:fldChar w:fldCharType="end"/>
      </w:r>
      <w:r>
        <w:t xml:space="preserve"> </w:t>
      </w:r>
      <w:r w:rsidRPr="005B0837">
        <w:t>show</w:t>
      </w:r>
      <w:r>
        <w:t>s</w:t>
      </w:r>
      <w:r>
        <w:rPr>
          <w:rFonts w:eastAsia="SimSun"/>
          <w:lang w:eastAsia="zh-CN"/>
        </w:rPr>
        <w:t xml:space="preserve"> beam failure indication rate as percentage of BFIs per beam switches</w:t>
      </w:r>
      <w:r w:rsidRPr="005B0837">
        <w:t xml:space="preserve">. We first note that the mobility performance in Uni-direction scenario B with enhanced scaling N=6 is already good for all </w:t>
      </w:r>
      <w:r w:rsidR="00650B69">
        <w:t>simulated</w:t>
      </w:r>
      <w:r w:rsidRPr="005B0837">
        <w:t xml:space="preserve"> DRX </w:t>
      </w:r>
      <w:r w:rsidR="00650B69">
        <w:t>cycles</w:t>
      </w:r>
      <w:r w:rsidRPr="005B0837">
        <w:t>, except a small failure rate with DRX=160ms when 2 beams per RRHs</w:t>
      </w:r>
      <w:r>
        <w:t xml:space="preserve"> are used in</w:t>
      </w:r>
      <w:r w:rsidR="00650B69">
        <w:t xml:space="preserve"> the case </w:t>
      </w:r>
      <w:r>
        <w:t>train moving</w:t>
      </w:r>
      <w:r w:rsidR="00650B69">
        <w:t xml:space="preserve"> direction is opposite to </w:t>
      </w:r>
      <w:r>
        <w:t xml:space="preserve">beam </w:t>
      </w:r>
      <w:r w:rsidR="00650B69">
        <w:t>orientation</w:t>
      </w:r>
      <w:r w:rsidRPr="005B0837">
        <w:t xml:space="preserve">. With the further enhanced scaling N=3, we observed that the challenge with the longest DRX setting (160ms) </w:t>
      </w:r>
      <w:r w:rsidR="00650B69">
        <w:t>could</w:t>
      </w:r>
      <w:r>
        <w:t xml:space="preserve"> </w:t>
      </w:r>
      <w:r w:rsidR="00A24DDA">
        <w:t>e</w:t>
      </w:r>
      <w:r>
        <w:t>ven</w:t>
      </w:r>
      <w:r w:rsidRPr="005B0837">
        <w:t xml:space="preserve"> </w:t>
      </w:r>
      <w:r w:rsidR="00A24DDA">
        <w:t xml:space="preserve">be </w:t>
      </w:r>
      <w:r w:rsidRPr="005B0837">
        <w:t>resolved</w:t>
      </w:r>
      <w:r w:rsidR="00A24DDA">
        <w:t>.</w:t>
      </w:r>
    </w:p>
    <w:p w14:paraId="0138F8AD" w14:textId="77777777" w:rsidR="00803D87" w:rsidRDefault="00803D87" w:rsidP="00803D87">
      <w:pPr>
        <w:jc w:val="center"/>
      </w:pPr>
      <w:r>
        <w:rPr>
          <w:noProof/>
        </w:rPr>
        <w:drawing>
          <wp:inline distT="0" distB="0" distL="0" distR="0" wp14:anchorId="0553D578" wp14:editId="1820B304">
            <wp:extent cx="2820576" cy="2262093"/>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9">
                      <a:extLst>
                        <a:ext uri="{28A0092B-C50C-407E-A947-70E740481C1C}">
                          <a14:useLocalDpi xmlns:a14="http://schemas.microsoft.com/office/drawing/2010/main" val="0"/>
                        </a:ext>
                      </a:extLst>
                    </a:blip>
                    <a:stretch>
                      <a:fillRect/>
                    </a:stretch>
                  </pic:blipFill>
                  <pic:spPr>
                    <a:xfrm>
                      <a:off x="0" y="0"/>
                      <a:ext cx="2820576" cy="2262093"/>
                    </a:xfrm>
                    <a:prstGeom prst="rect">
                      <a:avLst/>
                    </a:prstGeom>
                  </pic:spPr>
                </pic:pic>
              </a:graphicData>
            </a:graphic>
          </wp:inline>
        </w:drawing>
      </w:r>
      <w:r>
        <w:rPr>
          <w:noProof/>
        </w:rPr>
        <w:drawing>
          <wp:inline distT="0" distB="0" distL="0" distR="0" wp14:anchorId="7EB5D190" wp14:editId="388422D5">
            <wp:extent cx="2815883" cy="2254577"/>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30">
                      <a:extLst>
                        <a:ext uri="{28A0092B-C50C-407E-A947-70E740481C1C}">
                          <a14:useLocalDpi xmlns:a14="http://schemas.microsoft.com/office/drawing/2010/main" val="0"/>
                        </a:ext>
                      </a:extLst>
                    </a:blip>
                    <a:stretch>
                      <a:fillRect/>
                    </a:stretch>
                  </pic:blipFill>
                  <pic:spPr>
                    <a:xfrm>
                      <a:off x="0" y="0"/>
                      <a:ext cx="2815883" cy="2254577"/>
                    </a:xfrm>
                    <a:prstGeom prst="rect">
                      <a:avLst/>
                    </a:prstGeom>
                  </pic:spPr>
                </pic:pic>
              </a:graphicData>
            </a:graphic>
          </wp:inline>
        </w:drawing>
      </w:r>
    </w:p>
    <w:p w14:paraId="01A8C2F8" w14:textId="4C2FF023" w:rsidR="00803D87" w:rsidRDefault="00803D87" w:rsidP="00803D87">
      <w:pPr>
        <w:pStyle w:val="Caption"/>
      </w:pPr>
      <w:bookmarkStart w:id="17" w:name="_Ref142307978"/>
      <w:r w:rsidRPr="00D1575A">
        <w:t xml:space="preserve">Figure </w:t>
      </w:r>
      <w:r w:rsidR="0040381E">
        <w:fldChar w:fldCharType="begin"/>
      </w:r>
      <w:r w:rsidR="0040381E">
        <w:instrText xml:space="preserve"> SEQ Figure </w:instrText>
      </w:r>
      <w:r w:rsidR="0040381E">
        <w:instrText xml:space="preserve">\* ARABIC </w:instrText>
      </w:r>
      <w:r w:rsidR="0040381E">
        <w:fldChar w:fldCharType="separate"/>
      </w:r>
      <w:r w:rsidR="000C0403">
        <w:rPr>
          <w:noProof/>
        </w:rPr>
        <w:t>9</w:t>
      </w:r>
      <w:r w:rsidR="0040381E">
        <w:rPr>
          <w:noProof/>
        </w:rPr>
        <w:fldChar w:fldCharType="end"/>
      </w:r>
      <w:bookmarkEnd w:id="17"/>
      <w:r w:rsidRPr="00D1575A">
        <w:t xml:space="preserve"> </w:t>
      </w:r>
      <w:r>
        <w:t xml:space="preserve">Beam failure rate </w:t>
      </w:r>
      <w:r w:rsidRPr="00D1575A">
        <w:t xml:space="preserve">in </w:t>
      </w:r>
      <w:r>
        <w:t xml:space="preserve">Uni-directional Scenario </w:t>
      </w:r>
      <w:r w:rsidR="00672C16">
        <w:t>B</w:t>
      </w:r>
      <w:r>
        <w:t xml:space="preserve"> with </w:t>
      </w:r>
      <w:r w:rsidRPr="00D1575A">
        <w:t xml:space="preserve">DPS </w:t>
      </w:r>
      <w:r w:rsidR="00650B69" w:rsidRPr="00D1575A">
        <w:t xml:space="preserve">(left: </w:t>
      </w:r>
      <w:r w:rsidR="00650B69">
        <w:t>Same direction</w:t>
      </w:r>
      <w:r w:rsidR="00650B69" w:rsidRPr="00D1575A">
        <w:t xml:space="preserve">, right: </w:t>
      </w:r>
      <w:r w:rsidR="00650B69">
        <w:t>Opposite direction)</w:t>
      </w:r>
    </w:p>
    <w:p w14:paraId="314F43DC" w14:textId="0DE1FAA9" w:rsidR="00A24DDA" w:rsidRPr="00A24DDA" w:rsidRDefault="00A24DDA" w:rsidP="00AD1CF9">
      <w:pPr>
        <w:jc w:val="both"/>
      </w:pPr>
      <w:r>
        <w:fldChar w:fldCharType="begin"/>
      </w:r>
      <w:r>
        <w:instrText xml:space="preserve"> REF _Ref142308644 \h </w:instrText>
      </w:r>
      <w:r w:rsidR="00AD1CF9">
        <w:instrText xml:space="preserve"> \* MERGEFORMAT </w:instrText>
      </w:r>
      <w:r>
        <w:fldChar w:fldCharType="separate"/>
      </w:r>
      <w:r w:rsidR="000C0403" w:rsidRPr="00D1575A">
        <w:t xml:space="preserve">Figure </w:t>
      </w:r>
      <w:r w:rsidR="000C0403">
        <w:rPr>
          <w:noProof/>
        </w:rPr>
        <w:t>10</w:t>
      </w:r>
      <w:r>
        <w:fldChar w:fldCharType="end"/>
      </w:r>
      <w:r>
        <w:t xml:space="preserve"> and </w:t>
      </w:r>
      <w:r>
        <w:fldChar w:fldCharType="begin"/>
      </w:r>
      <w:r>
        <w:instrText xml:space="preserve"> REF _Ref142308650 \h </w:instrText>
      </w:r>
      <w:r w:rsidR="00AD1CF9">
        <w:instrText xml:space="preserve"> \* MERGEFORMAT </w:instrText>
      </w:r>
      <w:r>
        <w:fldChar w:fldCharType="separate"/>
      </w:r>
      <w:r w:rsidR="000C0403" w:rsidRPr="00D1575A">
        <w:t xml:space="preserve">Figure </w:t>
      </w:r>
      <w:r w:rsidR="000C0403">
        <w:rPr>
          <w:noProof/>
        </w:rPr>
        <w:t>11</w:t>
      </w:r>
      <w:r>
        <w:fldChar w:fldCharType="end"/>
      </w:r>
      <w:r>
        <w:t xml:space="preserve"> </w:t>
      </w:r>
      <w:r>
        <w:rPr>
          <w:rFonts w:eastAsia="SimSun"/>
          <w:lang w:eastAsia="zh-CN"/>
        </w:rPr>
        <w:t>show distribution of raw SINR values taken from the CQI measurements for two RRH beams setting, 1 and 2 beams per RRH, respectively. It is observed that the SINR is improved when the scaling factor is reduced</w:t>
      </w:r>
      <w:r w:rsidR="00650B69">
        <w:rPr>
          <w:rFonts w:eastAsia="SimSun"/>
          <w:lang w:eastAsia="zh-CN"/>
        </w:rPr>
        <w:t xml:space="preserve"> especially for long DRX cycles.</w:t>
      </w:r>
    </w:p>
    <w:p w14:paraId="0719DE79" w14:textId="77777777" w:rsidR="00803D87" w:rsidRPr="00803D87" w:rsidRDefault="00803D87" w:rsidP="00803D87"/>
    <w:p w14:paraId="6FBCFE0D" w14:textId="77777777" w:rsidR="006D41DD" w:rsidRDefault="006D41DD" w:rsidP="006D41DD">
      <w:pPr>
        <w:jc w:val="center"/>
      </w:pPr>
      <w:r>
        <w:rPr>
          <w:noProof/>
        </w:rPr>
        <w:drawing>
          <wp:inline distT="0" distB="0" distL="0" distR="0" wp14:anchorId="6B0F3DE1" wp14:editId="518E8838">
            <wp:extent cx="2820576" cy="211543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820576" cy="2115432"/>
                    </a:xfrm>
                    <a:prstGeom prst="rect">
                      <a:avLst/>
                    </a:prstGeom>
                  </pic:spPr>
                </pic:pic>
              </a:graphicData>
            </a:graphic>
          </wp:inline>
        </w:drawing>
      </w:r>
      <w:r>
        <w:rPr>
          <w:noProof/>
        </w:rPr>
        <w:drawing>
          <wp:inline distT="0" distB="0" distL="0" distR="0" wp14:anchorId="39651121" wp14:editId="0E67CC2E">
            <wp:extent cx="2815883" cy="2111912"/>
            <wp:effectExtent l="0" t="0" r="381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815883" cy="2111912"/>
                    </a:xfrm>
                    <a:prstGeom prst="rect">
                      <a:avLst/>
                    </a:prstGeom>
                  </pic:spPr>
                </pic:pic>
              </a:graphicData>
            </a:graphic>
          </wp:inline>
        </w:drawing>
      </w:r>
    </w:p>
    <w:p w14:paraId="406B2FA2" w14:textId="1A3988DC" w:rsidR="006D41DD" w:rsidRDefault="006D41DD" w:rsidP="00AD1CF9">
      <w:pPr>
        <w:pStyle w:val="Caption"/>
      </w:pPr>
      <w:bookmarkStart w:id="18" w:name="_Ref142308644"/>
      <w:r w:rsidRPr="00D1575A">
        <w:t xml:space="preserve">Figure </w:t>
      </w:r>
      <w:r w:rsidR="0040381E">
        <w:fldChar w:fldCharType="begin"/>
      </w:r>
      <w:r w:rsidR="0040381E">
        <w:instrText xml:space="preserve"> SEQ Figure \* ARABIC </w:instrText>
      </w:r>
      <w:r w:rsidR="0040381E">
        <w:fldChar w:fldCharType="separate"/>
      </w:r>
      <w:r w:rsidR="000C0403">
        <w:rPr>
          <w:noProof/>
        </w:rPr>
        <w:t>10</w:t>
      </w:r>
      <w:r w:rsidR="0040381E">
        <w:rPr>
          <w:noProof/>
        </w:rPr>
        <w:fldChar w:fldCharType="end"/>
      </w:r>
      <w:bookmarkEnd w:id="18"/>
      <w:r w:rsidRPr="00D1575A">
        <w:t xml:space="preserve"> </w:t>
      </w:r>
      <w:r>
        <w:t xml:space="preserve">SINR distribution </w:t>
      </w:r>
      <w:r w:rsidRPr="00D1575A">
        <w:t xml:space="preserve">in </w:t>
      </w:r>
      <w:r>
        <w:t xml:space="preserve">Uni-directional Scenario B with </w:t>
      </w:r>
      <w:r w:rsidRPr="00D1575A">
        <w:t>DPS</w:t>
      </w:r>
      <w:r>
        <w:t>, 1 beam per RRH</w:t>
      </w:r>
      <w:r w:rsidRPr="00D1575A">
        <w:t xml:space="preserve"> </w:t>
      </w:r>
      <w:r w:rsidR="00650B69" w:rsidRPr="00D1575A">
        <w:t xml:space="preserve">(left: </w:t>
      </w:r>
      <w:r w:rsidR="00650B69">
        <w:t>Same direction</w:t>
      </w:r>
      <w:r w:rsidR="00650B69" w:rsidRPr="00D1575A">
        <w:t xml:space="preserve">, right: </w:t>
      </w:r>
      <w:r w:rsidR="00650B69">
        <w:t>Opposite direction)</w:t>
      </w:r>
    </w:p>
    <w:p w14:paraId="273C22DE" w14:textId="4912606F" w:rsidR="006D41DD" w:rsidRDefault="006D41DD" w:rsidP="006D41DD"/>
    <w:p w14:paraId="6841A91D" w14:textId="77777777" w:rsidR="006D41DD" w:rsidRDefault="006D41DD" w:rsidP="006D41DD">
      <w:pPr>
        <w:jc w:val="center"/>
      </w:pPr>
      <w:r>
        <w:rPr>
          <w:noProof/>
        </w:rPr>
        <w:lastRenderedPageBreak/>
        <w:drawing>
          <wp:inline distT="0" distB="0" distL="0" distR="0" wp14:anchorId="6D54EA4C" wp14:editId="2EC3B733">
            <wp:extent cx="2820576" cy="211543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820576" cy="2115432"/>
                    </a:xfrm>
                    <a:prstGeom prst="rect">
                      <a:avLst/>
                    </a:prstGeom>
                  </pic:spPr>
                </pic:pic>
              </a:graphicData>
            </a:graphic>
          </wp:inline>
        </w:drawing>
      </w:r>
      <w:r>
        <w:rPr>
          <w:noProof/>
        </w:rPr>
        <w:drawing>
          <wp:inline distT="0" distB="0" distL="0" distR="0" wp14:anchorId="30726AF3" wp14:editId="38AD97DA">
            <wp:extent cx="2815882" cy="2111912"/>
            <wp:effectExtent l="0" t="0" r="381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815882" cy="2111912"/>
                    </a:xfrm>
                    <a:prstGeom prst="rect">
                      <a:avLst/>
                    </a:prstGeom>
                  </pic:spPr>
                </pic:pic>
              </a:graphicData>
            </a:graphic>
          </wp:inline>
        </w:drawing>
      </w:r>
    </w:p>
    <w:p w14:paraId="3A01ACF4" w14:textId="3FE15E0F" w:rsidR="006D41DD" w:rsidRPr="00D1575A" w:rsidRDefault="006D41DD" w:rsidP="00AD1CF9">
      <w:pPr>
        <w:pStyle w:val="Caption"/>
      </w:pPr>
      <w:bookmarkStart w:id="19" w:name="_Ref142308650"/>
      <w:r w:rsidRPr="00D1575A">
        <w:t xml:space="preserve">Figure </w:t>
      </w:r>
      <w:r w:rsidR="0040381E">
        <w:fldChar w:fldCharType="begin"/>
      </w:r>
      <w:r w:rsidR="0040381E">
        <w:instrText xml:space="preserve"> SEQ Figure \* ARABIC </w:instrText>
      </w:r>
      <w:r w:rsidR="0040381E">
        <w:fldChar w:fldCharType="separate"/>
      </w:r>
      <w:r w:rsidR="000C0403">
        <w:rPr>
          <w:noProof/>
        </w:rPr>
        <w:t>11</w:t>
      </w:r>
      <w:r w:rsidR="0040381E">
        <w:rPr>
          <w:noProof/>
        </w:rPr>
        <w:fldChar w:fldCharType="end"/>
      </w:r>
      <w:bookmarkEnd w:id="19"/>
      <w:r w:rsidRPr="00D1575A">
        <w:t xml:space="preserve"> </w:t>
      </w:r>
      <w:r w:rsidR="00A24DDA">
        <w:t xml:space="preserve">SINR distribution </w:t>
      </w:r>
      <w:r w:rsidR="00A24DDA" w:rsidRPr="00D1575A">
        <w:t xml:space="preserve">in </w:t>
      </w:r>
      <w:r w:rsidR="00A24DDA">
        <w:t xml:space="preserve">Uni-directional Scenario B with </w:t>
      </w:r>
      <w:r w:rsidR="00A24DDA" w:rsidRPr="00D1575A">
        <w:t>DPS</w:t>
      </w:r>
      <w:r w:rsidR="00A24DDA">
        <w:t>, 2 beams per RRH</w:t>
      </w:r>
      <w:r w:rsidR="00A24DDA" w:rsidRPr="00D1575A">
        <w:t xml:space="preserve"> (left: </w:t>
      </w:r>
      <w:r w:rsidR="00650B69">
        <w:t>Same</w:t>
      </w:r>
      <w:r w:rsidR="00A24DDA">
        <w:t xml:space="preserve"> direction</w:t>
      </w:r>
      <w:r w:rsidR="00A24DDA" w:rsidRPr="00D1575A">
        <w:t xml:space="preserve">, right: </w:t>
      </w:r>
      <w:r w:rsidR="00650B69">
        <w:t>Opposite</w:t>
      </w:r>
      <w:r w:rsidR="00A24DDA">
        <w:t xml:space="preserve"> direction)</w:t>
      </w:r>
    </w:p>
    <w:p w14:paraId="3B37533A" w14:textId="2F78F36B" w:rsidR="00A24DDA" w:rsidRDefault="00A24DDA" w:rsidP="00A24DDA">
      <w:pPr>
        <w:pStyle w:val="RAN4H2"/>
      </w:pPr>
      <w:r>
        <w:t>General discussion on the simulation results</w:t>
      </w:r>
    </w:p>
    <w:p w14:paraId="63CFC43A" w14:textId="085975F7" w:rsidR="00EE323E" w:rsidRDefault="00EE323E" w:rsidP="00AD1CF9">
      <w:pPr>
        <w:jc w:val="both"/>
      </w:pPr>
      <w:r>
        <w:t xml:space="preserve">Following the above analysis, we can draw </w:t>
      </w:r>
      <w:r w:rsidR="00CF282C">
        <w:t xml:space="preserve">some </w:t>
      </w:r>
      <w:r>
        <w:t xml:space="preserve">observations on the mobility performance </w:t>
      </w:r>
      <w:proofErr w:type="spellStart"/>
      <w:r>
        <w:t>w.r.t.</w:t>
      </w:r>
      <w:proofErr w:type="spellEnd"/>
      <w:r>
        <w:t xml:space="preserve"> to the </w:t>
      </w:r>
      <w:r w:rsidR="00CF282C">
        <w:t xml:space="preserve">reduced </w:t>
      </w:r>
      <w:r>
        <w:t xml:space="preserve">scaling factor. Note that when using </w:t>
      </w:r>
      <w:r w:rsidRPr="00CF282C">
        <w:rPr>
          <w:b/>
          <w:bCs/>
        </w:rPr>
        <w:t>‘further enhanced scaling factors’</w:t>
      </w:r>
      <w:r>
        <w:t xml:space="preserve"> or </w:t>
      </w:r>
      <w:r w:rsidRPr="00CF282C">
        <w:rPr>
          <w:b/>
          <w:bCs/>
        </w:rPr>
        <w:t>‘reduced scaling factor’</w:t>
      </w:r>
      <w:r>
        <w:t xml:space="preserve"> we refer to factor </w:t>
      </w:r>
      <w:r w:rsidRPr="00CF282C">
        <w:rPr>
          <w:b/>
          <w:bCs/>
        </w:rPr>
        <w:t>N=1</w:t>
      </w:r>
      <w:r>
        <w:t xml:space="preserve"> in Scenario-A, and </w:t>
      </w:r>
      <w:r w:rsidRPr="00CF282C">
        <w:rPr>
          <w:b/>
          <w:bCs/>
        </w:rPr>
        <w:t>N=3</w:t>
      </w:r>
      <w:r>
        <w:t xml:space="preserve"> in Scenario-B, while ‘enhanced scaling factors’ means the values used in Rel-17 HST FR, i.e., N=2 in Scenario-A, and N=6 in Scenario-B.</w:t>
      </w:r>
    </w:p>
    <w:p w14:paraId="1862ACE7" w14:textId="74BEF806" w:rsidR="00A24DDA" w:rsidRDefault="00A24DDA" w:rsidP="00AD1CF9">
      <w:pPr>
        <w:jc w:val="both"/>
      </w:pPr>
      <w:r>
        <w:t xml:space="preserve">From the system simulations results </w:t>
      </w:r>
      <w:r w:rsidR="003119BF">
        <w:t xml:space="preserve">for </w:t>
      </w:r>
      <w:proofErr w:type="spellStart"/>
      <w:r w:rsidR="00EE323E">
        <w:t>uni</w:t>
      </w:r>
      <w:proofErr w:type="spellEnd"/>
      <w:r w:rsidR="00EE323E">
        <w:t xml:space="preserve">-directional deployment </w:t>
      </w:r>
      <w:r>
        <w:t>Scenario A and B, we can see that</w:t>
      </w:r>
      <w:r w:rsidR="003119BF">
        <w:t xml:space="preserve"> reduc</w:t>
      </w:r>
      <w:r w:rsidR="00B66F33">
        <w:t>ing</w:t>
      </w:r>
      <w:r w:rsidR="003119BF">
        <w:t xml:space="preserve"> scaling factor</w:t>
      </w:r>
      <w:r w:rsidR="00CF282C">
        <w:t>s</w:t>
      </w:r>
      <w:r w:rsidR="00B66F33">
        <w:t xml:space="preserve"> </w:t>
      </w:r>
      <w:r w:rsidR="003119BF">
        <w:t>increases the beam switching rate and beam ping-pong rate, and the increase</w:t>
      </w:r>
      <w:r w:rsidR="00B66F33">
        <w:t xml:space="preserve"> rate</w:t>
      </w:r>
      <w:r w:rsidR="003119BF">
        <w:t xml:space="preserve"> </w:t>
      </w:r>
      <w:r w:rsidR="00CF282C">
        <w:t>seems</w:t>
      </w:r>
      <w:r w:rsidR="003119BF">
        <w:t xml:space="preserve"> more significantly with low DRX cycles. </w:t>
      </w:r>
      <w:r w:rsidR="00B66F33">
        <w:t>On the other hand, t</w:t>
      </w:r>
      <w:r w:rsidR="003119BF">
        <w:t xml:space="preserve">he </w:t>
      </w:r>
      <w:r w:rsidR="00B66F33">
        <w:t xml:space="preserve">time-of-outage and the beam failure indication rate is clearly improved with the reduced scaling factor, especially when the train is moving opposite to the beam orientation and with </w:t>
      </w:r>
      <w:r w:rsidR="00FE27C1">
        <w:t>longer</w:t>
      </w:r>
      <w:r w:rsidR="00B66F33">
        <w:t xml:space="preserve"> DRX cycles used</w:t>
      </w:r>
      <w:r w:rsidR="00EE323E">
        <w:t xml:space="preserve">. It is worth noting that </w:t>
      </w:r>
      <w:r w:rsidR="00FE27C1">
        <w:t>long</w:t>
      </w:r>
      <w:r w:rsidR="00EE323E">
        <w:t xml:space="preserve"> DRX</w:t>
      </w:r>
      <w:r w:rsidR="00FE27C1">
        <w:t xml:space="preserve"> cycles</w:t>
      </w:r>
      <w:r w:rsidR="00EE323E">
        <w:t xml:space="preserve"> and opposite train-traveling-and-beam-orientation i</w:t>
      </w:r>
      <w:r w:rsidR="00B66F33">
        <w:t xml:space="preserve">s posing problem with </w:t>
      </w:r>
      <w:r w:rsidR="00EE323E">
        <w:t>current enhanced scaling factor</w:t>
      </w:r>
      <w:r w:rsidR="00FE27C1">
        <w:t xml:space="preserve"> defined in Rel-17</w:t>
      </w:r>
      <w:r w:rsidR="00EE323E">
        <w:t>. The</w:t>
      </w:r>
      <w:r w:rsidR="00BE1893">
        <w:t xml:space="preserve"> further enhanced</w:t>
      </w:r>
      <w:r w:rsidR="00EE323E">
        <w:t xml:space="preserve"> scaling factor also brings some gain to the SINR level in low SINR percentiles</w:t>
      </w:r>
      <w:r w:rsidR="00FE27C1">
        <w:t>, especially for long DRX cycles.</w:t>
      </w:r>
    </w:p>
    <w:p w14:paraId="4D1445FA" w14:textId="2417AF84" w:rsidR="00C12F4F" w:rsidRDefault="00C12F4F" w:rsidP="00AD1CF9">
      <w:pPr>
        <w:jc w:val="both"/>
      </w:pPr>
      <w:r>
        <w:t>The</w:t>
      </w:r>
      <w:r w:rsidR="00FE27C1">
        <w:t xml:space="preserve"> results with the reduced scaling factor</w:t>
      </w:r>
      <w:r>
        <w:t xml:space="preserve"> are understandable because the measurements and the reports are done </w:t>
      </w:r>
      <w:r w:rsidR="00FE27C1">
        <w:t xml:space="preserve">twice </w:t>
      </w:r>
      <w:r>
        <w:t xml:space="preserve">more frequently with the further reduced scaling, thus </w:t>
      </w:r>
      <w:r w:rsidR="00E0004A">
        <w:t xml:space="preserve">the </w:t>
      </w:r>
      <w:r>
        <w:t xml:space="preserve">network </w:t>
      </w:r>
      <w:r w:rsidR="0042374C">
        <w:t>can</w:t>
      </w:r>
      <w:r>
        <w:t xml:space="preserve"> </w:t>
      </w:r>
      <w:r w:rsidR="00E0004A">
        <w:t>monitor more closely the variation of channel conditions and</w:t>
      </w:r>
      <w:r w:rsidR="0042374C">
        <w:t xml:space="preserve"> accordingly</w:t>
      </w:r>
      <w:r w:rsidR="00E0004A">
        <w:t xml:space="preserve"> select the best beams </w:t>
      </w:r>
      <w:r w:rsidR="00FE27C1">
        <w:t>to serve</w:t>
      </w:r>
      <w:r w:rsidR="00E0004A">
        <w:t xml:space="preserve"> the U</w:t>
      </w:r>
      <w:r w:rsidR="0042374C">
        <w:t>E</w:t>
      </w:r>
      <w:r w:rsidR="00E0004A">
        <w:t xml:space="preserve">. This, on one hand, increases the beam switching rate and ping-pong rate. On the other hand, since the network can react faster to the </w:t>
      </w:r>
      <w:r w:rsidR="0042374C">
        <w:t xml:space="preserve">degradation of </w:t>
      </w:r>
      <w:r w:rsidR="00E0004A">
        <w:t>channel condition, it should be able to reduce</w:t>
      </w:r>
      <w:r w:rsidR="00A25112">
        <w:t xml:space="preserve"> the beam failures</w:t>
      </w:r>
      <w:r w:rsidR="00E0004A">
        <w:t xml:space="preserve"> </w:t>
      </w:r>
      <w:r w:rsidR="00A25112">
        <w:t>and</w:t>
      </w:r>
      <w:r w:rsidR="00E0004A">
        <w:t xml:space="preserve"> </w:t>
      </w:r>
      <w:r w:rsidR="00A25112">
        <w:t xml:space="preserve">the </w:t>
      </w:r>
      <w:r w:rsidR="00E0004A">
        <w:t xml:space="preserve">outage </w:t>
      </w:r>
      <w:r w:rsidR="00A25112">
        <w:t>due to low SINR</w:t>
      </w:r>
      <w:r w:rsidR="000A5D43">
        <w:t xml:space="preserve"> occurred especially when the train is moving opposite to the beam orientation and with high DRX cycles used</w:t>
      </w:r>
      <w:r w:rsidR="0014403C">
        <w:t>.</w:t>
      </w:r>
    </w:p>
    <w:p w14:paraId="09D1909B" w14:textId="718D4B27" w:rsidR="00B66F33" w:rsidRDefault="00EE323E" w:rsidP="00AD1CF9">
      <w:pPr>
        <w:pStyle w:val="RAN4observation0"/>
        <w:jc w:val="both"/>
      </w:pPr>
      <w:bookmarkStart w:id="20" w:name="_Toc142687423"/>
      <w:r>
        <w:t xml:space="preserve">For </w:t>
      </w:r>
      <w:proofErr w:type="spellStart"/>
      <w:r>
        <w:t>uni</w:t>
      </w:r>
      <w:proofErr w:type="spellEnd"/>
      <w:r>
        <w:t>-directional deployment, reducing scaling factor increases the beam switching and ping-pong rates, but decreases the time of outage and beam failure indication rate while improving the SINR level in low SINR percentiles.</w:t>
      </w:r>
      <w:bookmarkEnd w:id="20"/>
      <w:r>
        <w:t xml:space="preserve"> </w:t>
      </w:r>
    </w:p>
    <w:p w14:paraId="76798703" w14:textId="2E820FDF" w:rsidR="00BE1893" w:rsidRDefault="00FE27C1" w:rsidP="00AD1CF9">
      <w:pPr>
        <w:pStyle w:val="RAN4observation0"/>
        <w:jc w:val="both"/>
      </w:pPr>
      <w:bookmarkStart w:id="21" w:name="_Toc142687424"/>
      <w:r>
        <w:t>Reduced</w:t>
      </w:r>
      <w:r w:rsidR="00BE1893">
        <w:t xml:space="preserve"> scaling factor</w:t>
      </w:r>
      <w:r>
        <w:t>s</w:t>
      </w:r>
      <w:r w:rsidR="00BE1893">
        <w:t xml:space="preserve"> improve mobility performance</w:t>
      </w:r>
      <w:r>
        <w:t>s</w:t>
      </w:r>
      <w:r w:rsidR="00BE1893">
        <w:t xml:space="preserve"> especially in cases when the train is moving opposite to the beam orientation and with </w:t>
      </w:r>
      <w:r>
        <w:t>long</w:t>
      </w:r>
      <w:r w:rsidR="00BE1893">
        <w:t xml:space="preserve"> DRX cycles used.</w:t>
      </w:r>
      <w:bookmarkEnd w:id="21"/>
    </w:p>
    <w:p w14:paraId="7B41955E" w14:textId="08E51D6E" w:rsidR="0014403C" w:rsidRDefault="0014403C" w:rsidP="00AD1CF9">
      <w:pPr>
        <w:jc w:val="both"/>
      </w:pPr>
      <w:r>
        <w:t xml:space="preserve">As mentioned earlier, the bi-directional </w:t>
      </w:r>
      <w:r w:rsidR="00CE0916">
        <w:t xml:space="preserve">deployment </w:t>
      </w:r>
      <w:r>
        <w:t xml:space="preserve">with the UE capable of doing simultaneously data reception and measurement can be analyzed as a combination of two unidirectional deployments from the mobility point of view. </w:t>
      </w:r>
      <w:r w:rsidR="006F76A1">
        <w:t>I</w:t>
      </w:r>
      <w:r>
        <w:t xml:space="preserve">t is also noticeable from the simulation results that the behaviors </w:t>
      </w:r>
      <w:proofErr w:type="spellStart"/>
      <w:r>
        <w:t>w.r.t.</w:t>
      </w:r>
      <w:proofErr w:type="spellEnd"/>
      <w:r>
        <w:t xml:space="preserve"> DRX cycles of the considered mobility performances are the same for both moving directions </w:t>
      </w:r>
      <w:r w:rsidR="00FE27C1">
        <w:t xml:space="preserve">of the train </w:t>
      </w:r>
      <w:r w:rsidR="006F76A1">
        <w:t>(‘same’ and ‘opposite’)</w:t>
      </w:r>
      <w:r>
        <w:t>. Thus, the Observation</w:t>
      </w:r>
      <w:r w:rsidR="006F5F11">
        <w:t>s</w:t>
      </w:r>
      <w:r>
        <w:t xml:space="preserve"> 1 and 2 </w:t>
      </w:r>
      <w:r w:rsidR="006F76A1">
        <w:t>could be generalized</w:t>
      </w:r>
      <w:r>
        <w:t xml:space="preserve"> to the </w:t>
      </w:r>
      <w:r w:rsidR="00CE0916">
        <w:t>bi-directional deployment with simultaneous two-panel measurement and reception.</w:t>
      </w:r>
    </w:p>
    <w:p w14:paraId="205A7ED3" w14:textId="62F85F9F" w:rsidR="0014403C" w:rsidRDefault="0014403C" w:rsidP="00AD1CF9">
      <w:pPr>
        <w:pStyle w:val="RAN4observation0"/>
        <w:jc w:val="both"/>
      </w:pPr>
      <w:bookmarkStart w:id="22" w:name="_Toc142687425"/>
      <w:r>
        <w:t xml:space="preserve">Observation 1 and Observation </w:t>
      </w:r>
      <w:r w:rsidR="006F76A1">
        <w:t xml:space="preserve">2 could be generalized </w:t>
      </w:r>
      <w:r>
        <w:t>to the bi-directional deployment with the UE capable of doing simultaneously data reception and measurement.</w:t>
      </w:r>
      <w:bookmarkEnd w:id="22"/>
    </w:p>
    <w:p w14:paraId="27D62EAA" w14:textId="77777777" w:rsidR="0014403C" w:rsidRPr="0014403C" w:rsidRDefault="0014403C" w:rsidP="00AD1CF9">
      <w:pPr>
        <w:jc w:val="both"/>
      </w:pPr>
    </w:p>
    <w:p w14:paraId="6E8F411A" w14:textId="77777777" w:rsidR="00CD7492" w:rsidRPr="008C39F7" w:rsidRDefault="00CD7492" w:rsidP="00A37002">
      <w:pPr>
        <w:pStyle w:val="RAN4H1"/>
      </w:pPr>
      <w:bookmarkStart w:id="23" w:name="_Toc116995848"/>
      <w:r w:rsidRPr="008C39F7">
        <w:lastRenderedPageBreak/>
        <w:t>Conclusion</w:t>
      </w:r>
      <w:bookmarkEnd w:id="23"/>
    </w:p>
    <w:p w14:paraId="7F907092" w14:textId="06A84C69" w:rsidR="007C5971" w:rsidRPr="00C51B8D" w:rsidRDefault="00C51B8D" w:rsidP="007A426F">
      <w:pPr>
        <w:jc w:val="both"/>
        <w:rPr>
          <w:lang w:val="en-GB"/>
        </w:rPr>
      </w:pPr>
      <w:r w:rsidRPr="00C51B8D">
        <w:t xml:space="preserve">In this paper we provide a new sets of system-level mobility performance simulation results with further enhanced Rx beam sweeping factors, i.e., N=1 in Scenario-A, and N=3 in Scenario-B, in </w:t>
      </w:r>
      <w:proofErr w:type="spellStart"/>
      <w:r>
        <w:t>uni</w:t>
      </w:r>
      <w:proofErr w:type="spellEnd"/>
      <w:r>
        <w:t>-directional deployment for DSP scheme (L1 mobility).</w:t>
      </w:r>
      <w:r w:rsidRPr="00C51B8D">
        <w:t xml:space="preserve"> The results provide some insights to the potential gains that could be achieved with simultaneous two-panel measurements and reception.</w:t>
      </w:r>
    </w:p>
    <w:p w14:paraId="633BA026" w14:textId="77777777" w:rsidR="00E55751" w:rsidRPr="008C39F7" w:rsidRDefault="008B0961" w:rsidP="007A426F">
      <w:pPr>
        <w:jc w:val="both"/>
      </w:pPr>
      <w:r w:rsidRPr="008C39F7">
        <w:t>In the paper, t</w:t>
      </w:r>
      <w:r w:rsidR="005B4801" w:rsidRPr="008C39F7">
        <w:t xml:space="preserve">he following Observations </w:t>
      </w:r>
      <w:r w:rsidRPr="008C39F7">
        <w:t>and</w:t>
      </w:r>
      <w:r w:rsidR="005B4801" w:rsidRPr="008C39F7">
        <w:t xml:space="preserve"> Proposals were made:</w:t>
      </w:r>
    </w:p>
    <w:p w14:paraId="71E0316C" w14:textId="3320AA60" w:rsidR="004830F8"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87423" w:history="1">
        <w:r w:rsidR="004830F8" w:rsidRPr="006B55B5">
          <w:rPr>
            <w:rStyle w:val="Hyperlink"/>
            <w:b/>
            <w:noProof/>
          </w:rPr>
          <w:t>Observation 1:</w:t>
        </w:r>
        <w:r w:rsidR="004830F8" w:rsidRPr="006B55B5">
          <w:rPr>
            <w:rStyle w:val="Hyperlink"/>
            <w:noProof/>
          </w:rPr>
          <w:t xml:space="preserve"> For uni-directional deployment, reducing scaling factor increases the beam switching and ping-pong rates, but decreases the time of outage and beam failure indication rate while improving the SINR level in low SINR percentiles.</w:t>
        </w:r>
      </w:hyperlink>
    </w:p>
    <w:p w14:paraId="40D4F94A" w14:textId="140EA755" w:rsidR="004830F8" w:rsidRDefault="004830F8">
      <w:pPr>
        <w:pStyle w:val="TOC4"/>
        <w:tabs>
          <w:tab w:val="right" w:leader="dot" w:pos="9617"/>
        </w:tabs>
        <w:rPr>
          <w:rFonts w:asciiTheme="minorHAnsi" w:eastAsiaTheme="minorEastAsia" w:hAnsiTheme="minorHAnsi"/>
          <w:noProof/>
          <w:kern w:val="2"/>
          <w:sz w:val="22"/>
          <w14:ligatures w14:val="standardContextual"/>
        </w:rPr>
      </w:pPr>
      <w:hyperlink w:anchor="_Toc142687424" w:history="1">
        <w:r w:rsidRPr="006B55B5">
          <w:rPr>
            <w:rStyle w:val="Hyperlink"/>
            <w:b/>
            <w:noProof/>
          </w:rPr>
          <w:t>Observation 2:</w:t>
        </w:r>
        <w:r w:rsidRPr="006B55B5">
          <w:rPr>
            <w:rStyle w:val="Hyperlink"/>
            <w:noProof/>
          </w:rPr>
          <w:t xml:space="preserve"> Reduced scaling factors improve mobility performances especially in cases when the train is moving opposite to the beam orientation and with long DRX cycles used.</w:t>
        </w:r>
      </w:hyperlink>
    </w:p>
    <w:p w14:paraId="456C6BDE" w14:textId="64F4F605" w:rsidR="004830F8" w:rsidRDefault="004830F8">
      <w:pPr>
        <w:pStyle w:val="TOC4"/>
        <w:tabs>
          <w:tab w:val="right" w:leader="dot" w:pos="9617"/>
        </w:tabs>
        <w:rPr>
          <w:rFonts w:asciiTheme="minorHAnsi" w:eastAsiaTheme="minorEastAsia" w:hAnsiTheme="minorHAnsi"/>
          <w:noProof/>
          <w:kern w:val="2"/>
          <w:sz w:val="22"/>
          <w14:ligatures w14:val="standardContextual"/>
        </w:rPr>
      </w:pPr>
      <w:hyperlink w:anchor="_Toc142687425" w:history="1">
        <w:r w:rsidRPr="006B55B5">
          <w:rPr>
            <w:rStyle w:val="Hyperlink"/>
            <w:b/>
            <w:noProof/>
          </w:rPr>
          <w:t>Observation 3:</w:t>
        </w:r>
        <w:r w:rsidRPr="006B55B5">
          <w:rPr>
            <w:rStyle w:val="Hyperlink"/>
            <w:noProof/>
          </w:rPr>
          <w:t xml:space="preserve"> Observation 1 and Observation 2 could be generalized to the bi-directional deployment with the UE capable of doing simultaneously data reception and measurement.</w:t>
        </w:r>
      </w:hyperlink>
    </w:p>
    <w:p w14:paraId="308178B4" w14:textId="6B72F146" w:rsidR="00847264" w:rsidRPr="008C39F7" w:rsidRDefault="00A4355E" w:rsidP="007A426F">
      <w:pPr>
        <w:jc w:val="both"/>
      </w:pPr>
      <w:r w:rsidRPr="008C39F7">
        <w:fldChar w:fldCharType="end"/>
      </w:r>
      <w:bookmarkStart w:id="24" w:name="_Toc116995849"/>
    </w:p>
    <w:p w14:paraId="720056D9" w14:textId="77777777" w:rsidR="003B659E" w:rsidRPr="008C39F7" w:rsidRDefault="003B659E" w:rsidP="0060543D">
      <w:pPr>
        <w:pStyle w:val="RAN4H1"/>
        <w:numPr>
          <w:ilvl w:val="0"/>
          <w:numId w:val="0"/>
        </w:numPr>
        <w:ind w:left="360" w:hanging="360"/>
      </w:pPr>
      <w:r w:rsidRPr="008C39F7">
        <w:t>References</w:t>
      </w:r>
      <w:bookmarkEnd w:id="24"/>
    </w:p>
    <w:p w14:paraId="185370DA" w14:textId="286EFCA0" w:rsidR="00DE1891" w:rsidRPr="00C72467" w:rsidRDefault="00DE1891" w:rsidP="00DE1891">
      <w:pPr>
        <w:pStyle w:val="ListParagraph"/>
        <w:numPr>
          <w:ilvl w:val="0"/>
          <w:numId w:val="21"/>
        </w:numPr>
      </w:pPr>
      <w:bookmarkStart w:id="25" w:name="_Ref114500673"/>
      <w:bookmarkStart w:id="26" w:name="_Ref118741312"/>
      <w:bookmarkStart w:id="27" w:name="_Ref115391339"/>
      <w:bookmarkEnd w:id="25"/>
      <w:r w:rsidRPr="00C72467">
        <w:t xml:space="preserve">RP-220985, New WID on enhanced NR support for </w:t>
      </w:r>
      <w:r w:rsidR="00443C42" w:rsidRPr="00C72467">
        <w:t>high-speed</w:t>
      </w:r>
      <w:r w:rsidRPr="00C72467">
        <w:t xml:space="preserve"> train scenario in frequency range 2 (FR2), Samsung, RAN#95-e, March 17-23, 2022.</w:t>
      </w:r>
      <w:bookmarkEnd w:id="26"/>
    </w:p>
    <w:p w14:paraId="2AD1261A" w14:textId="53E2A711" w:rsidR="00DE1891" w:rsidRDefault="00DE1891" w:rsidP="00DE1891">
      <w:pPr>
        <w:pStyle w:val="ListParagraph"/>
        <w:numPr>
          <w:ilvl w:val="0"/>
          <w:numId w:val="21"/>
        </w:numPr>
        <w:tabs>
          <w:tab w:val="center" w:pos="4153"/>
          <w:tab w:val="right" w:pos="8306"/>
        </w:tabs>
        <w:ind w:right="-22"/>
      </w:pPr>
      <w:bookmarkStart w:id="28" w:name="_Ref142311493"/>
      <w:r w:rsidRPr="00DE1891">
        <w:t>R4-2219716</w:t>
      </w:r>
      <w:r>
        <w:t xml:space="preserve">, </w:t>
      </w:r>
      <w:r w:rsidRPr="00DE1891">
        <w:t>Simulation Results for Mobility Performance of Multi-Panel UEs in HST FR2 Enhanced</w:t>
      </w:r>
      <w:r>
        <w:t xml:space="preserve">, Nokia, RAN4#105, </w:t>
      </w:r>
      <w:r w:rsidRPr="00F51B66">
        <w:t>November 14 – November 18, 2022</w:t>
      </w:r>
      <w:r>
        <w:t>.</w:t>
      </w:r>
      <w:bookmarkEnd w:id="28"/>
    </w:p>
    <w:p w14:paraId="7B4F9C91" w14:textId="44DE5BD8" w:rsidR="00DE1891" w:rsidRPr="008425A3" w:rsidRDefault="00DE1891" w:rsidP="00DE1891">
      <w:pPr>
        <w:pStyle w:val="ListParagraph"/>
        <w:numPr>
          <w:ilvl w:val="0"/>
          <w:numId w:val="21"/>
        </w:numPr>
        <w:tabs>
          <w:tab w:val="center" w:pos="4153"/>
          <w:tab w:val="right" w:pos="8306"/>
        </w:tabs>
        <w:ind w:right="-22"/>
      </w:pPr>
      <w:bookmarkStart w:id="29" w:name="_Ref142307720"/>
      <w:r>
        <w:t xml:space="preserve">3GPP </w:t>
      </w:r>
      <w:r w:rsidRPr="00417D72">
        <w:t>T</w:t>
      </w:r>
      <w:r>
        <w:t>R</w:t>
      </w:r>
      <w:r w:rsidRPr="00417D72">
        <w:t xml:space="preserve"> 3</w:t>
      </w:r>
      <w:r>
        <w:t>8</w:t>
      </w:r>
      <w:r w:rsidRPr="00417D72">
        <w:t>.</w:t>
      </w:r>
      <w:r>
        <w:t xml:space="preserve">854 </w:t>
      </w:r>
      <w:r w:rsidRPr="00D84D4C">
        <w:rPr>
          <w:szCs w:val="20"/>
        </w:rPr>
        <w:t>v17.1.0</w:t>
      </w:r>
      <w:r w:rsidRPr="00417D72">
        <w:t xml:space="preserve">: </w:t>
      </w:r>
      <w:r w:rsidRPr="003A7779">
        <w:t>“</w:t>
      </w:r>
      <w:r>
        <w:t xml:space="preserve">NR; </w:t>
      </w:r>
      <w:r w:rsidRPr="00D84D4C">
        <w:t xml:space="preserve">NR support for </w:t>
      </w:r>
      <w:r w:rsidR="00443C42" w:rsidRPr="00D84D4C">
        <w:t>high-speed</w:t>
      </w:r>
      <w:r w:rsidRPr="00D84D4C">
        <w:t xml:space="preserve"> train scenario in frequency range 2 (FR2)</w:t>
      </w:r>
      <w:r>
        <w:t>”.</w:t>
      </w:r>
      <w:bookmarkEnd w:id="27"/>
      <w:bookmarkEnd w:id="29"/>
    </w:p>
    <w:p w14:paraId="2487CB17" w14:textId="2F2D973A" w:rsidR="000040DC" w:rsidRPr="00847264" w:rsidRDefault="006E15E2" w:rsidP="000040DC">
      <w:pPr>
        <w:pStyle w:val="ListParagraph"/>
        <w:numPr>
          <w:ilvl w:val="0"/>
          <w:numId w:val="21"/>
        </w:numPr>
        <w:ind w:right="-22"/>
      </w:pPr>
      <w:bookmarkStart w:id="30" w:name="_Ref142311825"/>
      <w:r w:rsidRPr="006E15E2">
        <w:t>R4-2312188</w:t>
      </w:r>
      <w:r w:rsidR="00265025">
        <w:t xml:space="preserve">, </w:t>
      </w:r>
      <w:r w:rsidR="00265025" w:rsidRPr="00265025">
        <w:t>On Simultaneous Multi-Panel Reception in HST FR2 Enhanced</w:t>
      </w:r>
      <w:r w:rsidR="00265025">
        <w:t>, Nokia, RAN4#108, August 22</w:t>
      </w:r>
      <w:r w:rsidR="00265025" w:rsidRPr="00F51B66">
        <w:t>–</w:t>
      </w:r>
      <w:r w:rsidR="00265025">
        <w:t>26</w:t>
      </w:r>
      <w:r w:rsidR="00265025" w:rsidRPr="00F51B66">
        <w:t>, 202</w:t>
      </w:r>
      <w:r w:rsidR="00265025">
        <w:t>3.</w:t>
      </w:r>
      <w:bookmarkEnd w:id="30"/>
    </w:p>
    <w:sectPr w:rsidR="000040DC" w:rsidRPr="00847264" w:rsidSect="00806A76">
      <w:footerReference w:type="even" r:id="rId35"/>
      <w:footerReference w:type="default" r:id="rId36"/>
      <w:footerReference w:type="first" r:id="rId3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DFE2A" w14:textId="77777777" w:rsidR="000825B8" w:rsidRDefault="000825B8" w:rsidP="00001C9B">
      <w:pPr>
        <w:spacing w:after="0" w:line="240" w:lineRule="auto"/>
      </w:pPr>
      <w:r>
        <w:separator/>
      </w:r>
    </w:p>
  </w:endnote>
  <w:endnote w:type="continuationSeparator" w:id="0">
    <w:p w14:paraId="0C3AED5C" w14:textId="77777777" w:rsidR="000825B8" w:rsidRDefault="000825B8" w:rsidP="00001C9B">
      <w:pPr>
        <w:spacing w:after="0" w:line="240" w:lineRule="auto"/>
      </w:pPr>
      <w:r>
        <w:continuationSeparator/>
      </w:r>
    </w:p>
  </w:endnote>
  <w:endnote w:type="continuationNotice" w:id="1">
    <w:p w14:paraId="50314D33" w14:textId="77777777" w:rsidR="000825B8" w:rsidRDefault="000825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95C49" w14:textId="6ACD53CF" w:rsidR="00A06552" w:rsidRDefault="00A06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A4371" w14:textId="2ECC16D2" w:rsidR="00A06552" w:rsidRDefault="00A06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4644" w14:textId="787E8EF4" w:rsidR="00A06552" w:rsidRDefault="00A06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BB52" w14:textId="77777777" w:rsidR="000825B8" w:rsidRDefault="000825B8" w:rsidP="00001C9B">
      <w:pPr>
        <w:spacing w:after="0" w:line="240" w:lineRule="auto"/>
      </w:pPr>
      <w:r>
        <w:separator/>
      </w:r>
    </w:p>
  </w:footnote>
  <w:footnote w:type="continuationSeparator" w:id="0">
    <w:p w14:paraId="6946441F" w14:textId="77777777" w:rsidR="000825B8" w:rsidRDefault="000825B8" w:rsidP="00001C9B">
      <w:pPr>
        <w:spacing w:after="0" w:line="240" w:lineRule="auto"/>
      </w:pPr>
      <w:r>
        <w:continuationSeparator/>
      </w:r>
    </w:p>
  </w:footnote>
  <w:footnote w:type="continuationNotice" w:id="1">
    <w:p w14:paraId="4EB371F6" w14:textId="77777777" w:rsidR="000825B8" w:rsidRDefault="000825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3E5224"/>
    <w:multiLevelType w:val="hybridMultilevel"/>
    <w:tmpl w:val="1ADE0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56593"/>
    <w:multiLevelType w:val="hybridMultilevel"/>
    <w:tmpl w:val="1B8C0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AB2C10"/>
    <w:multiLevelType w:val="hybridMultilevel"/>
    <w:tmpl w:val="4164E9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12128564">
    <w:abstractNumId w:val="17"/>
  </w:num>
  <w:num w:numId="28" w16cid:durableId="1619875481">
    <w:abstractNumId w:val="14"/>
  </w:num>
  <w:num w:numId="29" w16cid:durableId="525557703">
    <w:abstractNumId w:val="4"/>
  </w:num>
  <w:num w:numId="30" w16cid:durableId="800727167">
    <w:abstractNumId w:val="8"/>
  </w:num>
  <w:num w:numId="31" w16cid:durableId="692539423">
    <w:abstractNumId w:val="3"/>
  </w:num>
  <w:num w:numId="32" w16cid:durableId="9530937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63246"/>
    <w:rsid w:val="00001C9B"/>
    <w:rsid w:val="000040DC"/>
    <w:rsid w:val="00011784"/>
    <w:rsid w:val="000151EF"/>
    <w:rsid w:val="000239F5"/>
    <w:rsid w:val="0002455A"/>
    <w:rsid w:val="00025FCB"/>
    <w:rsid w:val="00041830"/>
    <w:rsid w:val="00051692"/>
    <w:rsid w:val="00052454"/>
    <w:rsid w:val="00057C43"/>
    <w:rsid w:val="00066D78"/>
    <w:rsid w:val="00073E53"/>
    <w:rsid w:val="000825B8"/>
    <w:rsid w:val="000853BB"/>
    <w:rsid w:val="0008612A"/>
    <w:rsid w:val="00090E18"/>
    <w:rsid w:val="000A10BC"/>
    <w:rsid w:val="000A5D43"/>
    <w:rsid w:val="000B0056"/>
    <w:rsid w:val="000B389A"/>
    <w:rsid w:val="000C0403"/>
    <w:rsid w:val="000C3C7B"/>
    <w:rsid w:val="000D0F93"/>
    <w:rsid w:val="000E33C8"/>
    <w:rsid w:val="001039D6"/>
    <w:rsid w:val="00106416"/>
    <w:rsid w:val="0010653D"/>
    <w:rsid w:val="00110481"/>
    <w:rsid w:val="001127C9"/>
    <w:rsid w:val="00114498"/>
    <w:rsid w:val="00115B88"/>
    <w:rsid w:val="0011673D"/>
    <w:rsid w:val="00121AD8"/>
    <w:rsid w:val="00132F6A"/>
    <w:rsid w:val="00133913"/>
    <w:rsid w:val="00140221"/>
    <w:rsid w:val="0014403C"/>
    <w:rsid w:val="0016282E"/>
    <w:rsid w:val="001642FC"/>
    <w:rsid w:val="0016496B"/>
    <w:rsid w:val="001743E2"/>
    <w:rsid w:val="00174415"/>
    <w:rsid w:val="001745F8"/>
    <w:rsid w:val="00175799"/>
    <w:rsid w:val="001816EC"/>
    <w:rsid w:val="001838CF"/>
    <w:rsid w:val="001868EE"/>
    <w:rsid w:val="001A3BA4"/>
    <w:rsid w:val="001A6D1F"/>
    <w:rsid w:val="001C221B"/>
    <w:rsid w:val="001E30F6"/>
    <w:rsid w:val="001F316C"/>
    <w:rsid w:val="001F39FA"/>
    <w:rsid w:val="00203D74"/>
    <w:rsid w:val="00204B0A"/>
    <w:rsid w:val="00217EE5"/>
    <w:rsid w:val="00220623"/>
    <w:rsid w:val="00235C0B"/>
    <w:rsid w:val="00235F5C"/>
    <w:rsid w:val="00257FA3"/>
    <w:rsid w:val="00265025"/>
    <w:rsid w:val="00276CC1"/>
    <w:rsid w:val="002772DC"/>
    <w:rsid w:val="002779C1"/>
    <w:rsid w:val="00277B56"/>
    <w:rsid w:val="00286EAF"/>
    <w:rsid w:val="002A19F5"/>
    <w:rsid w:val="002A69D3"/>
    <w:rsid w:val="002B4922"/>
    <w:rsid w:val="002B6740"/>
    <w:rsid w:val="002C22C3"/>
    <w:rsid w:val="002C2D19"/>
    <w:rsid w:val="002D10FA"/>
    <w:rsid w:val="002D4C55"/>
    <w:rsid w:val="002E6DED"/>
    <w:rsid w:val="002F146E"/>
    <w:rsid w:val="002F3283"/>
    <w:rsid w:val="00300956"/>
    <w:rsid w:val="00306DC0"/>
    <w:rsid w:val="00307D85"/>
    <w:rsid w:val="003119BF"/>
    <w:rsid w:val="00315B0A"/>
    <w:rsid w:val="00317102"/>
    <w:rsid w:val="00317187"/>
    <w:rsid w:val="00317BBD"/>
    <w:rsid w:val="0032499A"/>
    <w:rsid w:val="003341F7"/>
    <w:rsid w:val="00334361"/>
    <w:rsid w:val="00346B29"/>
    <w:rsid w:val="00347FEC"/>
    <w:rsid w:val="00355EB3"/>
    <w:rsid w:val="00356F45"/>
    <w:rsid w:val="00361F9B"/>
    <w:rsid w:val="00366B74"/>
    <w:rsid w:val="00370BF3"/>
    <w:rsid w:val="003725D2"/>
    <w:rsid w:val="00384E09"/>
    <w:rsid w:val="003A0DEB"/>
    <w:rsid w:val="003A1281"/>
    <w:rsid w:val="003A222D"/>
    <w:rsid w:val="003A4745"/>
    <w:rsid w:val="003A710A"/>
    <w:rsid w:val="003B50EF"/>
    <w:rsid w:val="003B659E"/>
    <w:rsid w:val="003C275E"/>
    <w:rsid w:val="003C4FDE"/>
    <w:rsid w:val="003E58DF"/>
    <w:rsid w:val="003F2FC1"/>
    <w:rsid w:val="0040381E"/>
    <w:rsid w:val="00404C4C"/>
    <w:rsid w:val="0041423F"/>
    <w:rsid w:val="00414F81"/>
    <w:rsid w:val="0041513C"/>
    <w:rsid w:val="0042374C"/>
    <w:rsid w:val="00427F5B"/>
    <w:rsid w:val="00436A0F"/>
    <w:rsid w:val="00437150"/>
    <w:rsid w:val="0043750A"/>
    <w:rsid w:val="00443C42"/>
    <w:rsid w:val="004457A3"/>
    <w:rsid w:val="004669BB"/>
    <w:rsid w:val="004732E9"/>
    <w:rsid w:val="004830F8"/>
    <w:rsid w:val="0048323A"/>
    <w:rsid w:val="004854BB"/>
    <w:rsid w:val="00494493"/>
    <w:rsid w:val="00496606"/>
    <w:rsid w:val="004A443E"/>
    <w:rsid w:val="004C3C77"/>
    <w:rsid w:val="004E0D6B"/>
    <w:rsid w:val="004E5E66"/>
    <w:rsid w:val="004E7ADB"/>
    <w:rsid w:val="004E7E1F"/>
    <w:rsid w:val="00503B4D"/>
    <w:rsid w:val="00504EE9"/>
    <w:rsid w:val="00521576"/>
    <w:rsid w:val="005250E6"/>
    <w:rsid w:val="00542226"/>
    <w:rsid w:val="00542D23"/>
    <w:rsid w:val="0054442C"/>
    <w:rsid w:val="00550285"/>
    <w:rsid w:val="00562492"/>
    <w:rsid w:val="00572A20"/>
    <w:rsid w:val="005748EC"/>
    <w:rsid w:val="0058318B"/>
    <w:rsid w:val="005836F8"/>
    <w:rsid w:val="005918FA"/>
    <w:rsid w:val="00592A86"/>
    <w:rsid w:val="00594570"/>
    <w:rsid w:val="005B0837"/>
    <w:rsid w:val="005B1A57"/>
    <w:rsid w:val="005B4801"/>
    <w:rsid w:val="005C23A4"/>
    <w:rsid w:val="005D1CDF"/>
    <w:rsid w:val="005D2BB7"/>
    <w:rsid w:val="005D59FC"/>
    <w:rsid w:val="005E61A8"/>
    <w:rsid w:val="005F6419"/>
    <w:rsid w:val="0060543D"/>
    <w:rsid w:val="006104DD"/>
    <w:rsid w:val="006130B5"/>
    <w:rsid w:val="00617400"/>
    <w:rsid w:val="00632D29"/>
    <w:rsid w:val="00635188"/>
    <w:rsid w:val="0064492E"/>
    <w:rsid w:val="00650B69"/>
    <w:rsid w:val="00652587"/>
    <w:rsid w:val="00663246"/>
    <w:rsid w:val="006640CF"/>
    <w:rsid w:val="00664950"/>
    <w:rsid w:val="00665377"/>
    <w:rsid w:val="00672C16"/>
    <w:rsid w:val="0067678F"/>
    <w:rsid w:val="00683220"/>
    <w:rsid w:val="00687FA0"/>
    <w:rsid w:val="00691CD9"/>
    <w:rsid w:val="00694E5E"/>
    <w:rsid w:val="006A3C11"/>
    <w:rsid w:val="006B14CD"/>
    <w:rsid w:val="006B1890"/>
    <w:rsid w:val="006B7010"/>
    <w:rsid w:val="006C1F79"/>
    <w:rsid w:val="006C3095"/>
    <w:rsid w:val="006D41DD"/>
    <w:rsid w:val="006E1151"/>
    <w:rsid w:val="006E15E2"/>
    <w:rsid w:val="006E6311"/>
    <w:rsid w:val="006F3CE0"/>
    <w:rsid w:val="006F5F11"/>
    <w:rsid w:val="006F6245"/>
    <w:rsid w:val="006F76A1"/>
    <w:rsid w:val="0070129A"/>
    <w:rsid w:val="00705BF9"/>
    <w:rsid w:val="007145FF"/>
    <w:rsid w:val="00715B2A"/>
    <w:rsid w:val="00717114"/>
    <w:rsid w:val="00734CEC"/>
    <w:rsid w:val="007450F1"/>
    <w:rsid w:val="00746DA2"/>
    <w:rsid w:val="00751515"/>
    <w:rsid w:val="007626B7"/>
    <w:rsid w:val="00771932"/>
    <w:rsid w:val="00774F21"/>
    <w:rsid w:val="0078212B"/>
    <w:rsid w:val="00784DF6"/>
    <w:rsid w:val="00785232"/>
    <w:rsid w:val="007916E5"/>
    <w:rsid w:val="00793D7A"/>
    <w:rsid w:val="007A426F"/>
    <w:rsid w:val="007B186C"/>
    <w:rsid w:val="007B22A9"/>
    <w:rsid w:val="007C1696"/>
    <w:rsid w:val="007C3C3C"/>
    <w:rsid w:val="007C3ED0"/>
    <w:rsid w:val="007C5971"/>
    <w:rsid w:val="007F1B8F"/>
    <w:rsid w:val="007F2C19"/>
    <w:rsid w:val="007F54B9"/>
    <w:rsid w:val="00803D87"/>
    <w:rsid w:val="00806A76"/>
    <w:rsid w:val="00810C9F"/>
    <w:rsid w:val="008118E1"/>
    <w:rsid w:val="00811C9D"/>
    <w:rsid w:val="00816C80"/>
    <w:rsid w:val="008277A4"/>
    <w:rsid w:val="00841794"/>
    <w:rsid w:val="00841BCD"/>
    <w:rsid w:val="00847264"/>
    <w:rsid w:val="008505A1"/>
    <w:rsid w:val="00851A8E"/>
    <w:rsid w:val="0085365B"/>
    <w:rsid w:val="00873D12"/>
    <w:rsid w:val="008826C1"/>
    <w:rsid w:val="00883DFD"/>
    <w:rsid w:val="008919B5"/>
    <w:rsid w:val="0089788B"/>
    <w:rsid w:val="008A1BF7"/>
    <w:rsid w:val="008A5B0E"/>
    <w:rsid w:val="008B0961"/>
    <w:rsid w:val="008B3EFD"/>
    <w:rsid w:val="008C39F7"/>
    <w:rsid w:val="008F19A7"/>
    <w:rsid w:val="0090091A"/>
    <w:rsid w:val="00900E56"/>
    <w:rsid w:val="009042BD"/>
    <w:rsid w:val="00904FE4"/>
    <w:rsid w:val="009170FC"/>
    <w:rsid w:val="009265C8"/>
    <w:rsid w:val="00927542"/>
    <w:rsid w:val="00936159"/>
    <w:rsid w:val="0096654D"/>
    <w:rsid w:val="00977E1D"/>
    <w:rsid w:val="00994EF5"/>
    <w:rsid w:val="009A7E1E"/>
    <w:rsid w:val="009B0573"/>
    <w:rsid w:val="009B09FD"/>
    <w:rsid w:val="009B7A9E"/>
    <w:rsid w:val="009B7B4B"/>
    <w:rsid w:val="009B7C21"/>
    <w:rsid w:val="009E2BEF"/>
    <w:rsid w:val="009F7EFF"/>
    <w:rsid w:val="00A04992"/>
    <w:rsid w:val="00A06552"/>
    <w:rsid w:val="00A147AA"/>
    <w:rsid w:val="00A21D71"/>
    <w:rsid w:val="00A22B78"/>
    <w:rsid w:val="00A24DDA"/>
    <w:rsid w:val="00A25112"/>
    <w:rsid w:val="00A25AE5"/>
    <w:rsid w:val="00A37002"/>
    <w:rsid w:val="00A43416"/>
    <w:rsid w:val="00A4355E"/>
    <w:rsid w:val="00A520D9"/>
    <w:rsid w:val="00A5761C"/>
    <w:rsid w:val="00A70FCD"/>
    <w:rsid w:val="00A92BCD"/>
    <w:rsid w:val="00AA1B0E"/>
    <w:rsid w:val="00AA47B6"/>
    <w:rsid w:val="00AC0707"/>
    <w:rsid w:val="00AC163B"/>
    <w:rsid w:val="00AC5CA7"/>
    <w:rsid w:val="00AC6058"/>
    <w:rsid w:val="00AD1CF9"/>
    <w:rsid w:val="00AE2BA5"/>
    <w:rsid w:val="00AE56B1"/>
    <w:rsid w:val="00AE6D09"/>
    <w:rsid w:val="00AF7A7C"/>
    <w:rsid w:val="00B02070"/>
    <w:rsid w:val="00B03CE4"/>
    <w:rsid w:val="00B1521A"/>
    <w:rsid w:val="00B20132"/>
    <w:rsid w:val="00B408B6"/>
    <w:rsid w:val="00B40972"/>
    <w:rsid w:val="00B4134C"/>
    <w:rsid w:val="00B542DA"/>
    <w:rsid w:val="00B65A67"/>
    <w:rsid w:val="00B66F33"/>
    <w:rsid w:val="00B73862"/>
    <w:rsid w:val="00B73F43"/>
    <w:rsid w:val="00B75BBF"/>
    <w:rsid w:val="00B87F9B"/>
    <w:rsid w:val="00B91910"/>
    <w:rsid w:val="00B9459C"/>
    <w:rsid w:val="00BA6B66"/>
    <w:rsid w:val="00BA6E48"/>
    <w:rsid w:val="00BB03EB"/>
    <w:rsid w:val="00BB33F9"/>
    <w:rsid w:val="00BD64C1"/>
    <w:rsid w:val="00BE0AF6"/>
    <w:rsid w:val="00BE1893"/>
    <w:rsid w:val="00BE1F03"/>
    <w:rsid w:val="00BE4025"/>
    <w:rsid w:val="00BE58A7"/>
    <w:rsid w:val="00BF2218"/>
    <w:rsid w:val="00C0426B"/>
    <w:rsid w:val="00C045DF"/>
    <w:rsid w:val="00C12E20"/>
    <w:rsid w:val="00C12F4F"/>
    <w:rsid w:val="00C26D43"/>
    <w:rsid w:val="00C46548"/>
    <w:rsid w:val="00C51B8D"/>
    <w:rsid w:val="00C52A03"/>
    <w:rsid w:val="00C574D5"/>
    <w:rsid w:val="00C61272"/>
    <w:rsid w:val="00C73F32"/>
    <w:rsid w:val="00C74223"/>
    <w:rsid w:val="00C87462"/>
    <w:rsid w:val="00CA180C"/>
    <w:rsid w:val="00CB22B2"/>
    <w:rsid w:val="00CC3EE2"/>
    <w:rsid w:val="00CD4705"/>
    <w:rsid w:val="00CD7492"/>
    <w:rsid w:val="00CE0916"/>
    <w:rsid w:val="00CE3A6B"/>
    <w:rsid w:val="00CF282C"/>
    <w:rsid w:val="00D00211"/>
    <w:rsid w:val="00D06309"/>
    <w:rsid w:val="00D12B23"/>
    <w:rsid w:val="00D15593"/>
    <w:rsid w:val="00D351EA"/>
    <w:rsid w:val="00D40288"/>
    <w:rsid w:val="00D43403"/>
    <w:rsid w:val="00D47A6A"/>
    <w:rsid w:val="00D5270B"/>
    <w:rsid w:val="00D531D0"/>
    <w:rsid w:val="00D62E71"/>
    <w:rsid w:val="00D6430D"/>
    <w:rsid w:val="00D66009"/>
    <w:rsid w:val="00D66188"/>
    <w:rsid w:val="00D6711C"/>
    <w:rsid w:val="00D731F6"/>
    <w:rsid w:val="00D740CA"/>
    <w:rsid w:val="00D85728"/>
    <w:rsid w:val="00D95481"/>
    <w:rsid w:val="00DA08CE"/>
    <w:rsid w:val="00DA1068"/>
    <w:rsid w:val="00DA1163"/>
    <w:rsid w:val="00DB4AD8"/>
    <w:rsid w:val="00DB7D3C"/>
    <w:rsid w:val="00DC7A13"/>
    <w:rsid w:val="00DE1891"/>
    <w:rsid w:val="00DE3A4F"/>
    <w:rsid w:val="00DE7079"/>
    <w:rsid w:val="00DF2997"/>
    <w:rsid w:val="00DF6B4B"/>
    <w:rsid w:val="00E0004A"/>
    <w:rsid w:val="00E10BC4"/>
    <w:rsid w:val="00E1415D"/>
    <w:rsid w:val="00E23FEA"/>
    <w:rsid w:val="00E245E8"/>
    <w:rsid w:val="00E323E9"/>
    <w:rsid w:val="00E34018"/>
    <w:rsid w:val="00E437D2"/>
    <w:rsid w:val="00E538BF"/>
    <w:rsid w:val="00E55751"/>
    <w:rsid w:val="00E62290"/>
    <w:rsid w:val="00E704EB"/>
    <w:rsid w:val="00E73697"/>
    <w:rsid w:val="00E905B6"/>
    <w:rsid w:val="00EA2311"/>
    <w:rsid w:val="00EC7BC3"/>
    <w:rsid w:val="00ED1C05"/>
    <w:rsid w:val="00ED289E"/>
    <w:rsid w:val="00ED7600"/>
    <w:rsid w:val="00EE323E"/>
    <w:rsid w:val="00EF6073"/>
    <w:rsid w:val="00EF698B"/>
    <w:rsid w:val="00F1362C"/>
    <w:rsid w:val="00F23AE0"/>
    <w:rsid w:val="00F23F56"/>
    <w:rsid w:val="00F31C18"/>
    <w:rsid w:val="00F414F1"/>
    <w:rsid w:val="00F45366"/>
    <w:rsid w:val="00F508B8"/>
    <w:rsid w:val="00F64DD2"/>
    <w:rsid w:val="00F72CB1"/>
    <w:rsid w:val="00F8215E"/>
    <w:rsid w:val="00F824F5"/>
    <w:rsid w:val="00F863CB"/>
    <w:rsid w:val="00F90FAB"/>
    <w:rsid w:val="00F9374D"/>
    <w:rsid w:val="00FC29B9"/>
    <w:rsid w:val="00FC6FD3"/>
    <w:rsid w:val="00FD1EB8"/>
    <w:rsid w:val="00FD4EB1"/>
    <w:rsid w:val="00FE18C1"/>
    <w:rsid w:val="00FE27C1"/>
    <w:rsid w:val="00FE305C"/>
    <w:rsid w:val="00FF0301"/>
    <w:rsid w:val="43049BDF"/>
    <w:rsid w:val="71CF2D36"/>
    <w:rsid w:val="7DE6F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F21A6"/>
  <w15:chartTrackingRefBased/>
  <w15:docId w15:val="{961A41AB-BCDF-4EB3-AEE9-396569A5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F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F863CB"/>
    <w:rPr>
      <w:color w:val="2B579A"/>
      <w:shd w:val="clear" w:color="auto" w:fill="E1DFDD"/>
    </w:rPr>
  </w:style>
  <w:style w:type="paragraph" w:styleId="Header">
    <w:name w:val="header"/>
    <w:basedOn w:val="Normal"/>
    <w:link w:val="HeaderChar"/>
    <w:uiPriority w:val="99"/>
    <w:semiHidden/>
    <w:unhideWhenUsed/>
    <w:rsid w:val="005B1A5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1A57"/>
    <w:rPr>
      <w:rFonts w:ascii="Times New Roman" w:hAnsi="Times New Roman"/>
      <w:sz w:val="20"/>
    </w:rPr>
  </w:style>
  <w:style w:type="paragraph" w:styleId="Footer">
    <w:name w:val="footer"/>
    <w:basedOn w:val="Normal"/>
    <w:link w:val="FooterChar"/>
    <w:uiPriority w:val="99"/>
    <w:unhideWhenUsed/>
    <w:rsid w:val="005B1A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A57"/>
    <w:rPr>
      <w:rFonts w:ascii="Times New Roman" w:hAnsi="Times New Roman"/>
      <w:sz w:val="20"/>
    </w:rPr>
  </w:style>
  <w:style w:type="paragraph" w:customStyle="1" w:styleId="TAL">
    <w:name w:val="TAL"/>
    <w:basedOn w:val="Normal"/>
    <w:rsid w:val="00672C1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672C1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672C16"/>
    <w:rPr>
      <w:rFonts w:ascii="Arial" w:eastAsia="Times New Roman" w:hAnsi="Arial" w:cs="Times New Roman"/>
      <w:b/>
      <w:sz w:val="18"/>
      <w:szCs w:val="20"/>
      <w:lang w:val="en-GB" w:eastAsia="en-GB"/>
    </w:rPr>
  </w:style>
  <w:style w:type="paragraph" w:customStyle="1" w:styleId="TH">
    <w:name w:val="TH"/>
    <w:basedOn w:val="Normal"/>
    <w:link w:val="THChar"/>
    <w:rsid w:val="00672C1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locked/>
    <w:rsid w:val="00672C16"/>
    <w:rPr>
      <w:rFonts w:ascii="Arial" w:eastAsia="Times New Roman" w:hAnsi="Arial" w:cs="Times New Roman"/>
      <w:b/>
      <w:sz w:val="20"/>
      <w:szCs w:val="20"/>
      <w:lang w:val="en-GB" w:eastAsia="en-GB"/>
    </w:rPr>
  </w:style>
  <w:style w:type="paragraph" w:styleId="Revision">
    <w:name w:val="Revision"/>
    <w:hidden/>
    <w:uiPriority w:val="99"/>
    <w:semiHidden/>
    <w:rsid w:val="00BE402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https://nokia.sharepoint.com/sites/c5g/5gradio/_layouts/15/DocIdRedir.aspx?ID=5AIRPNAIUNRU-1328258698-25496</Url>
      <Description>5AIRPNAIUNRU-1328258698-25496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5A6EA752-8CA2-40E8-A0AE-3813C6578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3</TotalTime>
  <Pages>9</Pages>
  <Words>2527</Words>
  <Characters>14332</Characters>
  <Application>Microsoft Office Word</Application>
  <DocSecurity>0</DocSecurity>
  <Lines>333</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9</cp:revision>
  <dcterms:created xsi:type="dcterms:W3CDTF">2023-08-11T20:01:00Z</dcterms:created>
  <dcterms:modified xsi:type="dcterms:W3CDTF">2023-08-11T20:04:00Z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0d9b9a9b-e03d-4972-bc7f-756f9850d516</vt:lpwstr>
  </property>
  <property fmtid="{D5CDD505-2E9C-101B-9397-08002B2CF9AE}" pid="11" name="MediaServiceImageTags">
    <vt:lpwstr/>
  </property>
</Properties>
</file>