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956"/>
          <w:tab w:val="right" w:pos="10440"/>
          <w:tab w:val="right" w:pos="13323"/>
        </w:tabs>
        <w:spacing w:before="60" w:after="60"/>
        <w:outlineLvl w:val="0"/>
        <w:rPr>
          <w:rFonts w:ascii="Arial" w:hAnsi="Arial" w:eastAsia="宋体" w:cs="Arial"/>
          <w:b/>
          <w:kern w:val="0"/>
          <w:sz w:val="24"/>
          <w:szCs w:val="24"/>
          <w:lang w:val="en-US" w:eastAsia="zh-CN" w:bidi="ar-SA"/>
        </w:rPr>
      </w:pPr>
      <w:r>
        <w:rPr>
          <w:rFonts w:ascii="Arial" w:hAnsi="Arial" w:eastAsia="MS Mincho" w:cs="Arial"/>
          <w:b/>
          <w:kern w:val="0"/>
          <w:sz w:val="24"/>
          <w:szCs w:val="24"/>
          <w:lang w:val="en-US" w:eastAsia="en-US" w:bidi="ar-SA"/>
        </w:rPr>
        <w:t>3GPP TSG-RAN WG4 Meeting #</w:t>
      </w:r>
      <w:r>
        <w:rPr>
          <w:rFonts w:ascii="Arial" w:hAnsi="Arial" w:eastAsia="MS Mincho" w:cs="Arial"/>
          <w:kern w:val="0"/>
          <w:sz w:val="20"/>
          <w:szCs w:val="20"/>
          <w:lang w:val="en-US" w:eastAsia="en-US" w:bidi="ar-SA"/>
        </w:rPr>
        <w:t xml:space="preserve"> </w:t>
      </w:r>
      <w:r>
        <w:rPr>
          <w:rFonts w:ascii="Arial" w:hAnsi="Arial" w:eastAsia="MS Mincho" w:cs="Arial"/>
          <w:b/>
          <w:kern w:val="0"/>
          <w:sz w:val="24"/>
          <w:szCs w:val="24"/>
          <w:lang w:val="en-US" w:eastAsia="en-US" w:bidi="ar-SA"/>
        </w:rPr>
        <w:t>108</w:t>
      </w:r>
      <w:r>
        <w:rPr>
          <w:rFonts w:ascii="Arial" w:hAnsi="Arial" w:eastAsia="MS Mincho" w:cs="Arial"/>
          <w:b/>
          <w:kern w:val="0"/>
          <w:sz w:val="24"/>
          <w:szCs w:val="24"/>
          <w:lang w:val="en-US" w:eastAsia="en-US" w:bidi="ar-SA"/>
        </w:rPr>
        <w:tab/>
      </w:r>
      <w:r>
        <w:rPr>
          <w:rFonts w:hint="eastAsia" w:ascii="Arial" w:hAnsi="Arial" w:eastAsia="宋体" w:cs="Arial"/>
          <w:b/>
          <w:kern w:val="0"/>
          <w:sz w:val="24"/>
          <w:szCs w:val="24"/>
          <w:lang w:val="en-US" w:eastAsia="zh-CN" w:bidi="ar-SA"/>
        </w:rPr>
        <w:t xml:space="preserve">      </w:t>
      </w:r>
      <w:r>
        <w:rPr>
          <w:rFonts w:hint="eastAsia" w:ascii="Arial" w:hAnsi="Arial" w:eastAsia="MS Mincho" w:cs="Arial"/>
          <w:b/>
          <w:kern w:val="0"/>
          <w:sz w:val="24"/>
          <w:szCs w:val="24"/>
          <w:lang w:val="en-US" w:eastAsia="en-US" w:bidi="ar-SA"/>
        </w:rPr>
        <w:t>R4-2311817</w:t>
      </w:r>
    </w:p>
    <w:p>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Toulouse, France, August 21 – August 25, 2023</w:t>
      </w:r>
    </w:p>
    <w:p>
      <w:pPr>
        <w:tabs>
          <w:tab w:val="left" w:pos="1980"/>
        </w:tabs>
        <w:spacing w:after="180"/>
        <w:ind w:left="1980" w:hanging="1980"/>
        <w:rPr>
          <w:rFonts w:ascii="Arial" w:hAnsi="Arial" w:eastAsia="MS Mincho" w:cs="Arial"/>
          <w:b/>
          <w:sz w:val="24"/>
          <w:szCs w:val="24"/>
          <w:lang w:eastAsia="en-US"/>
        </w:rPr>
      </w:pP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8.19.2.1</w:t>
      </w:r>
      <w:bookmarkStart w:id="0" w:name="_GoBack"/>
      <w:bookmarkEnd w:id="0"/>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residual simulation parameters and initial simulation results</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spacing w:after="180"/>
        <w:rPr>
          <w:rFonts w:hint="default" w:ascii="Times New Roman" w:hAnsi="Times New Roman"/>
          <w:sz w:val="20"/>
          <w:lang w:val="en-US" w:eastAsia="zh-CN"/>
        </w:rPr>
      </w:pPr>
      <w:r>
        <w:rPr>
          <w:rFonts w:hint="eastAsia" w:ascii="Times New Roman" w:hAnsi="Times New Roman"/>
          <w:sz w:val="20"/>
          <w:lang w:val="en-US" w:eastAsia="zh-CN"/>
        </w:rPr>
        <w:t xml:space="preserve">In last meeting, </w:t>
      </w:r>
      <w:r>
        <w:rPr>
          <w:rFonts w:ascii="Times New Roman" w:hAnsi="Times New Roman"/>
          <w:sz w:val="20"/>
        </w:rPr>
        <w:t>A WF</w:t>
      </w:r>
      <w:r>
        <w:rPr>
          <w:rFonts w:hint="eastAsia" w:ascii="Times New Roman" w:hAnsi="Times New Roman"/>
          <w:sz w:val="20"/>
          <w:lang w:val="en-US" w:eastAsia="zh-CN"/>
        </w:rPr>
        <w:t xml:space="preserve"> is approved as below. For the new added scenario 5 UMi-to-UMi, there is still no consensus until now even after offline discussion. </w:t>
      </w:r>
    </w:p>
    <w:p>
      <w:pPr>
        <w:spacing w:after="180"/>
        <w:rPr>
          <w:rFonts w:hint="default" w:ascii="Times New Roman" w:hAnsi="Times New Roman" w:eastAsia="宋体"/>
          <w:sz w:val="20"/>
          <w:lang w:val="en-US" w:eastAsia="zh-CN"/>
        </w:rPr>
      </w:pPr>
      <w:r>
        <w:rPr>
          <w:rFonts w:ascii="Times New Roman" w:hAnsi="Times New Roman"/>
          <w:sz w:val="20"/>
        </w:rPr>
        <w:t xml:space="preserve">In this contribution, </w:t>
      </w:r>
      <w:r>
        <w:rPr>
          <w:rFonts w:hint="eastAsia" w:ascii="Times New Roman" w:hAnsi="Times New Roman"/>
          <w:sz w:val="20"/>
          <w:lang w:val="en-US" w:eastAsia="zh-CN"/>
        </w:rPr>
        <w:t>we continue discuss remaining simulation parameters for scenario 5 and also list initial simulation results from our simulation results</w:t>
      </w:r>
      <w:r>
        <w:rPr>
          <w:rFonts w:ascii="Times New Roman" w:hAnsi="Times New Roman"/>
          <w:sz w:val="20"/>
        </w:rPr>
        <w:t>.</w:t>
      </w:r>
      <w:r>
        <w:rPr>
          <w:rFonts w:hint="eastAsia" w:ascii="Times New Roman" w:hAnsi="Times New Roman"/>
          <w:sz w:val="20"/>
          <w:lang w:val="en-US" w:eastAsia="zh-CN"/>
        </w:rPr>
        <w:t xml:space="preserve"> Other scenarios are still under simulation and we will try to provide before the beginning of this meeting.</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 xml:space="preserve">2. </w:t>
      </w:r>
      <w:r>
        <w:rPr>
          <w:rFonts w:hint="eastAsia" w:ascii="Arial" w:hAnsi="Arial" w:eastAsiaTheme="minorEastAsia" w:cstheme="minorBidi"/>
          <w:sz w:val="32"/>
          <w:szCs w:val="36"/>
        </w:rPr>
        <w:t>Discussion</w:t>
      </w:r>
    </w:p>
    <w:p>
      <w:pPr>
        <w:pStyle w:val="4"/>
        <w:bidi w:val="0"/>
        <w:rPr>
          <w:rFonts w:hint="default"/>
          <w:b w:val="0"/>
          <w:bCs/>
          <w:sz w:val="28"/>
          <w:szCs w:val="28"/>
          <w:lang w:val="en-US" w:eastAsia="zh-CN"/>
        </w:rPr>
      </w:pPr>
      <w:r>
        <w:rPr>
          <w:rFonts w:hint="eastAsia"/>
          <w:b w:val="0"/>
          <w:bCs/>
          <w:sz w:val="28"/>
          <w:szCs w:val="28"/>
          <w:lang w:val="en-US" w:eastAsia="zh-CN"/>
        </w:rPr>
        <w:t>2.1 scenario 5 simulation parameters</w:t>
      </w:r>
    </w:p>
    <w:p>
      <w:pPr>
        <w:spacing w:after="18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For scenario 5, last meeting agreement is listed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after="180" w:line="240" w:lineRule="auto"/>
              <w:rPr>
                <w:rFonts w:ascii="Times New Roman" w:hAnsi="Times New Roman" w:eastAsia="宋体" w:cs="Times New Roman"/>
                <w:kern w:val="0"/>
                <w:sz w:val="20"/>
                <w:szCs w:val="20"/>
                <w:lang w:eastAsia="zh-CN"/>
              </w:rPr>
            </w:pPr>
            <w:r>
              <w:rPr>
                <w:rFonts w:ascii="Times New Roman" w:hAnsi="Times New Roman" w:eastAsia="宋体" w:cs="Times New Roman"/>
                <w:kern w:val="0"/>
                <w:sz w:val="20"/>
                <w:szCs w:val="20"/>
                <w:lang w:eastAsia="zh-CN"/>
              </w:rPr>
              <w:t>Approve to add FR1 UMi-to-UMi simulation scenarios(scenario 5) with note 6 as below.</w:t>
            </w:r>
          </w:p>
          <w:p>
            <w:pPr>
              <w:spacing w:before="120" w:after="180" w:line="240" w:lineRule="auto"/>
              <w:rPr>
                <w:rFonts w:ascii="Times New Roman" w:hAnsi="Times New Roman" w:eastAsia="宋体" w:cs="Times New Roman"/>
                <w:kern w:val="0"/>
                <w:sz w:val="20"/>
                <w:szCs w:val="20"/>
                <w:vertAlign w:val="baseline"/>
                <w:lang w:eastAsia="zh-CN"/>
              </w:rPr>
            </w:pPr>
            <w:r>
              <w:rPr>
                <w:rFonts w:ascii="Times New Roman" w:hAnsi="Times New Roman" w:eastAsia="等线" w:cs="Times New Roman"/>
                <w:bCs/>
                <w:kern w:val="0"/>
                <w:sz w:val="20"/>
                <w:szCs w:val="20"/>
                <w:lang w:eastAsia="zh-CN" w:bidi="ar"/>
              </w:rPr>
              <w:t>Note 6: Use UMi simulation assumption R4-2305922 as starting point. Consider Tx power refer to 3GPP UMi output power. Detailed simulation assumptions will be discussed after RAN4#107 meeting.</w:t>
            </w:r>
          </w:p>
        </w:tc>
      </w:tr>
    </w:tbl>
    <w:p>
      <w:pPr>
        <w:spacing w:after="180" w:line="240" w:lineRule="auto"/>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During the summer offline discussion, the main divergence are from following parameters:</w:t>
      </w:r>
    </w:p>
    <w:p>
      <w:pPr>
        <w:numPr>
          <w:ilvl w:val="0"/>
          <w:numId w:val="1"/>
        </w:numPr>
        <w:spacing w:after="180" w:line="240" w:lineRule="auto"/>
        <w:ind w:left="420" w:leftChars="0" w:hanging="420" w:firstLineChars="0"/>
        <w:rPr>
          <w:rFonts w:hint="default" w:ascii="Times New Roman" w:hAnsi="Times New Roman" w:cs="Times New Roman"/>
          <w:kern w:val="0"/>
          <w:sz w:val="20"/>
          <w:szCs w:val="20"/>
          <w:lang w:val="en-US" w:eastAsia="zh-CN"/>
        </w:rPr>
      </w:pPr>
      <w:r>
        <w:rPr>
          <w:rFonts w:hint="default" w:ascii="Times New Roman" w:hAnsi="Times New Roman" w:cs="Times New Roman"/>
          <w:kern w:val="0"/>
          <w:sz w:val="20"/>
          <w:szCs w:val="20"/>
          <w:lang w:val="en-US" w:eastAsia="zh-CN"/>
        </w:rPr>
        <w:t>max Tx power (dual polarization) </w:t>
      </w:r>
    </w:p>
    <w:p>
      <w:pPr>
        <w:numPr>
          <w:ilvl w:val="0"/>
          <w:numId w:val="1"/>
        </w:numPr>
        <w:spacing w:after="180" w:line="240" w:lineRule="auto"/>
        <w:ind w:left="420" w:leftChars="0" w:hanging="420" w:firstLineChars="0"/>
        <w:rPr>
          <w:rFonts w:hint="default" w:ascii="Times New Roman" w:hAnsi="Times New Roman" w:cs="Times New Roman"/>
          <w:kern w:val="0"/>
          <w:sz w:val="20"/>
          <w:szCs w:val="20"/>
          <w:lang w:val="en-US" w:eastAsia="zh-CN"/>
        </w:rPr>
      </w:pPr>
      <w:r>
        <w:rPr>
          <w:rFonts w:hint="default" w:ascii="Times New Roman" w:hAnsi="Times New Roman" w:cs="Times New Roman"/>
          <w:kern w:val="0"/>
          <w:sz w:val="20"/>
          <w:szCs w:val="20"/>
          <w:lang w:val="en-US" w:eastAsia="zh-CN"/>
        </w:rPr>
        <w:t>Inter-BS distance</w:t>
      </w:r>
    </w:p>
    <w:p>
      <w:pPr>
        <w:numPr>
          <w:ilvl w:val="0"/>
          <w:numId w:val="1"/>
        </w:numPr>
        <w:spacing w:after="180" w:line="240" w:lineRule="auto"/>
        <w:ind w:left="420" w:leftChars="0" w:hanging="420" w:firstLineChars="0"/>
        <w:rPr>
          <w:rFonts w:hint="default" w:ascii="Times New Roman" w:hAnsi="Times New Roman" w:cs="Times New Roman"/>
          <w:kern w:val="0"/>
          <w:sz w:val="20"/>
          <w:szCs w:val="20"/>
          <w:lang w:val="en-US" w:eastAsia="zh-CN"/>
        </w:rPr>
      </w:pPr>
      <w:r>
        <w:rPr>
          <w:rFonts w:hint="default" w:ascii="Times New Roman" w:hAnsi="Times New Roman" w:cs="Times New Roman"/>
          <w:kern w:val="0"/>
          <w:sz w:val="20"/>
          <w:szCs w:val="20"/>
          <w:lang w:val="en-US" w:eastAsia="zh-CN"/>
        </w:rPr>
        <w:t>EIRP</w:t>
      </w:r>
    </w:p>
    <w:p>
      <w:pPr>
        <w:numPr>
          <w:ilvl w:val="0"/>
          <w:numId w:val="1"/>
        </w:numPr>
        <w:spacing w:after="180" w:line="240" w:lineRule="auto"/>
        <w:ind w:left="420" w:leftChars="0" w:hanging="420" w:firstLineChars="0"/>
        <w:rPr>
          <w:rFonts w:hint="default" w:ascii="Times New Roman" w:hAnsi="Times New Roman" w:cs="Times New Roman"/>
          <w:kern w:val="0"/>
          <w:sz w:val="20"/>
          <w:szCs w:val="20"/>
          <w:lang w:val="en-US" w:eastAsia="zh-CN"/>
        </w:rPr>
      </w:pPr>
      <w:r>
        <w:rPr>
          <w:rFonts w:hint="default" w:ascii="Times New Roman" w:hAnsi="Times New Roman" w:cs="Times New Roman"/>
          <w:kern w:val="0"/>
          <w:sz w:val="20"/>
          <w:szCs w:val="20"/>
          <w:lang w:val="en-US" w:eastAsia="zh-CN"/>
        </w:rPr>
        <w:t>antenna configuration</w:t>
      </w:r>
    </w:p>
    <w:p>
      <w:pPr>
        <w:numPr>
          <w:ilvl w:val="0"/>
          <w:numId w:val="1"/>
        </w:numPr>
        <w:spacing w:after="180" w:line="240" w:lineRule="auto"/>
        <w:ind w:left="420" w:leftChars="0" w:hanging="420" w:firstLineChars="0"/>
        <w:rPr>
          <w:rFonts w:hint="default" w:ascii="Times New Roman" w:hAnsi="Times New Roman" w:cs="Times New Roman"/>
          <w:kern w:val="0"/>
          <w:sz w:val="20"/>
          <w:szCs w:val="20"/>
          <w:lang w:val="en-US" w:eastAsia="zh-CN"/>
        </w:rPr>
      </w:pPr>
      <w:r>
        <w:rPr>
          <w:rFonts w:hint="default" w:ascii="Times New Roman" w:hAnsi="Times New Roman" w:cs="Times New Roman"/>
          <w:kern w:val="0"/>
          <w:sz w:val="20"/>
          <w:szCs w:val="20"/>
          <w:lang w:val="en-US" w:eastAsia="zh-CN"/>
        </w:rPr>
        <w:t>Layout</w:t>
      </w:r>
    </w:p>
    <w:p>
      <w:pPr>
        <w:numPr>
          <w:ilvl w:val="0"/>
          <w:numId w:val="1"/>
        </w:numPr>
        <w:spacing w:after="180" w:line="240" w:lineRule="auto"/>
        <w:ind w:left="420" w:leftChars="0" w:hanging="420" w:firstLineChars="0"/>
        <w:rPr>
          <w:rFonts w:hint="default" w:ascii="Times New Roman" w:hAnsi="Times New Roman" w:cs="Times New Roman"/>
          <w:kern w:val="0"/>
          <w:sz w:val="20"/>
          <w:szCs w:val="20"/>
          <w:lang w:val="en-US" w:eastAsia="zh-CN"/>
        </w:rPr>
      </w:pPr>
      <w:r>
        <w:rPr>
          <w:rFonts w:hint="default" w:ascii="Times New Roman" w:hAnsi="Times New Roman" w:cs="Times New Roman"/>
          <w:kern w:val="0"/>
          <w:sz w:val="20"/>
          <w:szCs w:val="20"/>
          <w:lang w:val="en-US" w:eastAsia="zh-CN"/>
        </w:rPr>
        <w:t>BS NF</w:t>
      </w:r>
    </w:p>
    <w:p>
      <w:pPr>
        <w:numPr>
          <w:ilvl w:val="0"/>
          <w:numId w:val="0"/>
        </w:numPr>
        <w:spacing w:after="180" w:line="240" w:lineRule="auto"/>
        <w:ind w:leftChars="0"/>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Based on the offline discussion, we suggest to approve following parameters for scenario 5 UMi-to-UMi</w:t>
      </w:r>
      <w:r>
        <w:rPr>
          <w:rFonts w:hint="default" w:ascii="Times New Roman" w:hAnsi="Times New Roman" w:cs="Times New Roman"/>
          <w:kern w:val="0"/>
          <w:sz w:val="20"/>
          <w:szCs w:val="20"/>
          <w:lang w:val="en-US" w:eastAsia="zh-CN"/>
        </w:rPr>
        <w:t>.</w:t>
      </w:r>
      <w:r>
        <w:rPr>
          <w:rFonts w:hint="eastAsia" w:ascii="Times New Roman" w:hAnsi="Times New Roman" w:cs="Times New Roman"/>
          <w:kern w:val="0"/>
          <w:sz w:val="20"/>
          <w:szCs w:val="20"/>
          <w:lang w:val="en-US" w:eastAsia="zh-CN"/>
        </w:rPr>
        <w:t xml:space="preserve"> The basic principle is that if no consensus, then we list all options and companies choose their preference.</w:t>
      </w:r>
    </w:p>
    <w:p>
      <w:pPr>
        <w:numPr>
          <w:ilvl w:val="0"/>
          <w:numId w:val="0"/>
        </w:numPr>
        <w:spacing w:after="180" w:line="240" w:lineRule="auto"/>
        <w:ind w:leftChars="0"/>
        <w:rPr>
          <w:rFonts w:hint="eastAsia" w:ascii="Times New Roman" w:hAnsi="Times New Roman" w:cs="Times New Roman"/>
          <w:b/>
          <w:bCs/>
          <w:kern w:val="0"/>
          <w:sz w:val="20"/>
          <w:szCs w:val="20"/>
          <w:lang w:val="en-US" w:eastAsia="zh-CN"/>
        </w:rPr>
      </w:pPr>
      <w:r>
        <w:rPr>
          <w:rFonts w:hint="eastAsia" w:ascii="Times New Roman" w:hAnsi="Times New Roman" w:cs="Times New Roman"/>
          <w:b/>
          <w:bCs/>
          <w:kern w:val="0"/>
          <w:sz w:val="20"/>
          <w:szCs w:val="20"/>
          <w:lang w:val="en-US" w:eastAsia="zh-CN"/>
        </w:rPr>
        <w:t>Proposal 1: it</w:t>
      </w:r>
      <w:r>
        <w:rPr>
          <w:rFonts w:hint="default" w:ascii="Times New Roman" w:hAnsi="Times New Roman" w:cs="Times New Roman"/>
          <w:b/>
          <w:bCs/>
          <w:kern w:val="0"/>
          <w:sz w:val="20"/>
          <w:szCs w:val="20"/>
          <w:lang w:val="en-US" w:eastAsia="zh-CN"/>
        </w:rPr>
        <w:t>’</w:t>
      </w:r>
      <w:r>
        <w:rPr>
          <w:rFonts w:hint="eastAsia" w:ascii="Times New Roman" w:hAnsi="Times New Roman" w:cs="Times New Roman"/>
          <w:b/>
          <w:bCs/>
          <w:kern w:val="0"/>
          <w:sz w:val="20"/>
          <w:szCs w:val="20"/>
          <w:lang w:val="en-US" w:eastAsia="zh-CN"/>
        </w:rPr>
        <w:t>s suggested to approve following simulation parameters for scenario 5 UMi-to-Umi. for the parameters with two option values, it</w:t>
      </w:r>
      <w:r>
        <w:rPr>
          <w:rFonts w:hint="default" w:ascii="Times New Roman" w:hAnsi="Times New Roman" w:cs="Times New Roman"/>
          <w:b/>
          <w:bCs/>
          <w:kern w:val="0"/>
          <w:sz w:val="20"/>
          <w:szCs w:val="20"/>
          <w:lang w:val="en-US" w:eastAsia="zh-CN"/>
        </w:rPr>
        <w:t>’</w:t>
      </w:r>
      <w:r>
        <w:rPr>
          <w:rFonts w:hint="eastAsia" w:ascii="Times New Roman" w:hAnsi="Times New Roman" w:cs="Times New Roman"/>
          <w:b/>
          <w:bCs/>
          <w:kern w:val="0"/>
          <w:sz w:val="20"/>
          <w:szCs w:val="20"/>
          <w:lang w:val="en-US" w:eastAsia="zh-CN"/>
        </w:rPr>
        <w:t>s companies decision to determine choose which option.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70"/>
        <w:gridCol w:w="6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numPr>
                <w:ilvl w:val="0"/>
                <w:numId w:val="0"/>
              </w:numPr>
              <w:spacing w:before="120" w:after="180" w:line="240" w:lineRule="auto"/>
              <w:rPr>
                <w:rFonts w:hint="default"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Parameters</w:t>
            </w:r>
          </w:p>
        </w:tc>
        <w:tc>
          <w:tcPr>
            <w:tcW w:w="6892" w:type="dxa"/>
          </w:tcPr>
          <w:p>
            <w:pPr>
              <w:numPr>
                <w:ilvl w:val="0"/>
                <w:numId w:val="0"/>
              </w:numPr>
              <w:spacing w:before="120" w:after="180" w:line="240" w:lineRule="auto"/>
              <w:rPr>
                <w:rFonts w:hint="default"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numPr>
                <w:ilvl w:val="0"/>
                <w:numId w:val="0"/>
              </w:numPr>
              <w:spacing w:before="120" w:after="180" w:line="240" w:lineRule="auto"/>
              <w:rPr>
                <w:rFonts w:hint="default"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Max Tx power for dual polarization</w:t>
            </w:r>
          </w:p>
        </w:tc>
        <w:tc>
          <w:tcPr>
            <w:tcW w:w="6892" w:type="dxa"/>
          </w:tcPr>
          <w:p>
            <w:pPr>
              <w:numPr>
                <w:ilvl w:val="0"/>
                <w:numId w:val="0"/>
              </w:numPr>
              <w:spacing w:before="120" w:after="180" w:line="240" w:lineRule="auto"/>
              <w:rPr>
                <w:rFonts w:hint="eastAsia"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Option 1: 38dBm/100MHz, the same as 3GPP 1-C BS Tx power</w:t>
            </w:r>
          </w:p>
          <w:p>
            <w:pPr>
              <w:numPr>
                <w:ilvl w:val="0"/>
                <w:numId w:val="0"/>
              </w:numPr>
              <w:spacing w:before="120" w:after="180" w:line="240" w:lineRule="auto"/>
              <w:rPr>
                <w:rFonts w:hint="default"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Option 2: 46dBm/100MHz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3070" w:type="dxa"/>
          </w:tcPr>
          <w:p>
            <w:pPr>
              <w:numPr>
                <w:ilvl w:val="0"/>
                <w:numId w:val="0"/>
              </w:numPr>
              <w:spacing w:before="120" w:after="180" w:line="240" w:lineRule="auto"/>
              <w:rPr>
                <w:rFonts w:hint="eastAsia"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Inter-BS distance</w:t>
            </w:r>
          </w:p>
        </w:tc>
        <w:tc>
          <w:tcPr>
            <w:tcW w:w="6892" w:type="dxa"/>
          </w:tcPr>
          <w:p>
            <w:pPr>
              <w:numPr>
                <w:ilvl w:val="0"/>
                <w:numId w:val="0"/>
              </w:numPr>
              <w:spacing w:before="120" w:after="180" w:line="240" w:lineRule="auto"/>
              <w:rPr>
                <w:rFonts w:hint="eastAsia"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289m ( based on macro-to-micro ratio of 3 ).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numPr>
                <w:ilvl w:val="0"/>
                <w:numId w:val="0"/>
              </w:numPr>
              <w:spacing w:before="120" w:after="180" w:line="240" w:lineRule="auto"/>
              <w:rPr>
                <w:rFonts w:hint="eastAsia"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EIRP</w:t>
            </w:r>
          </w:p>
        </w:tc>
        <w:tc>
          <w:tcPr>
            <w:tcW w:w="6892" w:type="dxa"/>
          </w:tcPr>
          <w:p>
            <w:pPr>
              <w:numPr>
                <w:ilvl w:val="0"/>
                <w:numId w:val="0"/>
              </w:numPr>
              <w:spacing w:before="120" w:after="180" w:line="240" w:lineRule="auto"/>
              <w:rPr>
                <w:rFonts w:hint="eastAsia"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Option 1: 49dBm/100MHz which reuse the same antenna configuration assumption as UMi in R4-2305922 and with 38dBm TRP assumption</w:t>
            </w:r>
          </w:p>
          <w:p>
            <w:pPr>
              <w:numPr>
                <w:ilvl w:val="0"/>
                <w:numId w:val="0"/>
              </w:numPr>
              <w:spacing w:before="120" w:after="180" w:line="240" w:lineRule="auto"/>
              <w:rPr>
                <w:rFonts w:hint="default"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Option 2: 57dBm/100MHz which reuse the same antenna configuration assumption as UMi in R4-2305922 and with 46dBm TRP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3070" w:type="dxa"/>
          </w:tcPr>
          <w:p>
            <w:pPr>
              <w:numPr>
                <w:ilvl w:val="0"/>
                <w:numId w:val="0"/>
              </w:numPr>
              <w:spacing w:before="120" w:after="180" w:line="240" w:lineRule="auto"/>
              <w:rPr>
                <w:rFonts w:hint="eastAsia"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antenna configuration</w:t>
            </w:r>
          </w:p>
        </w:tc>
        <w:tc>
          <w:tcPr>
            <w:tcW w:w="6892" w:type="dxa"/>
          </w:tcPr>
          <w:p>
            <w:pPr>
              <w:numPr>
                <w:ilvl w:val="0"/>
                <w:numId w:val="0"/>
              </w:numPr>
              <w:spacing w:before="120" w:after="180" w:line="240" w:lineRule="auto"/>
              <w:rPr>
                <w:rFonts w:hint="eastAsia"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the same antenna configuration assumption as Umi in R4-2305922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numPr>
                <w:ilvl w:val="0"/>
                <w:numId w:val="0"/>
              </w:numPr>
              <w:spacing w:before="120" w:after="180" w:line="240" w:lineRule="auto"/>
              <w:rPr>
                <w:rFonts w:hint="default"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layout</w:t>
            </w:r>
          </w:p>
        </w:tc>
        <w:tc>
          <w:tcPr>
            <w:tcW w:w="6892" w:type="dxa"/>
          </w:tcPr>
          <w:p>
            <w:pPr>
              <w:numPr>
                <w:ilvl w:val="0"/>
                <w:numId w:val="0"/>
              </w:numPr>
              <w:spacing w:before="120" w:after="180" w:line="240" w:lineRule="auto"/>
              <w:rPr>
                <w:rFonts w:hint="eastAsia"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Single layer with 19 hexagonal cell with wrap around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numPr>
                <w:ilvl w:val="0"/>
                <w:numId w:val="0"/>
              </w:numPr>
              <w:spacing w:before="120" w:after="180" w:line="240" w:lineRule="auto"/>
              <w:rPr>
                <w:rFonts w:hint="default"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BS NF</w:t>
            </w:r>
          </w:p>
        </w:tc>
        <w:tc>
          <w:tcPr>
            <w:tcW w:w="6892" w:type="dxa"/>
          </w:tcPr>
          <w:p>
            <w:pPr>
              <w:numPr>
                <w:ilvl w:val="0"/>
                <w:numId w:val="0"/>
              </w:numPr>
              <w:spacing w:before="120" w:after="180" w:line="240" w:lineRule="auto"/>
              <w:rPr>
                <w:rFonts w:hint="default"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10dB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numPr>
                <w:ilvl w:val="0"/>
                <w:numId w:val="0"/>
              </w:numPr>
              <w:spacing w:before="120" w:after="180" w:line="240" w:lineRule="auto"/>
              <w:rPr>
                <w:rFonts w:hint="default"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gNB-to-gNB pathloss model and LOS probability model</w:t>
            </w:r>
          </w:p>
        </w:tc>
        <w:tc>
          <w:tcPr>
            <w:tcW w:w="6892" w:type="dxa"/>
          </w:tcPr>
          <w:p>
            <w:pPr>
              <w:numPr>
                <w:ilvl w:val="0"/>
                <w:numId w:val="0"/>
              </w:numPr>
              <w:spacing w:before="120" w:after="180" w:line="240" w:lineRule="auto"/>
              <w:rPr>
                <w:rFonts w:hint="default"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Using the UMi model in TS 38.803 by updating UT height to 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numPr>
                <w:ilvl w:val="0"/>
                <w:numId w:val="0"/>
              </w:numPr>
              <w:spacing w:before="120" w:after="180" w:line="240" w:lineRule="auto"/>
              <w:rPr>
                <w:rFonts w:hint="default"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Other parameters</w:t>
            </w:r>
          </w:p>
        </w:tc>
        <w:tc>
          <w:tcPr>
            <w:tcW w:w="6892" w:type="dxa"/>
          </w:tcPr>
          <w:p>
            <w:pPr>
              <w:numPr>
                <w:ilvl w:val="0"/>
                <w:numId w:val="0"/>
              </w:numPr>
              <w:spacing w:before="120" w:after="180" w:line="240" w:lineRule="auto"/>
              <w:rPr>
                <w:rFonts w:hint="default"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The same as in R4-2305922 and other requirements refer to MR BS requirements in 38.104 or Uma gNB simulation parameters.</w:t>
            </w:r>
          </w:p>
        </w:tc>
      </w:tr>
    </w:tbl>
    <w:p>
      <w:pPr>
        <w:pStyle w:val="4"/>
        <w:bidi w:val="0"/>
        <w:rPr>
          <w:rFonts w:hint="eastAsia"/>
          <w:b w:val="0"/>
          <w:bCs/>
          <w:sz w:val="28"/>
          <w:szCs w:val="28"/>
          <w:lang w:val="en-US" w:eastAsia="zh-CN"/>
        </w:rPr>
      </w:pPr>
      <w:r>
        <w:rPr>
          <w:rFonts w:hint="eastAsia"/>
          <w:b w:val="0"/>
          <w:bCs/>
          <w:sz w:val="28"/>
          <w:szCs w:val="28"/>
          <w:lang w:val="en-US" w:eastAsia="zh-CN"/>
        </w:rPr>
        <w:t>2.2 initial simulation conclusions</w:t>
      </w:r>
    </w:p>
    <w:p>
      <w:pPr>
        <w:numPr>
          <w:ilvl w:val="0"/>
          <w:numId w:val="0"/>
        </w:numPr>
        <w:spacing w:after="180" w:line="240" w:lineRule="auto"/>
        <w:ind w:leftChars="0"/>
        <w:rPr>
          <w:rFonts w:hint="default"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Detailed simulatio</w:t>
      </w:r>
      <w:r>
        <w:rPr>
          <w:rFonts w:hint="eastAsia" w:ascii="Times New Roman" w:hAnsi="Times New Roman" w:cs="Times New Roman"/>
          <w:kern w:val="0"/>
          <w:sz w:val="20"/>
          <w:szCs w:val="20"/>
          <w:highlight w:val="none"/>
          <w:lang w:val="en-US" w:eastAsia="zh-CN"/>
        </w:rPr>
        <w:t>n results are provided in another tdoc in exce</w:t>
      </w:r>
      <w:r>
        <w:rPr>
          <w:rFonts w:hint="eastAsia" w:ascii="Times New Roman" w:hAnsi="Times New Roman" w:cs="Times New Roman"/>
          <w:kern w:val="0"/>
          <w:sz w:val="20"/>
          <w:szCs w:val="20"/>
          <w:lang w:val="en-US" w:eastAsia="zh-CN"/>
        </w:rPr>
        <w:t>l file for information and this tdoc only summarize what we have seen from the simulation results.</w:t>
      </w:r>
    </w:p>
    <w:p>
      <w:pPr>
        <w:pStyle w:val="5"/>
        <w:bidi w:val="0"/>
        <w:rPr>
          <w:rFonts w:hint="eastAsia"/>
          <w:lang w:val="en-US" w:eastAsia="zh-CN"/>
        </w:rPr>
      </w:pPr>
      <w:r>
        <w:rPr>
          <w:rFonts w:hint="eastAsia"/>
          <w:lang w:val="en-US" w:eastAsia="zh-CN"/>
        </w:rPr>
        <w:t>2.2.1 scenario 1</w:t>
      </w:r>
    </w:p>
    <w:p>
      <w:pPr>
        <w:rPr>
          <w:rFonts w:hint="default" w:ascii="Times New Roman" w:hAnsi="Times New Roman" w:cs="Times New Roman"/>
          <w:lang w:val="en-US" w:eastAsia="zh-CN"/>
        </w:rPr>
      </w:pPr>
      <w:r>
        <w:rPr>
          <w:rFonts w:hint="default" w:ascii="Times New Roman" w:hAnsi="Times New Roman" w:cs="Times New Roman"/>
          <w:lang w:val="en-US" w:eastAsia="zh-CN"/>
        </w:rPr>
        <w:t>According to our simulation, we have following observations:</w:t>
      </w:r>
    </w:p>
    <w:p>
      <w:pPr>
        <w:numPr>
          <w:ilvl w:val="0"/>
          <w:numId w:val="0"/>
        </w:numPr>
        <w:ind w:leftChars="0"/>
        <w:rPr>
          <w:rFonts w:hint="default" w:ascii="Times New Roman" w:hAnsi="Times New Roman" w:cs="Times New Roman"/>
          <w:b/>
          <w:bCs/>
          <w:lang w:val="en-US" w:eastAsia="zh-CN"/>
        </w:rPr>
      </w:pPr>
      <w:r>
        <w:rPr>
          <w:rFonts w:hint="default" w:ascii="Times New Roman" w:hAnsi="Times New Roman" w:cs="Times New Roman"/>
          <w:b/>
          <w:bCs/>
          <w:lang w:val="en-US" w:eastAsia="zh-CN"/>
        </w:rPr>
        <w:t>Observation 1: even for the case of TDD gNB interfere SBFD gNB receiver, there is no blocking for 100% grid shift.</w:t>
      </w:r>
    </w:p>
    <w:p>
      <w:pPr>
        <w:numPr>
          <w:ilvl w:val="0"/>
          <w:numId w:val="0"/>
        </w:numPr>
        <w:ind w:leftChars="0"/>
        <w:rPr>
          <w:rFonts w:hint="default" w:ascii="Times New Roman" w:hAnsi="Times New Roman" w:cs="Times New Roman"/>
          <w:b/>
          <w:bCs/>
          <w:lang w:val="en-US" w:eastAsia="zh-CN"/>
        </w:rPr>
      </w:pPr>
      <w:r>
        <w:rPr>
          <w:rFonts w:hint="default" w:ascii="Times New Roman" w:hAnsi="Times New Roman" w:cs="Times New Roman"/>
          <w:b/>
          <w:bCs/>
          <w:lang w:val="en-US" w:eastAsia="zh-CN"/>
        </w:rPr>
        <w:t>Observation 2: Compared with legacy TDD DL slot where there is no UL, SBFD would provide certain UL throughput although the throughput loss is severe when comparing with no adjacent interference with 100% grid shift assumption.</w:t>
      </w:r>
    </w:p>
    <w:p>
      <w:pPr>
        <w:numPr>
          <w:ilvl w:val="0"/>
          <w:numId w:val="0"/>
        </w:numPr>
        <w:ind w:leftChars="0"/>
        <w:rPr>
          <w:rFonts w:hint="default" w:ascii="Times New Roman" w:hAnsi="Times New Roman" w:cs="Times New Roman"/>
          <w:b/>
          <w:bCs/>
          <w:lang w:val="en-US" w:eastAsia="zh-CN"/>
        </w:rPr>
      </w:pPr>
      <w:r>
        <w:rPr>
          <w:rFonts w:hint="default" w:ascii="Times New Roman" w:hAnsi="Times New Roman" w:cs="Times New Roman"/>
          <w:b/>
          <w:bCs/>
          <w:lang w:val="en-US" w:eastAsia="zh-CN"/>
        </w:rPr>
        <w:t>Observation 3: except for gNB-to-gNB interference case, other cases show the adjacent channel with current ACIR or some enhancement could co-exist between SBFD and TDD network with 100% grid shift.</w:t>
      </w:r>
    </w:p>
    <w:p>
      <w:pPr>
        <w:pStyle w:val="5"/>
        <w:bidi w:val="0"/>
        <w:rPr>
          <w:rFonts w:hint="eastAsia"/>
          <w:lang w:val="en-US" w:eastAsia="zh-CN"/>
        </w:rPr>
      </w:pPr>
      <w:r>
        <w:rPr>
          <w:rFonts w:hint="eastAsia"/>
          <w:lang w:val="en-US" w:eastAsia="zh-CN"/>
        </w:rPr>
        <w:t>2.2.2 scenario 5</w:t>
      </w:r>
    </w:p>
    <w:p>
      <w:pPr>
        <w:rPr>
          <w:rFonts w:hint="default" w:ascii="Times New Roman" w:hAnsi="Times New Roman" w:cs="Times New Roman"/>
          <w:lang w:val="en-US" w:eastAsia="zh-CN"/>
        </w:rPr>
      </w:pPr>
      <w:r>
        <w:rPr>
          <w:rFonts w:hint="default" w:ascii="Times New Roman" w:hAnsi="Times New Roman" w:cs="Times New Roman"/>
          <w:lang w:val="en-US" w:eastAsia="zh-CN"/>
        </w:rPr>
        <w:t>According to our simulation, we have following observations:</w:t>
      </w:r>
    </w:p>
    <w:p>
      <w:pPr>
        <w:rPr>
          <w:rFonts w:hint="default" w:ascii="Times New Roman" w:hAnsi="Times New Roman" w:cs="Times New Roman"/>
          <w:lang w:val="en-US" w:eastAsia="zh-CN"/>
        </w:rPr>
      </w:pPr>
      <w:r>
        <w:rPr>
          <w:rFonts w:hint="eastAsia" w:ascii="Times New Roman" w:hAnsi="Times New Roman" w:cs="Times New Roman"/>
          <w:lang w:val="en-US" w:eastAsia="zh-CN"/>
        </w:rPr>
        <w:t>In this new scenario, 38dBm gNB output power with 2*2*2 antenna configuration are defined. According to our simulation results, cell edge 5% throughput loss is larger than 5% and almost come to 10% for case 3. but for  NR TDD adjacent channel synchronization performance, the throughput loss is also larger than 5% and even larger than SBFD scenario. From this point of view, we think throughput loss is acceptable for Umi-Umi scenario when output power is 38dBm.</w:t>
      </w:r>
    </w:p>
    <w:p>
      <w:pPr>
        <w:numPr>
          <w:ilvl w:val="0"/>
          <w:numId w:val="0"/>
        </w:numPr>
        <w:ind w:leftChars="0"/>
        <w:rPr>
          <w:rFonts w:hint="default"/>
          <w:lang w:val="en-US" w:eastAsia="zh-CN"/>
        </w:rPr>
      </w:pPr>
      <w:r>
        <w:rPr>
          <w:rFonts w:hint="default" w:ascii="Times New Roman" w:hAnsi="Times New Roman" w:cs="Times New Roman"/>
          <w:b/>
          <w:bCs/>
          <w:lang w:val="en-US" w:eastAsia="zh-CN"/>
        </w:rPr>
        <w:t xml:space="preserve">Observation </w:t>
      </w:r>
      <w:r>
        <w:rPr>
          <w:rFonts w:hint="eastAsia" w:ascii="Times New Roman" w:hAnsi="Times New Roman" w:cs="Times New Roman"/>
          <w:b/>
          <w:bCs/>
          <w:lang w:val="en-US" w:eastAsia="zh-CN"/>
        </w:rPr>
        <w:t>4</w:t>
      </w:r>
      <w:r>
        <w:rPr>
          <w:rFonts w:hint="default" w:ascii="Times New Roman" w:hAnsi="Times New Roman" w:cs="Times New Roman"/>
          <w:b/>
          <w:bCs/>
          <w:lang w:val="en-US" w:eastAsia="zh-CN"/>
        </w:rPr>
        <w:t xml:space="preserve">: </w:t>
      </w:r>
      <w:r>
        <w:rPr>
          <w:rFonts w:hint="eastAsia" w:ascii="Times New Roman" w:hAnsi="Times New Roman" w:cs="Times New Roman"/>
          <w:b/>
          <w:bCs/>
          <w:lang w:val="en-US" w:eastAsia="zh-CN"/>
        </w:rPr>
        <w:t>adjacent channel interference is acceptable for FR1 Umi-to-Umi scenario when output power is 38dBm.</w:t>
      </w:r>
    </w:p>
    <w:p>
      <w:pPr>
        <w:pStyle w:val="5"/>
        <w:bidi w:val="0"/>
        <w:rPr>
          <w:rFonts w:hint="eastAsia"/>
          <w:lang w:val="en-US" w:eastAsia="zh-CN"/>
        </w:rPr>
      </w:pPr>
      <w:r>
        <w:rPr>
          <w:rFonts w:hint="eastAsia"/>
          <w:lang w:val="en-US" w:eastAsia="zh-CN"/>
        </w:rPr>
        <w:t>2.2.3 scenario 6</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For FR2 uniform UE distribution scenario, mean throughput loss is less than 5% for all cases. for case 1, case 2, throughput loss at cell edge 5% is only a little larger than 5%, e.g. 5.88%. 2dB ACLR/ACS enhancement would contribute to less than 5% throughput loss. Therefore, we assume the adjacent channel interference is acceptable for scenario 6.</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According to our simulation, we have following observations</w:t>
      </w:r>
      <w:r>
        <w:rPr>
          <w:rFonts w:hint="eastAsia" w:ascii="Times New Roman" w:hAnsi="Times New Roman" w:cs="Times New Roman"/>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default"/>
          <w:lang w:val="en-US" w:eastAsia="zh-CN"/>
        </w:rPr>
      </w:pPr>
      <w:r>
        <w:rPr>
          <w:rFonts w:hint="default" w:ascii="Times New Roman" w:hAnsi="Times New Roman" w:cs="Times New Roman"/>
          <w:b/>
          <w:bCs/>
          <w:lang w:val="en-US" w:eastAsia="zh-CN"/>
        </w:rPr>
        <w:t xml:space="preserve">Observation </w:t>
      </w:r>
      <w:r>
        <w:rPr>
          <w:rFonts w:hint="eastAsia" w:ascii="Times New Roman" w:hAnsi="Times New Roman" w:cs="Times New Roman"/>
          <w:b/>
          <w:bCs/>
          <w:lang w:val="en-US" w:eastAsia="zh-CN"/>
        </w:rPr>
        <w:t>5</w:t>
      </w:r>
      <w:r>
        <w:rPr>
          <w:rFonts w:hint="default" w:ascii="Times New Roman" w:hAnsi="Times New Roman" w:cs="Times New Roman"/>
          <w:b/>
          <w:bCs/>
          <w:lang w:val="en-US" w:eastAsia="zh-CN"/>
        </w:rPr>
        <w:t xml:space="preserve">: </w:t>
      </w:r>
      <w:r>
        <w:rPr>
          <w:rFonts w:hint="eastAsia" w:ascii="Times New Roman" w:hAnsi="Times New Roman" w:cs="Times New Roman"/>
          <w:b/>
          <w:bCs/>
          <w:lang w:val="en-US" w:eastAsia="zh-CN"/>
        </w:rPr>
        <w:t>adjacent channel interference is acceptable for FR2 Uma-to-Uma scenario when UE is Uniform distribution.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pPr>
        <w:spacing w:after="156" w:afterLines="50"/>
        <w:rPr>
          <w:rFonts w:hint="eastAsia" w:ascii="Times New Roman" w:hAnsi="Times New Roman"/>
          <w:sz w:val="20"/>
          <w:szCs w:val="20"/>
          <w:lang w:val="en-US" w:eastAsia="zh-CN"/>
        </w:rPr>
      </w:pPr>
      <w:r>
        <w:rPr>
          <w:rFonts w:ascii="Times New Roman" w:hAnsi="Times New Roman"/>
          <w:sz w:val="20"/>
          <w:szCs w:val="20"/>
        </w:rPr>
        <w:t xml:space="preserve">In this contribution, </w:t>
      </w:r>
      <w:r>
        <w:rPr>
          <w:rFonts w:hint="eastAsia" w:ascii="Times New Roman" w:hAnsi="Times New Roman"/>
          <w:sz w:val="20"/>
          <w:szCs w:val="20"/>
          <w:lang w:val="en-US" w:eastAsia="zh-CN"/>
        </w:rPr>
        <w:t>SBFD simulation parameters and initial simulation conclusion is listed as below.</w:t>
      </w:r>
    </w:p>
    <w:p>
      <w:pPr>
        <w:numPr>
          <w:ilvl w:val="0"/>
          <w:numId w:val="0"/>
        </w:numPr>
        <w:spacing w:after="180" w:line="240" w:lineRule="auto"/>
        <w:ind w:leftChars="0"/>
        <w:rPr>
          <w:rFonts w:hint="eastAsia" w:ascii="Times New Roman" w:hAnsi="Times New Roman" w:cs="Times New Roman"/>
          <w:b/>
          <w:bCs/>
          <w:kern w:val="0"/>
          <w:sz w:val="20"/>
          <w:szCs w:val="20"/>
          <w:lang w:val="en-US" w:eastAsia="zh-CN"/>
        </w:rPr>
      </w:pPr>
      <w:r>
        <w:rPr>
          <w:rFonts w:hint="eastAsia" w:ascii="Times New Roman" w:hAnsi="Times New Roman" w:cs="Times New Roman"/>
          <w:b/>
          <w:bCs/>
          <w:kern w:val="0"/>
          <w:sz w:val="20"/>
          <w:szCs w:val="20"/>
          <w:lang w:val="en-US" w:eastAsia="zh-CN"/>
        </w:rPr>
        <w:t>Proposal 1: it</w:t>
      </w:r>
      <w:r>
        <w:rPr>
          <w:rFonts w:hint="default" w:ascii="Times New Roman" w:hAnsi="Times New Roman" w:cs="Times New Roman"/>
          <w:b/>
          <w:bCs/>
          <w:kern w:val="0"/>
          <w:sz w:val="20"/>
          <w:szCs w:val="20"/>
          <w:lang w:val="en-US" w:eastAsia="zh-CN"/>
        </w:rPr>
        <w:t>’</w:t>
      </w:r>
      <w:r>
        <w:rPr>
          <w:rFonts w:hint="eastAsia" w:ascii="Times New Roman" w:hAnsi="Times New Roman" w:cs="Times New Roman"/>
          <w:b/>
          <w:bCs/>
          <w:kern w:val="0"/>
          <w:sz w:val="20"/>
          <w:szCs w:val="20"/>
          <w:lang w:val="en-US" w:eastAsia="zh-CN"/>
        </w:rPr>
        <w:t>s suggested to approve following simulation parameters for scenario 5 UMi-to-Umi. for the parameters with two option values, it</w:t>
      </w:r>
      <w:r>
        <w:rPr>
          <w:rFonts w:hint="default" w:ascii="Times New Roman" w:hAnsi="Times New Roman" w:cs="Times New Roman"/>
          <w:b/>
          <w:bCs/>
          <w:kern w:val="0"/>
          <w:sz w:val="20"/>
          <w:szCs w:val="20"/>
          <w:lang w:val="en-US" w:eastAsia="zh-CN"/>
        </w:rPr>
        <w:t>’</w:t>
      </w:r>
      <w:r>
        <w:rPr>
          <w:rFonts w:hint="eastAsia" w:ascii="Times New Roman" w:hAnsi="Times New Roman" w:cs="Times New Roman"/>
          <w:b/>
          <w:bCs/>
          <w:kern w:val="0"/>
          <w:sz w:val="20"/>
          <w:szCs w:val="20"/>
          <w:lang w:val="en-US" w:eastAsia="zh-CN"/>
        </w:rPr>
        <w:t>s companies decision to determine choose which option.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70"/>
        <w:gridCol w:w="6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numPr>
                <w:ilvl w:val="0"/>
                <w:numId w:val="0"/>
              </w:numPr>
              <w:spacing w:before="120" w:after="180" w:line="240" w:lineRule="auto"/>
              <w:rPr>
                <w:rFonts w:hint="default"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Parameters</w:t>
            </w:r>
          </w:p>
        </w:tc>
        <w:tc>
          <w:tcPr>
            <w:tcW w:w="6892" w:type="dxa"/>
          </w:tcPr>
          <w:p>
            <w:pPr>
              <w:numPr>
                <w:ilvl w:val="0"/>
                <w:numId w:val="0"/>
              </w:numPr>
              <w:spacing w:before="120" w:after="180" w:line="240" w:lineRule="auto"/>
              <w:rPr>
                <w:rFonts w:hint="default"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numPr>
                <w:ilvl w:val="0"/>
                <w:numId w:val="0"/>
              </w:numPr>
              <w:spacing w:before="120" w:after="180" w:line="240" w:lineRule="auto"/>
              <w:rPr>
                <w:rFonts w:hint="default"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Max Tx power for dual polarization</w:t>
            </w:r>
          </w:p>
        </w:tc>
        <w:tc>
          <w:tcPr>
            <w:tcW w:w="6892" w:type="dxa"/>
          </w:tcPr>
          <w:p>
            <w:pPr>
              <w:numPr>
                <w:ilvl w:val="0"/>
                <w:numId w:val="0"/>
              </w:numPr>
              <w:spacing w:before="120" w:after="180" w:line="240" w:lineRule="auto"/>
              <w:rPr>
                <w:rFonts w:hint="eastAsia"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Option 1: 38dBm/100MHz, the same as 3GPP 1-C BS Tx power</w:t>
            </w:r>
          </w:p>
          <w:p>
            <w:pPr>
              <w:numPr>
                <w:ilvl w:val="0"/>
                <w:numId w:val="0"/>
              </w:numPr>
              <w:spacing w:before="120" w:after="180" w:line="240" w:lineRule="auto"/>
              <w:rPr>
                <w:rFonts w:hint="default"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Option 2: 46dBm/100MHz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3070" w:type="dxa"/>
          </w:tcPr>
          <w:p>
            <w:pPr>
              <w:numPr>
                <w:ilvl w:val="0"/>
                <w:numId w:val="0"/>
              </w:numPr>
              <w:spacing w:before="120" w:after="180" w:line="240" w:lineRule="auto"/>
              <w:rPr>
                <w:rFonts w:hint="eastAsia"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Inter-BS distance</w:t>
            </w:r>
          </w:p>
        </w:tc>
        <w:tc>
          <w:tcPr>
            <w:tcW w:w="6892" w:type="dxa"/>
          </w:tcPr>
          <w:p>
            <w:pPr>
              <w:numPr>
                <w:ilvl w:val="0"/>
                <w:numId w:val="0"/>
              </w:numPr>
              <w:spacing w:before="120" w:after="180" w:line="240" w:lineRule="auto"/>
              <w:rPr>
                <w:rFonts w:hint="eastAsia"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289m ( based on macro-to-micro ratio of 3 ).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numPr>
                <w:ilvl w:val="0"/>
                <w:numId w:val="0"/>
              </w:numPr>
              <w:spacing w:before="120" w:after="180" w:line="240" w:lineRule="auto"/>
              <w:rPr>
                <w:rFonts w:hint="eastAsia"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EIRP</w:t>
            </w:r>
          </w:p>
        </w:tc>
        <w:tc>
          <w:tcPr>
            <w:tcW w:w="6892" w:type="dxa"/>
          </w:tcPr>
          <w:p>
            <w:pPr>
              <w:numPr>
                <w:ilvl w:val="0"/>
                <w:numId w:val="0"/>
              </w:numPr>
              <w:spacing w:before="120" w:after="180" w:line="240" w:lineRule="auto"/>
              <w:rPr>
                <w:rFonts w:hint="eastAsia"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Option 1: 49dBm/100MHz which reuse the same antenna configuration assumption as UMi in R4-2305922 and with 38dBm TRP assumption</w:t>
            </w:r>
          </w:p>
          <w:p>
            <w:pPr>
              <w:numPr>
                <w:ilvl w:val="0"/>
                <w:numId w:val="0"/>
              </w:numPr>
              <w:spacing w:before="120" w:after="180" w:line="240" w:lineRule="auto"/>
              <w:rPr>
                <w:rFonts w:hint="default"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Option 2: 57dBm/100MHz which reuse the same antenna configuration assumption as UMi in R4-2305922 and with 46dBm TRP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3070" w:type="dxa"/>
          </w:tcPr>
          <w:p>
            <w:pPr>
              <w:numPr>
                <w:ilvl w:val="0"/>
                <w:numId w:val="0"/>
              </w:numPr>
              <w:spacing w:before="120" w:after="180" w:line="240" w:lineRule="auto"/>
              <w:rPr>
                <w:rFonts w:hint="eastAsia"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antenna configuration</w:t>
            </w:r>
          </w:p>
        </w:tc>
        <w:tc>
          <w:tcPr>
            <w:tcW w:w="6892" w:type="dxa"/>
          </w:tcPr>
          <w:p>
            <w:pPr>
              <w:numPr>
                <w:ilvl w:val="0"/>
                <w:numId w:val="0"/>
              </w:numPr>
              <w:spacing w:before="120" w:after="180" w:line="240" w:lineRule="auto"/>
              <w:rPr>
                <w:rFonts w:hint="eastAsia"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the same antenna configuration assumption as Umi in R4-2305922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numPr>
                <w:ilvl w:val="0"/>
                <w:numId w:val="0"/>
              </w:numPr>
              <w:spacing w:before="120" w:after="180" w:line="240" w:lineRule="auto"/>
              <w:rPr>
                <w:rFonts w:hint="default"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layout</w:t>
            </w:r>
          </w:p>
        </w:tc>
        <w:tc>
          <w:tcPr>
            <w:tcW w:w="6892" w:type="dxa"/>
          </w:tcPr>
          <w:p>
            <w:pPr>
              <w:numPr>
                <w:ilvl w:val="0"/>
                <w:numId w:val="0"/>
              </w:numPr>
              <w:spacing w:before="120" w:after="180" w:line="240" w:lineRule="auto"/>
              <w:rPr>
                <w:rFonts w:hint="eastAsia"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Single layer with 19 hexagonal cell with wrap around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numPr>
                <w:ilvl w:val="0"/>
                <w:numId w:val="0"/>
              </w:numPr>
              <w:spacing w:before="120" w:after="180" w:line="240" w:lineRule="auto"/>
              <w:rPr>
                <w:rFonts w:hint="default"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BS NF</w:t>
            </w:r>
          </w:p>
        </w:tc>
        <w:tc>
          <w:tcPr>
            <w:tcW w:w="6892" w:type="dxa"/>
          </w:tcPr>
          <w:p>
            <w:pPr>
              <w:numPr>
                <w:ilvl w:val="0"/>
                <w:numId w:val="0"/>
              </w:numPr>
              <w:spacing w:before="120" w:after="180" w:line="240" w:lineRule="auto"/>
              <w:rPr>
                <w:rFonts w:hint="default"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10dB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numPr>
                <w:ilvl w:val="0"/>
                <w:numId w:val="0"/>
              </w:numPr>
              <w:spacing w:before="120" w:after="180" w:line="240" w:lineRule="auto"/>
              <w:rPr>
                <w:rFonts w:hint="default"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gNB-to-gNB pathloss model and LOS probability model</w:t>
            </w:r>
          </w:p>
        </w:tc>
        <w:tc>
          <w:tcPr>
            <w:tcW w:w="6892" w:type="dxa"/>
          </w:tcPr>
          <w:p>
            <w:pPr>
              <w:numPr>
                <w:ilvl w:val="0"/>
                <w:numId w:val="0"/>
              </w:numPr>
              <w:spacing w:before="120" w:after="180" w:line="240" w:lineRule="auto"/>
              <w:rPr>
                <w:rFonts w:hint="default"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Using the UMi model in TS 38.803 by updating UT height to 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70" w:type="dxa"/>
          </w:tcPr>
          <w:p>
            <w:pPr>
              <w:numPr>
                <w:ilvl w:val="0"/>
                <w:numId w:val="0"/>
              </w:numPr>
              <w:spacing w:before="120" w:after="180" w:line="240" w:lineRule="auto"/>
              <w:rPr>
                <w:rFonts w:hint="default"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Other parameters</w:t>
            </w:r>
          </w:p>
        </w:tc>
        <w:tc>
          <w:tcPr>
            <w:tcW w:w="6892" w:type="dxa"/>
          </w:tcPr>
          <w:p>
            <w:pPr>
              <w:numPr>
                <w:ilvl w:val="0"/>
                <w:numId w:val="0"/>
              </w:numPr>
              <w:spacing w:before="120" w:after="180" w:line="240" w:lineRule="auto"/>
              <w:rPr>
                <w:rFonts w:hint="default"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The same as in R4-2305922 and other requirements refer to MR BS requirements in 38.104 or Uma gNB simulation parameters.</w:t>
            </w:r>
          </w:p>
        </w:tc>
      </w:tr>
    </w:tbl>
    <w:p>
      <w:pPr>
        <w:spacing w:after="156" w:afterLines="50"/>
        <w:rPr>
          <w:rFonts w:hint="default" w:ascii="Times New Roman" w:hAnsi="Times New Roman"/>
          <w:sz w:val="20"/>
          <w:szCs w:val="2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Observation 1: even for the case of TDD gNB interfere SBFD gNB receiver, there is no blocking for 100% grid shift.</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Observation 2: Compared with legacy TDD DL slot where there is no UL, SBFD would provide certain UL throughput although the throughput loss is severe when comparing with no adjacent interference with 100% grid shift assumption.</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Observation 3: except for gNB-to-gNB interference case, other cases show the adjacent channel with current ACIR or some enhancement could co-exist between SBFD and TDD network with 100% grid shift.</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default"/>
          <w:lang w:val="en-US" w:eastAsia="zh-CN"/>
        </w:rPr>
      </w:pPr>
      <w:r>
        <w:rPr>
          <w:rFonts w:hint="default" w:ascii="Times New Roman" w:hAnsi="Times New Roman" w:cs="Times New Roman"/>
          <w:b/>
          <w:bCs/>
          <w:lang w:val="en-US" w:eastAsia="zh-CN"/>
        </w:rPr>
        <w:t xml:space="preserve">Observation </w:t>
      </w:r>
      <w:r>
        <w:rPr>
          <w:rFonts w:hint="eastAsia" w:ascii="Times New Roman" w:hAnsi="Times New Roman" w:cs="Times New Roman"/>
          <w:b/>
          <w:bCs/>
          <w:lang w:val="en-US" w:eastAsia="zh-CN"/>
        </w:rPr>
        <w:t>4</w:t>
      </w:r>
      <w:r>
        <w:rPr>
          <w:rFonts w:hint="default" w:ascii="Times New Roman" w:hAnsi="Times New Roman" w:cs="Times New Roman"/>
          <w:b/>
          <w:bCs/>
          <w:lang w:val="en-US" w:eastAsia="zh-CN"/>
        </w:rPr>
        <w:t xml:space="preserve">: </w:t>
      </w:r>
      <w:r>
        <w:rPr>
          <w:rFonts w:hint="eastAsia" w:ascii="Times New Roman" w:hAnsi="Times New Roman" w:cs="Times New Roman"/>
          <w:b/>
          <w:bCs/>
          <w:lang w:val="en-US" w:eastAsia="zh-CN"/>
        </w:rPr>
        <w:t>adjacent channel interference is acceptable for FR1 Umi-to-Umi scenario when output power is 38dBm.</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textAlignment w:val="auto"/>
        <w:rPr>
          <w:rFonts w:hint="default" w:ascii="Times New Roman" w:hAnsi="Times New Roman"/>
          <w:sz w:val="20"/>
          <w:szCs w:val="20"/>
          <w:lang w:val="en-US" w:eastAsia="zh-CN"/>
        </w:rPr>
      </w:pPr>
      <w:r>
        <w:rPr>
          <w:rFonts w:hint="default" w:ascii="Times New Roman" w:hAnsi="Times New Roman" w:cs="Times New Roman"/>
          <w:b/>
          <w:bCs/>
          <w:lang w:val="en-US" w:eastAsia="zh-CN"/>
        </w:rPr>
        <w:t xml:space="preserve">Observation </w:t>
      </w:r>
      <w:r>
        <w:rPr>
          <w:rFonts w:hint="eastAsia" w:ascii="Times New Roman" w:hAnsi="Times New Roman" w:cs="Times New Roman"/>
          <w:b/>
          <w:bCs/>
          <w:lang w:val="en-US" w:eastAsia="zh-CN"/>
        </w:rPr>
        <w:t>5</w:t>
      </w:r>
      <w:r>
        <w:rPr>
          <w:rFonts w:hint="default" w:ascii="Times New Roman" w:hAnsi="Times New Roman" w:cs="Times New Roman"/>
          <w:b/>
          <w:bCs/>
          <w:lang w:val="en-US" w:eastAsia="zh-CN"/>
        </w:rPr>
        <w:t xml:space="preserve">: </w:t>
      </w:r>
      <w:r>
        <w:rPr>
          <w:rFonts w:hint="eastAsia" w:ascii="Times New Roman" w:hAnsi="Times New Roman" w:cs="Times New Roman"/>
          <w:b/>
          <w:bCs/>
          <w:lang w:val="en-US" w:eastAsia="zh-CN"/>
        </w:rPr>
        <w:t>adjacent channel interference is acceptable for FR2 Uma-to-Uma scenario when UE is Uniform distribution.</w:t>
      </w:r>
    </w:p>
    <w:p>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pPr>
        <w:widowControl/>
        <w:overflowPunct w:val="0"/>
        <w:autoSpaceDE w:val="0"/>
        <w:autoSpaceDN w:val="0"/>
        <w:adjustRightInd w:val="0"/>
        <w:spacing w:after="180"/>
        <w:jc w:val="left"/>
        <w:textAlignment w:val="baseline"/>
        <w:rPr>
          <w:rFonts w:ascii="Times New Roman" w:hAnsi="Times New Roman"/>
          <w:sz w:val="20"/>
          <w:szCs w:val="20"/>
        </w:rPr>
      </w:pPr>
      <w:r>
        <w:rPr>
          <w:rFonts w:hint="eastAsia" w:ascii="Times New Roman" w:hAnsi="Times New Roman"/>
          <w:sz w:val="20"/>
          <w:szCs w:val="20"/>
        </w:rPr>
        <w:t xml:space="preserve">[1] </w:t>
      </w:r>
      <w:r>
        <w:rPr>
          <w:rFonts w:ascii="Times New Roman" w:hAnsi="Times New Roman"/>
          <w:sz w:val="20"/>
          <w:szCs w:val="20"/>
        </w:rPr>
        <w:t>R4-2217464, WF on SBFD feasibility study and RF impact: BS aspects, Samsung</w:t>
      </w:r>
    </w:p>
    <w:p>
      <w:pPr>
        <w:widowControl/>
        <w:overflowPunct w:val="0"/>
        <w:autoSpaceDE w:val="0"/>
        <w:autoSpaceDN w:val="0"/>
        <w:adjustRightInd w:val="0"/>
        <w:spacing w:after="180"/>
        <w:jc w:val="left"/>
        <w:textAlignment w:val="baseline"/>
        <w:rPr>
          <w:rFonts w:ascii="Times New Roman" w:hAnsi="Times New Roman"/>
          <w:sz w:val="20"/>
          <w:szCs w:val="20"/>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828BB9"/>
    <w:multiLevelType w:val="singleLevel"/>
    <w:tmpl w:val="E3828BB9"/>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2A"/>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157EBC"/>
    <w:rsid w:val="020970CA"/>
    <w:rsid w:val="028E1852"/>
    <w:rsid w:val="03207FB0"/>
    <w:rsid w:val="039B4076"/>
    <w:rsid w:val="053C405B"/>
    <w:rsid w:val="05C468A8"/>
    <w:rsid w:val="06505940"/>
    <w:rsid w:val="06F3435A"/>
    <w:rsid w:val="0769686A"/>
    <w:rsid w:val="076B000F"/>
    <w:rsid w:val="0770402F"/>
    <w:rsid w:val="085B49C4"/>
    <w:rsid w:val="0900762B"/>
    <w:rsid w:val="0A231DB1"/>
    <w:rsid w:val="0A631516"/>
    <w:rsid w:val="0AB04E98"/>
    <w:rsid w:val="0C5E6FFC"/>
    <w:rsid w:val="0E7813A9"/>
    <w:rsid w:val="0FF85987"/>
    <w:rsid w:val="12A904AC"/>
    <w:rsid w:val="12E83AF4"/>
    <w:rsid w:val="13C91B9D"/>
    <w:rsid w:val="14465C25"/>
    <w:rsid w:val="175D4E0A"/>
    <w:rsid w:val="17787D90"/>
    <w:rsid w:val="190C5C28"/>
    <w:rsid w:val="1A8670A6"/>
    <w:rsid w:val="1AD928F8"/>
    <w:rsid w:val="1B00542F"/>
    <w:rsid w:val="1B3F3E40"/>
    <w:rsid w:val="1BE972DA"/>
    <w:rsid w:val="1BF509C2"/>
    <w:rsid w:val="1BF95FEE"/>
    <w:rsid w:val="1D4767D4"/>
    <w:rsid w:val="1D867707"/>
    <w:rsid w:val="1DEC57A6"/>
    <w:rsid w:val="1F2F076D"/>
    <w:rsid w:val="216F2E69"/>
    <w:rsid w:val="220F4B38"/>
    <w:rsid w:val="222402A2"/>
    <w:rsid w:val="223D47BB"/>
    <w:rsid w:val="228B3B2E"/>
    <w:rsid w:val="22C47F17"/>
    <w:rsid w:val="23190BEB"/>
    <w:rsid w:val="235E2230"/>
    <w:rsid w:val="2370600B"/>
    <w:rsid w:val="23D8799B"/>
    <w:rsid w:val="24323971"/>
    <w:rsid w:val="2487307B"/>
    <w:rsid w:val="254E0ABD"/>
    <w:rsid w:val="25A10883"/>
    <w:rsid w:val="25CD1194"/>
    <w:rsid w:val="276A1EBA"/>
    <w:rsid w:val="28AA4C8A"/>
    <w:rsid w:val="29EB0C54"/>
    <w:rsid w:val="2AC70C94"/>
    <w:rsid w:val="2B146781"/>
    <w:rsid w:val="2BD40774"/>
    <w:rsid w:val="2C884632"/>
    <w:rsid w:val="2D4D79AC"/>
    <w:rsid w:val="2D817536"/>
    <w:rsid w:val="2EEC4E92"/>
    <w:rsid w:val="2FCB6344"/>
    <w:rsid w:val="301452F1"/>
    <w:rsid w:val="30524DF2"/>
    <w:rsid w:val="315F5D75"/>
    <w:rsid w:val="31EA3BF2"/>
    <w:rsid w:val="32812E6C"/>
    <w:rsid w:val="33D23A93"/>
    <w:rsid w:val="342F3E2C"/>
    <w:rsid w:val="34336FAF"/>
    <w:rsid w:val="34414710"/>
    <w:rsid w:val="34E500D8"/>
    <w:rsid w:val="354B12A3"/>
    <w:rsid w:val="35C267C1"/>
    <w:rsid w:val="35C8614C"/>
    <w:rsid w:val="35D319E6"/>
    <w:rsid w:val="35E844FA"/>
    <w:rsid w:val="36510879"/>
    <w:rsid w:val="37726C9D"/>
    <w:rsid w:val="37D31A24"/>
    <w:rsid w:val="396F1445"/>
    <w:rsid w:val="39823A9F"/>
    <w:rsid w:val="3A436689"/>
    <w:rsid w:val="3A7135F2"/>
    <w:rsid w:val="3A9E53BA"/>
    <w:rsid w:val="3AAC45FF"/>
    <w:rsid w:val="3B662C1E"/>
    <w:rsid w:val="3BC7289E"/>
    <w:rsid w:val="3C171533"/>
    <w:rsid w:val="3CD51844"/>
    <w:rsid w:val="3DDF3B18"/>
    <w:rsid w:val="3F05012B"/>
    <w:rsid w:val="3F28582E"/>
    <w:rsid w:val="40225A46"/>
    <w:rsid w:val="405A1423"/>
    <w:rsid w:val="40CD24F9"/>
    <w:rsid w:val="40F02483"/>
    <w:rsid w:val="40F97CA8"/>
    <w:rsid w:val="410113A2"/>
    <w:rsid w:val="41570042"/>
    <w:rsid w:val="415F544E"/>
    <w:rsid w:val="417D0B1D"/>
    <w:rsid w:val="41C60C56"/>
    <w:rsid w:val="42FF6D16"/>
    <w:rsid w:val="43B84329"/>
    <w:rsid w:val="43DF41E8"/>
    <w:rsid w:val="43F11B33"/>
    <w:rsid w:val="44225F56"/>
    <w:rsid w:val="444678CE"/>
    <w:rsid w:val="44565A46"/>
    <w:rsid w:val="45830A1B"/>
    <w:rsid w:val="458E2C2A"/>
    <w:rsid w:val="45C1217F"/>
    <w:rsid w:val="46C741DF"/>
    <w:rsid w:val="46D92EFD"/>
    <w:rsid w:val="46E67A01"/>
    <w:rsid w:val="46FC6684"/>
    <w:rsid w:val="48BE52E4"/>
    <w:rsid w:val="48D556EC"/>
    <w:rsid w:val="4C261BDE"/>
    <w:rsid w:val="4D5E08FC"/>
    <w:rsid w:val="4F0624DB"/>
    <w:rsid w:val="4F5E38C5"/>
    <w:rsid w:val="4F6E60DE"/>
    <w:rsid w:val="4FF02936"/>
    <w:rsid w:val="500243D3"/>
    <w:rsid w:val="509636E2"/>
    <w:rsid w:val="52FC46EA"/>
    <w:rsid w:val="5403314B"/>
    <w:rsid w:val="541D2F0E"/>
    <w:rsid w:val="55584783"/>
    <w:rsid w:val="558E2FA7"/>
    <w:rsid w:val="5650389A"/>
    <w:rsid w:val="57404D35"/>
    <w:rsid w:val="57662666"/>
    <w:rsid w:val="57684BF4"/>
    <w:rsid w:val="5AAA72D0"/>
    <w:rsid w:val="5BBD01B3"/>
    <w:rsid w:val="5C494943"/>
    <w:rsid w:val="5D851C35"/>
    <w:rsid w:val="5EA842DD"/>
    <w:rsid w:val="5FAE5D89"/>
    <w:rsid w:val="5FC86933"/>
    <w:rsid w:val="5FDC7E75"/>
    <w:rsid w:val="5FF120B4"/>
    <w:rsid w:val="601147A8"/>
    <w:rsid w:val="605B1725"/>
    <w:rsid w:val="61AA48CA"/>
    <w:rsid w:val="61AF0D51"/>
    <w:rsid w:val="62A328E3"/>
    <w:rsid w:val="63407442"/>
    <w:rsid w:val="641414C0"/>
    <w:rsid w:val="647D566C"/>
    <w:rsid w:val="6566621E"/>
    <w:rsid w:val="67953680"/>
    <w:rsid w:val="67A9335C"/>
    <w:rsid w:val="69156EBB"/>
    <w:rsid w:val="69FB3DEF"/>
    <w:rsid w:val="6A5463F0"/>
    <w:rsid w:val="6B9F60AC"/>
    <w:rsid w:val="6C062F71"/>
    <w:rsid w:val="6CAF20DF"/>
    <w:rsid w:val="6D904C50"/>
    <w:rsid w:val="6E9111BD"/>
    <w:rsid w:val="701E2CFF"/>
    <w:rsid w:val="7076338E"/>
    <w:rsid w:val="708E1078"/>
    <w:rsid w:val="725E2DC6"/>
    <w:rsid w:val="72993414"/>
    <w:rsid w:val="73A57DF9"/>
    <w:rsid w:val="73CC19D5"/>
    <w:rsid w:val="746D6812"/>
    <w:rsid w:val="756103A4"/>
    <w:rsid w:val="766A2DD4"/>
    <w:rsid w:val="766D3D59"/>
    <w:rsid w:val="76E262DA"/>
    <w:rsid w:val="76F00D88"/>
    <w:rsid w:val="7728448C"/>
    <w:rsid w:val="772A6AEC"/>
    <w:rsid w:val="78B9366E"/>
    <w:rsid w:val="7A9750AD"/>
    <w:rsid w:val="7BC80470"/>
    <w:rsid w:val="7CA3770C"/>
    <w:rsid w:val="7DFC31C0"/>
    <w:rsid w:val="7E4F565C"/>
    <w:rsid w:val="7EE5313E"/>
    <w:rsid w:val="7F23352A"/>
    <w:rsid w:val="7F7D33DC"/>
    <w:rsid w:val="7F8477C4"/>
    <w:rsid w:val="7FAA1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6"/>
    <w:unhideWhenUsed/>
    <w:qFormat/>
    <w:uiPriority w:val="9"/>
    <w:pPr>
      <w:keepNext/>
      <w:keepLines/>
      <w:spacing w:before="260" w:after="260" w:line="240" w:lineRule="auto"/>
      <w:outlineLvl w:val="2"/>
    </w:pPr>
    <w:rPr>
      <w:rFonts w:ascii="Arial" w:hAnsi="Arial"/>
      <w:b/>
      <w:sz w:val="32"/>
      <w:szCs w:val="30"/>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paragraph" w:styleId="6">
    <w:name w:val="heading 5"/>
    <w:basedOn w:val="1"/>
    <w:next w:val="1"/>
    <w:link w:val="50"/>
    <w:semiHidden/>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40"/>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8">
    <w:name w:val="Document Map"/>
    <w:basedOn w:val="1"/>
    <w:link w:val="39"/>
    <w:semiHidden/>
    <w:unhideWhenUsed/>
    <w:qFormat/>
    <w:uiPriority w:val="99"/>
    <w:rPr>
      <w:rFonts w:ascii="宋体"/>
      <w:sz w:val="18"/>
      <w:szCs w:val="18"/>
    </w:rPr>
  </w:style>
  <w:style w:type="paragraph" w:styleId="9">
    <w:name w:val="annotation text"/>
    <w:basedOn w:val="1"/>
    <w:link w:val="37"/>
    <w:unhideWhenUsed/>
    <w:qFormat/>
    <w:uiPriority w:val="0"/>
    <w:pPr>
      <w:jc w:val="left"/>
    </w:pPr>
  </w:style>
  <w:style w:type="paragraph" w:styleId="10">
    <w:name w:val="Balloon Text"/>
    <w:basedOn w:val="1"/>
    <w:link w:val="35"/>
    <w:semiHidden/>
    <w:unhideWhenUsed/>
    <w:qFormat/>
    <w:uiPriority w:val="99"/>
    <w:rPr>
      <w:sz w:val="18"/>
      <w:szCs w:val="18"/>
    </w:rPr>
  </w:style>
  <w:style w:type="paragraph" w:styleId="11">
    <w:name w:val="footer"/>
    <w:basedOn w:val="1"/>
    <w:link w:val="22"/>
    <w:unhideWhenUsed/>
    <w:qFormat/>
    <w:uiPriority w:val="99"/>
    <w:pPr>
      <w:tabs>
        <w:tab w:val="center" w:pos="4153"/>
        <w:tab w:val="right" w:pos="8306"/>
      </w:tabs>
      <w:snapToGrid w:val="0"/>
      <w:jc w:val="left"/>
    </w:pPr>
    <w:rPr>
      <w:sz w:val="18"/>
      <w:szCs w:val="18"/>
    </w:rPr>
  </w:style>
  <w:style w:type="paragraph" w:styleId="12">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List"/>
    <w:basedOn w:val="1"/>
    <w:semiHidden/>
    <w:unhideWhenUsed/>
    <w:qFormat/>
    <w:uiPriority w:val="99"/>
    <w:pPr>
      <w:ind w:left="200" w:hanging="200" w:hangingChars="200"/>
      <w:contextualSpacing/>
    </w:p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9"/>
    <w:next w:val="9"/>
    <w:link w:val="38"/>
    <w:semiHidden/>
    <w:unhideWhenUsed/>
    <w:qFormat/>
    <w:uiPriority w:val="99"/>
    <w:rPr>
      <w:b/>
      <w:bCs/>
    </w:rPr>
  </w:style>
  <w:style w:type="table" w:styleId="17">
    <w:name w:val="Table Grid"/>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Header Char"/>
    <w:basedOn w:val="18"/>
    <w:link w:val="12"/>
    <w:qFormat/>
    <w:uiPriority w:val="99"/>
    <w:rPr>
      <w:sz w:val="18"/>
      <w:szCs w:val="18"/>
    </w:rPr>
  </w:style>
  <w:style w:type="character" w:customStyle="1" w:styleId="22">
    <w:name w:val="Footer Char"/>
    <w:basedOn w:val="18"/>
    <w:link w:val="11"/>
    <w:qFormat/>
    <w:uiPriority w:val="99"/>
    <w:rPr>
      <w:sz w:val="18"/>
      <w:szCs w:val="18"/>
    </w:rPr>
  </w:style>
  <w:style w:type="character" w:customStyle="1" w:styleId="23">
    <w:name w:val="Char Char"/>
    <w:link w:val="24"/>
    <w:qFormat/>
    <w:uiPriority w:val="0"/>
    <w:rPr>
      <w:rFonts w:ascii="Arial" w:hAnsi="Arial"/>
      <w:sz w:val="32"/>
      <w:szCs w:val="36"/>
    </w:rPr>
  </w:style>
  <w:style w:type="paragraph" w:customStyle="1" w:styleId="24">
    <w:name w:val="Char"/>
    <w:basedOn w:val="25"/>
    <w:link w:val="23"/>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5">
    <w:name w:val="List Paragraph"/>
    <w:basedOn w:val="1"/>
    <w:link w:val="41"/>
    <w:qFormat/>
    <w:uiPriority w:val="34"/>
    <w:pPr>
      <w:ind w:firstLine="420" w:firstLineChars="200"/>
    </w:pPr>
  </w:style>
  <w:style w:type="character" w:customStyle="1" w:styleId="26">
    <w:name w:val="TAH Car"/>
    <w:link w:val="27"/>
    <w:qFormat/>
    <w:uiPriority w:val="0"/>
    <w:rPr>
      <w:rFonts w:ascii="Arial" w:hAnsi="Arial" w:eastAsia="Times New Roman" w:cs="Times New Roman"/>
      <w:b/>
      <w:kern w:val="0"/>
      <w:sz w:val="18"/>
      <w:szCs w:val="20"/>
      <w:lang w:val="en-GB" w:eastAsia="ja-JP"/>
    </w:rPr>
  </w:style>
  <w:style w:type="paragraph" w:customStyle="1" w:styleId="27">
    <w:name w:val="TAH"/>
    <w:basedOn w:val="28"/>
    <w:link w:val="26"/>
    <w:qFormat/>
    <w:uiPriority w:val="0"/>
    <w:rPr>
      <w:b/>
    </w:rPr>
  </w:style>
  <w:style w:type="paragraph" w:customStyle="1" w:styleId="28">
    <w:name w:val="TAC"/>
    <w:basedOn w:val="29"/>
    <w:link w:val="32"/>
    <w:qFormat/>
    <w:uiPriority w:val="0"/>
    <w:pPr>
      <w:overflowPunct w:val="0"/>
      <w:autoSpaceDE w:val="0"/>
      <w:autoSpaceDN w:val="0"/>
      <w:adjustRightInd w:val="0"/>
      <w:jc w:val="center"/>
      <w:textAlignment w:val="baseline"/>
    </w:pPr>
    <w:rPr>
      <w:lang w:eastAsia="ja-JP"/>
    </w:rPr>
  </w:style>
  <w:style w:type="paragraph" w:customStyle="1" w:styleId="29">
    <w:name w:val="TAL"/>
    <w:basedOn w:val="1"/>
    <w:link w:val="36"/>
    <w:qFormat/>
    <w:uiPriority w:val="0"/>
    <w:pPr>
      <w:keepNext/>
      <w:keepLines/>
      <w:widowControl/>
      <w:jc w:val="left"/>
    </w:pPr>
    <w:rPr>
      <w:rFonts w:ascii="Arial" w:hAnsi="Arial" w:eastAsia="Times New Roman"/>
      <w:kern w:val="0"/>
      <w:sz w:val="18"/>
      <w:szCs w:val="20"/>
      <w:lang w:val="en-GB" w:eastAsia="en-US"/>
    </w:rPr>
  </w:style>
  <w:style w:type="character" w:customStyle="1" w:styleId="30">
    <w:name w:val="B1 Char"/>
    <w:link w:val="31"/>
    <w:qFormat/>
    <w:uiPriority w:val="0"/>
    <w:rPr>
      <w:rFonts w:ascii="Times New Roman" w:hAnsi="Times New Roman" w:eastAsia="MS Mincho"/>
      <w:lang w:val="en-GB" w:eastAsia="de-DE"/>
    </w:rPr>
  </w:style>
  <w:style w:type="paragraph" w:customStyle="1" w:styleId="31">
    <w:name w:val="B1"/>
    <w:basedOn w:val="13"/>
    <w:link w:val="30"/>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2">
    <w:name w:val="TAC Char"/>
    <w:link w:val="28"/>
    <w:qFormat/>
    <w:uiPriority w:val="0"/>
    <w:rPr>
      <w:rFonts w:ascii="Arial" w:hAnsi="Arial" w:eastAsia="Times New Roman" w:cs="Times New Roman"/>
      <w:kern w:val="0"/>
      <w:sz w:val="18"/>
      <w:szCs w:val="20"/>
      <w:lang w:val="en-GB" w:eastAsia="ja-JP"/>
    </w:rPr>
  </w:style>
  <w:style w:type="paragraph" w:styleId="33">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4">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5">
    <w:name w:val="Balloon Text Char"/>
    <w:basedOn w:val="18"/>
    <w:link w:val="10"/>
    <w:semiHidden/>
    <w:qFormat/>
    <w:uiPriority w:val="99"/>
    <w:rPr>
      <w:rFonts w:ascii="CG Times (WN)" w:hAnsi="CG Times (WN)" w:eastAsia="宋体" w:cs="Times New Roman"/>
      <w:sz w:val="18"/>
      <w:szCs w:val="18"/>
    </w:rPr>
  </w:style>
  <w:style w:type="character" w:customStyle="1" w:styleId="36">
    <w:name w:val="TAL Char"/>
    <w:link w:val="29"/>
    <w:qFormat/>
    <w:uiPriority w:val="0"/>
    <w:rPr>
      <w:rFonts w:ascii="Arial" w:hAnsi="Arial" w:eastAsia="Times New Roman" w:cs="Times New Roman"/>
      <w:kern w:val="0"/>
      <w:sz w:val="18"/>
      <w:szCs w:val="20"/>
      <w:lang w:val="en-GB" w:eastAsia="en-US"/>
    </w:rPr>
  </w:style>
  <w:style w:type="character" w:customStyle="1" w:styleId="37">
    <w:name w:val="Comment Text Char"/>
    <w:basedOn w:val="18"/>
    <w:link w:val="9"/>
    <w:qFormat/>
    <w:uiPriority w:val="0"/>
    <w:rPr>
      <w:rFonts w:ascii="CG Times (WN)" w:hAnsi="CG Times (WN)" w:eastAsia="宋体" w:cs="Times New Roman"/>
    </w:rPr>
  </w:style>
  <w:style w:type="character" w:customStyle="1" w:styleId="38">
    <w:name w:val="Comment Subject Char"/>
    <w:basedOn w:val="37"/>
    <w:link w:val="15"/>
    <w:semiHidden/>
    <w:qFormat/>
    <w:uiPriority w:val="99"/>
    <w:rPr>
      <w:rFonts w:ascii="CG Times (WN)" w:hAnsi="CG Times (WN)" w:eastAsia="宋体" w:cs="Times New Roman"/>
      <w:b/>
      <w:bCs/>
    </w:rPr>
  </w:style>
  <w:style w:type="character" w:customStyle="1" w:styleId="39">
    <w:name w:val="Document Map Char"/>
    <w:basedOn w:val="18"/>
    <w:link w:val="8"/>
    <w:semiHidden/>
    <w:qFormat/>
    <w:uiPriority w:val="99"/>
    <w:rPr>
      <w:rFonts w:ascii="宋体" w:hAnsi="CG Times (WN)" w:eastAsia="宋体" w:cs="Times New Roman"/>
      <w:sz w:val="18"/>
      <w:szCs w:val="18"/>
    </w:rPr>
  </w:style>
  <w:style w:type="character" w:customStyle="1" w:styleId="40">
    <w:name w:val="Caption Char"/>
    <w:link w:val="7"/>
    <w:qFormat/>
    <w:uiPriority w:val="35"/>
    <w:rPr>
      <w:rFonts w:ascii="Times New Roman" w:hAnsi="Times New Roman" w:eastAsia="MS Mincho" w:cs="Times New Roman"/>
      <w:b/>
      <w:kern w:val="0"/>
      <w:sz w:val="20"/>
      <w:szCs w:val="20"/>
      <w:lang w:val="en-GB" w:eastAsia="en-US"/>
    </w:rPr>
  </w:style>
  <w:style w:type="character" w:customStyle="1" w:styleId="41">
    <w:name w:val="List Paragraph Char"/>
    <w:link w:val="25"/>
    <w:qFormat/>
    <w:uiPriority w:val="34"/>
    <w:rPr>
      <w:rFonts w:ascii="CG Times (WN)" w:hAnsi="CG Times (WN)" w:eastAsia="宋体" w:cs="Times New Roma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3">
    <w:name w:val="Heading 2 Char"/>
    <w:basedOn w:val="18"/>
    <w:link w:val="3"/>
    <w:qFormat/>
    <w:uiPriority w:val="9"/>
    <w:rPr>
      <w:rFonts w:asciiTheme="majorHAnsi" w:hAnsiTheme="majorHAnsi" w:eastAsiaTheme="majorEastAsia" w:cstheme="majorBidi"/>
      <w:b/>
      <w:bCs/>
      <w:sz w:val="32"/>
      <w:szCs w:val="32"/>
    </w:rPr>
  </w:style>
  <w:style w:type="table" w:customStyle="1" w:styleId="44">
    <w:name w:val="网格型1"/>
    <w:basedOn w:val="16"/>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2"/>
    <w:basedOn w:val="16"/>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Heading 3 Char"/>
    <w:basedOn w:val="18"/>
    <w:link w:val="4"/>
    <w:qFormat/>
    <w:uiPriority w:val="9"/>
    <w:rPr>
      <w:rFonts w:ascii="Arial" w:hAnsi="Arial" w:eastAsia="宋体" w:cs="Times New Roman"/>
      <w:b/>
      <w:sz w:val="32"/>
      <w:szCs w:val="30"/>
    </w:rPr>
  </w:style>
  <w:style w:type="table" w:customStyle="1" w:styleId="47">
    <w:name w:val="网格型3"/>
    <w:basedOn w:val="16"/>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laceholder Text"/>
    <w:basedOn w:val="18"/>
    <w:semiHidden/>
    <w:qFormat/>
    <w:uiPriority w:val="99"/>
    <w:rPr>
      <w:color w:val="808080"/>
    </w:rPr>
  </w:style>
  <w:style w:type="table" w:customStyle="1" w:styleId="49">
    <w:name w:val="Table Grid1"/>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Heading 5 Char"/>
    <w:basedOn w:val="18"/>
    <w:link w:val="6"/>
    <w:semiHidden/>
    <w:qFormat/>
    <w:uiPriority w:val="9"/>
    <w:rPr>
      <w:rFonts w:ascii="CG Times (WN)" w:hAnsi="CG Times (WN)" w:eastAsia="宋体" w:cs="Times New Roman"/>
      <w:b/>
      <w:bCs/>
      <w:sz w:val="28"/>
      <w:szCs w:val="28"/>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EQ"/>
    <w:basedOn w:val="1"/>
    <w:next w:val="1"/>
    <w:qFormat/>
    <w:uiPriority w:val="0"/>
    <w:pPr>
      <w:keepLines/>
      <w:tabs>
        <w:tab w:val="center" w:pos="4536"/>
        <w:tab w:val="right" w:pos="9072"/>
      </w:tabs>
    </w:pPr>
  </w:style>
  <w:style w:type="table" w:customStyle="1" w:styleId="53">
    <w:name w:val="普通表格1"/>
    <w:basedOn w:val="16"/>
    <w:semiHidden/>
    <w:qFormat/>
    <w:uiPriority w:val="0"/>
    <w:pPr>
      <w:spacing w:after="0" w:line="240" w:lineRule="auto"/>
    </w:pPr>
    <w:rPr>
      <w:rFonts w:ascii="Calibri" w:hAnsi="Calibri" w:eastAsia="Times New Roman" w:cs="Times New Roman"/>
      <w:kern w:val="0"/>
      <w:sz w:val="20"/>
      <w:szCs w:val="20"/>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Normal.dotm</Template>
  <Pages>3</Pages>
  <Words>787</Words>
  <Characters>4487</Characters>
  <Lines>37</Lines>
  <Paragraphs>10</Paragraphs>
  <TotalTime>4</TotalTime>
  <ScaleCrop>false</ScaleCrop>
  <LinksUpToDate>false</LinksUpToDate>
  <CharactersWithSpaces>5264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cmcc-chunxia Guo</cp:lastModifiedBy>
  <dcterms:modified xsi:type="dcterms:W3CDTF">2023-08-11T08:32:33Z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39A5259A1218440EBE1D778FA8F275C7</vt:lpwstr>
  </property>
</Properties>
</file>