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R4-2311815</w:t>
      </w:r>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right" w:pos="9781"/>
          <w:tab w:val="right" w:pos="13323"/>
        </w:tabs>
        <w:spacing w:before="60" w:after="60"/>
        <w:outlineLvl w:val="0"/>
        <w:rPr>
          <w:rFonts w:ascii="Arial" w:hAnsi="Arial" w:eastAsia="宋体" w:cs="Arial"/>
          <w:b/>
          <w:kern w:val="0"/>
          <w:sz w:val="24"/>
          <w:szCs w:val="24"/>
          <w:lang w:val="en-US" w:eastAsia="zh-CN" w:bidi="ar-SA"/>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bookmarkStart w:id="0" w:name="_GoBack"/>
      <w:bookmarkEnd w:id="0"/>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SBFD BS RF requirement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lang w:val="en-US" w:eastAsia="zh-CN"/>
        </w:rPr>
        <w:t xml:space="preserve">In last meeting, </w:t>
      </w:r>
      <w:r>
        <w:rPr>
          <w:rFonts w:ascii="Times New Roman" w:hAnsi="Times New Roman"/>
          <w:sz w:val="20"/>
        </w:rPr>
        <w:t>A WF</w:t>
      </w:r>
      <w:r>
        <w:rPr>
          <w:rFonts w:hint="eastAsia" w:ascii="Times New Roman" w:hAnsi="Times New Roman"/>
          <w:sz w:val="20"/>
          <w:lang w:val="en-US" w:eastAsia="zh-CN"/>
        </w:rPr>
        <w:t xml:space="preserve"> on SBFD BS RF requirement</w:t>
      </w:r>
      <w:r>
        <w:rPr>
          <w:rFonts w:ascii="Times New Roman" w:hAnsi="Times New Roman"/>
          <w:sz w:val="20"/>
        </w:rPr>
        <w:t xml:space="preserve"> has been approved</w:t>
      </w:r>
      <w:r>
        <w:rPr>
          <w:rFonts w:hint="eastAsia" w:ascii="Times New Roman" w:hAnsi="Times New Roman"/>
          <w:sz w:val="20"/>
          <w:lang w:val="en-US" w:eastAsia="zh-CN"/>
        </w:rPr>
        <w:t xml:space="preserve">. </w:t>
      </w:r>
      <w:r>
        <w:rPr>
          <w:rFonts w:ascii="Times New Roman" w:hAnsi="Times New Roman"/>
          <w:sz w:val="20"/>
        </w:rPr>
        <w:t xml:space="preserve">In this contribution, </w:t>
      </w:r>
      <w:r>
        <w:rPr>
          <w:rFonts w:hint="eastAsia" w:ascii="Times New Roman" w:hAnsi="Times New Roman"/>
          <w:sz w:val="20"/>
          <w:lang w:val="en-US" w:eastAsia="zh-CN"/>
        </w:rPr>
        <w:t>we continue discuss remaining issues</w:t>
      </w:r>
      <w:r>
        <w:rPr>
          <w:rFonts w:ascii="Times New Roman" w:hAnsi="Times New Roman"/>
          <w:sz w:val="20"/>
        </w:rPr>
        <w:t>.</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target of the WID is to study the SBFD impact on RF requirements, considering this is the study item, our suggestion for the RF requirements definition is at first we identify which legacy requirements are still applicable, which legacy requirements are not applicable and which new requirements are needed. If there is still time left in R18, then we can focus on discussion on the methodology of requirements introduction, otherwise the methodology of requirements introduction can be discussed in work item.</w:t>
      </w:r>
    </w:p>
    <w:p>
      <w:pPr>
        <w:numPr>
          <w:ilvl w:val="0"/>
          <w:numId w:val="0"/>
        </w:numPr>
        <w:spacing w:after="180"/>
        <w:ind w:left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at study item,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discussing which legacy requirements are still applicable, which legacy requirements are not applicable and which new requirements are needed. If there is still time left in R18, we can discuss the candidate range for RF requirement and the methodology of requirements introduction.</w:t>
      </w:r>
    </w:p>
    <w:p>
      <w:pPr>
        <w:pStyle w:val="4"/>
        <w:numPr>
          <w:ilvl w:val="0"/>
          <w:numId w:val="0"/>
        </w:numPr>
        <w:bidi w:val="0"/>
        <w:ind w:leftChars="0"/>
        <w:rPr>
          <w:rFonts w:hint="default"/>
          <w:lang w:val="en-US" w:eastAsia="zh-CN"/>
        </w:rPr>
      </w:pPr>
      <w:r>
        <w:rPr>
          <w:rFonts w:hint="eastAsia"/>
          <w:lang w:val="en-US" w:eastAsia="zh-CN"/>
        </w:rPr>
        <w:t>2.1 New RF requirements for co-site inter-sector and/or inter-site interference</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numPr>
                <w:ilvl w:val="0"/>
                <w:numId w:val="0"/>
              </w:numPr>
              <w:spacing w:before="120" w:after="180" w:line="280" w:lineRule="atLeast"/>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FFS whether new RF requirements can be specified for co-site inter-sector and/or inter-site interference with below candidate options:</w:t>
            </w:r>
          </w:p>
          <w:p>
            <w:pPr>
              <w:numPr>
                <w:ilvl w:val="0"/>
                <w:numId w:val="2"/>
              </w:numPr>
              <w:spacing w:before="120" w:after="180" w:line="280" w:lineRule="atLeast"/>
              <w:ind w:left="420" w:leftChars="0" w:hanging="420" w:firstLineChars="0"/>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In-channel blocking requirements</w:t>
            </w:r>
          </w:p>
          <w:p>
            <w:pPr>
              <w:numPr>
                <w:ilvl w:val="0"/>
                <w:numId w:val="2"/>
              </w:numPr>
              <w:spacing w:before="120" w:after="180" w:line="280" w:lineRule="atLeast"/>
              <w:ind w:left="420" w:leftChars="0" w:hanging="420" w:firstLineChars="0"/>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 xml:space="preserve">In-channel adjacent sub-band leakage requirements </w:t>
            </w:r>
          </w:p>
          <w:p>
            <w:pPr>
              <w:numPr>
                <w:ilvl w:val="0"/>
                <w:numId w:val="2"/>
              </w:numPr>
              <w:spacing w:before="120" w:after="180" w:line="280" w:lineRule="atLeast"/>
              <w:ind w:left="420" w:leftChars="0" w:hanging="420" w:firstLineChars="0"/>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In-channel adjacent sub-band selectivity requirements</w:t>
            </w:r>
          </w:p>
          <w:p>
            <w:pPr>
              <w:numPr>
                <w:ilvl w:val="0"/>
                <w:numId w:val="2"/>
              </w:numPr>
              <w:spacing w:before="120" w:after="180" w:line="280" w:lineRule="atLeast"/>
              <w:ind w:left="420" w:leftChars="0" w:hanging="420" w:firstLineChars="0"/>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 xml:space="preserve">Other options not precluded </w:t>
            </w:r>
          </w:p>
          <w:p>
            <w:pPr>
              <w:numPr>
                <w:ilvl w:val="0"/>
                <w:numId w:val="0"/>
              </w:numPr>
              <w:spacing w:before="120" w:after="180" w:line="280" w:lineRule="atLeast"/>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 xml:space="preserve">Encourage companies to further analyze the methodology of requirements introduction.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co-site inter-sector case, which is much similar as co-location case. In current TS 38.104, there is co-location related requirements for gNB, i.e. co-located spurious requirements and co-located blocking requirements. Therefore, for SBFD gNB, co-site inter-sector sub-band leakage, selectivity and blocking requirement is also required to make sure co-existence for inter-sector. Regarding for leakage, only adjacent sub-band leakage ratio or both adjacent sub-band leakage and sub-band SEM can be discussed in WI stage.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inter-site case, during the study of co-existence simulation, we assume the same ACLR and ACS value for adjacent carrier and adjacent sub-band. Besides, RAN4 finally approve to use flat modeling of ACLR and ACS in SBFD analysis. From above analysis, it seems the methodology of ACLR and ACS definition can be the baseline for further adjacent sub-band requirement definition accordingly.</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new RF requirements should be specified for co-site inter-sector gNB and inter-site gNB, following list the candidate options, partial or all of which can be defined in WI stage.</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In-channel blocking requirements</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adjacent sub-band leakage requirements </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Adjacent sub-band SEM requirements</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val="0"/>
          <w:bCs w:val="0"/>
          <w:sz w:val="20"/>
          <w:szCs w:val="20"/>
          <w:lang w:val="en-US" w:eastAsia="zh-CN"/>
        </w:rPr>
      </w:pPr>
      <w:r>
        <w:rPr>
          <w:rFonts w:hint="default" w:ascii="Times New Roman" w:hAnsi="Times New Roman"/>
          <w:b/>
          <w:bCs/>
          <w:sz w:val="20"/>
          <w:szCs w:val="20"/>
          <w:lang w:val="en-US" w:eastAsia="zh-CN"/>
        </w:rPr>
        <w:t>adjacent sub-band selectivity requirements</w:t>
      </w:r>
      <w:r>
        <w:rPr>
          <w:rFonts w:hint="eastAsia" w:ascii="Times New Roman" w:hAnsi="Times New Roman"/>
          <w:b w:val="0"/>
          <w:bCs w:val="0"/>
          <w:sz w:val="20"/>
          <w:szCs w:val="20"/>
          <w:lang w:val="en-US" w:eastAsia="zh-CN"/>
        </w:rPr>
        <w:t xml:space="preserve"> </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2.2 Tx intermodulation requirements</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numPr>
                <w:ilvl w:val="0"/>
                <w:numId w:val="0"/>
              </w:numPr>
              <w:spacing w:before="120" w:after="180" w:line="280" w:lineRule="atLeast"/>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Agreement: Existing IMD requirements still applicable for normal DL slots on SBFD capable gNBs</w:t>
            </w:r>
          </w:p>
          <w:p>
            <w:pPr>
              <w:numPr>
                <w:ilvl w:val="0"/>
                <w:numId w:val="0"/>
              </w:numPr>
              <w:spacing w:before="120" w:after="180" w:line="280" w:lineRule="atLeast"/>
              <w:rPr>
                <w:rFonts w:hint="default" w:ascii="Times New Roman" w:hAnsi="Times New Roman"/>
                <w:b w:val="0"/>
                <w:bCs w:val="0"/>
                <w:sz w:val="20"/>
                <w:szCs w:val="20"/>
                <w:vertAlign w:val="baseline"/>
                <w:lang w:val="en-US" w:eastAsia="zh-CN"/>
              </w:rPr>
            </w:pPr>
            <w:r>
              <w:rPr>
                <w:rFonts w:hint="default" w:ascii="Times New Roman" w:hAnsi="Times New Roman"/>
                <w:b w:val="0"/>
                <w:bCs w:val="0"/>
                <w:sz w:val="20"/>
                <w:szCs w:val="20"/>
                <w:vertAlign w:val="baseline"/>
                <w:lang w:val="en-US" w:eastAsia="zh-CN"/>
              </w:rPr>
              <w:t>FFS whether Tx IMD requirements still applicable during SBFD time slots</w:t>
            </w:r>
          </w:p>
        </w:tc>
      </w:tr>
    </w:tbl>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Legacy 1-C gNB has co-location and additional IMD requirements and 1-H gNB has co-location IMD, intra-system IMD and additional IMD. For BS type 1-H, the co-location IMD requirement is considered sufficient if the interference signal for the co-location requirement is higher than the declared interference signal for intra-system IMD requirement. For co-location requirements, the interference source is assumed 30dB MCL away from Tx unit. If we reuse this same 30dB MCL assumption for SBFD case, SBFD receiver may be blocked. Besides, during self-interference analysis, typical spatial isolation for UMa, Umi are much larger than 30dB, e.g. 80dB. </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Tx IMD is the key requirement to reflect Tx device non-linearity performance.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include them into final spec. But the detailed interference source power should be carefully defined to reflect real deployment scenario and also avoid blocking of SBFD receiver unit. Our suggestion for Tx IMD requirements during SBFD time slots is as below:</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before defining Tx IMD requirements during SBFD time slot,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find out whether co-located gNB would block SBFD receiver.  </w:t>
      </w:r>
    </w:p>
    <w:p>
      <w:pPr>
        <w:pStyle w:val="4"/>
        <w:numPr>
          <w:ilvl w:val="0"/>
          <w:numId w:val="0"/>
        </w:numPr>
        <w:bidi w:val="0"/>
        <w:ind w:leftChars="0"/>
        <w:rPr>
          <w:rFonts w:hint="eastAsia" w:ascii="Arial" w:hAnsi="Arial" w:cs="Times New Roman"/>
          <w:lang w:val="en-US" w:eastAsia="zh-CN"/>
        </w:rPr>
      </w:pPr>
      <w:r>
        <w:rPr>
          <w:rFonts w:hint="eastAsia" w:ascii="Arial" w:hAnsi="Arial" w:cs="Times New Roman"/>
          <w:lang w:val="en-US" w:eastAsia="zh-CN"/>
        </w:rPr>
        <w:t>2.3 co-location requirements</w:t>
      </w:r>
    </w:p>
    <w:p>
      <w:pPr>
        <w:numPr>
          <w:ilvl w:val="0"/>
          <w:numId w:val="4"/>
        </w:numPr>
        <w:spacing w:after="180"/>
        <w:ind w:left="420" w:leftChars="0" w:hanging="420" w:firstLine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inter-band co-location requirements</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If we reused 30dB MCL, receiver power before LNA would be much larger, e.g. 46dBm-30dB=16dBm which would block co-located SBFD receiver.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legacy 30dB MCL assumption between co-located gNB will lead to blocking of SBFD receiver.</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better to re-evaluate whether 30dB MCL assumption is still applicable or not. Besides, additional isolation material or additional isolation mechanism between co-located gNBs could help to enlarge the MCL, but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such solutions may not always be feasible.</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Our suggestion for the MCL assumption discussion is as below: </w:t>
      </w:r>
    </w:p>
    <w:p>
      <w:pPr>
        <w:numPr>
          <w:ilvl w:val="0"/>
          <w:numId w:val="3"/>
        </w:numPr>
        <w:spacing w:after="180"/>
        <w:ind w:left="420" w:leftChars="0" w:hanging="420" w:firstLine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At first evaluate whether 30dB MCL assumption is still typical assumption based on deployment experience and testing data since 30dB assumption comes from 2G area and for 5G larger scale antenna element is applied which will contribute to better direction. According to our deployment experience, 50dB MCL is achievable without any deployment restriction.</w:t>
      </w:r>
    </w:p>
    <w:p>
      <w:pPr>
        <w:numPr>
          <w:ilvl w:val="0"/>
          <w:numId w:val="3"/>
        </w:numPr>
        <w:spacing w:after="180"/>
        <w:ind w:left="420" w:leftChars="0" w:hanging="420" w:firstLine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Define one typical MCL with isolation material or with careful deployment planning, e.g. back-to-back deployment with certain isolation distance. This MCL is used to show whether with careful deployment planning, the co-location operation is feasible for SBFD.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noted this doesn</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t mean each site should meet this MCL assumption, this only give some guidance to show whether it is possible for the co-location operation with careful planning. For this case, the typical value provided during self-interference analysis could be the baseline.</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before defining co-location requirements,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discuss the MCL assumption for co-location with following two kind of assumption.</w:t>
      </w:r>
    </w:p>
    <w:p>
      <w:pPr>
        <w:numPr>
          <w:ilvl w:val="0"/>
          <w:numId w:val="5"/>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Re-evaluate whether 30dB MCL assumption is still typical assumption or not since large scale antenna element is used which will contribute to directional beam compared with 2G area. This MCL is the MCL that doesn</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t consider any deployment restriction or isolation material.</w:t>
      </w:r>
    </w:p>
    <w:p>
      <w:pPr>
        <w:numPr>
          <w:ilvl w:val="0"/>
          <w:numId w:val="5"/>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pPr>
        <w:numPr>
          <w:ilvl w:val="0"/>
          <w:numId w:val="5"/>
        </w:numPr>
        <w:spacing w:after="180"/>
        <w:ind w:left="420" w:leftChars="0" w:hanging="420" w:firstLine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intra-band adjacent carrier co-location requirement</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Current adjacent-channel co-existence simulation mainly focus on 100% grid shift. Further simulation results of 0% grid shift based on above MCL assumption is required before RAN4 define adjacent-channel co-location related requirements.</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more simulation of 0% grid shift with reasonable co-location MCL assumption is required before define adjacent channel co-location requirements, e.g. ACLR, ACS and blocking requirements.</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2.4 Dynamic range</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numPr>
                <w:ilvl w:val="0"/>
                <w:numId w:val="0"/>
              </w:numPr>
              <w:spacing w:before="120" w:after="18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b w:val="0"/>
                <w:bCs w:val="0"/>
                <w:sz w:val="20"/>
                <w:szCs w:val="20"/>
                <w:vertAlign w:val="baseline"/>
                <w:lang w:val="en-US" w:eastAsia="zh-CN"/>
              </w:rPr>
              <w:t>Issue 3-1-7: Dynamic range</w:t>
            </w:r>
          </w:p>
          <w:p>
            <w:pPr>
              <w:numPr>
                <w:ilvl w:val="0"/>
                <w:numId w:val="0"/>
              </w:numPr>
              <w:spacing w:before="120" w:after="18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b w:val="0"/>
                <w:bCs w:val="0"/>
                <w:sz w:val="20"/>
                <w:szCs w:val="20"/>
                <w:vertAlign w:val="baseline"/>
                <w:lang w:val="en-US" w:eastAsia="zh-CN"/>
              </w:rPr>
              <w:t xml:space="preserve">Agreement: FFS whether new requirements needed or not </w:t>
            </w:r>
          </w:p>
        </w:tc>
      </w:tr>
    </w:tbl>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Legacy dynamic range requirement is used to evaluate gNB capability of receiving wanted signal with presence of AWGN interference signal. For SBFD gNB, there is already residual self-interference which could be equals to AWGN signal. As approved in last meeting, OTA sensitivity requirement in SBFD time slot will consider self-interference with candidate value in range [0.5~1]dB degradation. From this point of view, current OTA sensitivity requirement is similar like the dynamic range requirement. Even though, dynamic range requirement is still required which is used to reflect actual interference from deployment environment with certain IoT(interference over thermal). </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6: new requirement is needed to evaluate SBFD receiver to receive wanted signal with presence of AWGN interference signal on top of residual self-interference.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numPr>
          <w:ilvl w:val="0"/>
          <w:numId w:val="0"/>
        </w:numPr>
        <w:spacing w:after="180"/>
        <w:ind w:left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at study item,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discussing which legacy requirements are still applicable, which legacy requirements are not applicable and which new requirements are needed. If there is still time left in R18, we can discuss the candidate range for RF requirement and the methodology of requirements introduction.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new RF requirements should be specified for co-site inter-sector gNB and inter-site gNB, following list the candidate options, partial or all of which can be defined in WI stage.</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In-channel blocking requirements</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adjacent sub-band leakage requirements </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Adjacent sub-band SEM requirements</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420" w:leftChars="0" w:hanging="420" w:firstLineChars="0"/>
        <w:textAlignment w:val="auto"/>
        <w:rPr>
          <w:rFonts w:hint="default" w:ascii="Times New Roman" w:hAnsi="Times New Roman"/>
          <w:b w:val="0"/>
          <w:bCs w:val="0"/>
          <w:sz w:val="20"/>
          <w:szCs w:val="20"/>
          <w:lang w:val="en-US" w:eastAsia="zh-CN"/>
        </w:rPr>
      </w:pPr>
      <w:r>
        <w:rPr>
          <w:rFonts w:hint="default" w:ascii="Times New Roman" w:hAnsi="Times New Roman"/>
          <w:b/>
          <w:bCs/>
          <w:sz w:val="20"/>
          <w:szCs w:val="20"/>
          <w:lang w:val="en-US" w:eastAsia="zh-CN"/>
        </w:rPr>
        <w:t>adjacent sub-band selectivity requirements</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before defining Tx IMD requirements during SBFD time slot,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find out whether co-located gNB would block SBFD receiver.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legacy 30dB MCL assumption between co-located gNB will lead to blocking of SBFD receiver.</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before defining co-location requirements,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discuss the MCL assumption for co-location with following two kind of assumption.</w:t>
      </w:r>
    </w:p>
    <w:p>
      <w:pPr>
        <w:numPr>
          <w:ilvl w:val="0"/>
          <w:numId w:val="5"/>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Re-evaluate whether 30dB MCL assumption is still typical assumption since large scale antenna element is used which will contribute to directional beam compared with 2G area. This MCL is the MCL that doesn</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t consider any deployment restriction or isolation material.</w:t>
      </w:r>
    </w:p>
    <w:p>
      <w:pPr>
        <w:numPr>
          <w:ilvl w:val="0"/>
          <w:numId w:val="5"/>
        </w:numPr>
        <w:spacing w:after="180"/>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more simulation of 0% grid shift with reasonable co-location MCL assumption is required before define adjacent channel co-location requirements, e.g. ACLR, ACS and blocking requirements.</w:t>
      </w:r>
    </w:p>
    <w:p>
      <w:pPr>
        <w:numPr>
          <w:ilvl w:val="0"/>
          <w:numId w:val="0"/>
        </w:numPr>
        <w:spacing w:after="180"/>
        <w:ind w:leftChars="0"/>
        <w:rPr>
          <w:rFonts w:hint="default" w:ascii="Times New Roman" w:hAnsi="Times New Roman"/>
          <w:sz w:val="20"/>
          <w:szCs w:val="20"/>
          <w:lang w:val="en-US" w:eastAsia="zh-CN"/>
        </w:rPr>
      </w:pPr>
      <w:r>
        <w:rPr>
          <w:rFonts w:hint="eastAsia" w:ascii="Times New Roman" w:hAnsi="Times New Roman" w:cs="Times New Roman"/>
          <w:b/>
          <w:bCs/>
          <w:sz w:val="20"/>
          <w:szCs w:val="20"/>
          <w:lang w:val="en-US" w:eastAsia="zh-CN"/>
        </w:rPr>
        <w:t>Proposal 6: new requirement is needed to evaluate SBFD receiver to receive wanted signal with presence of AWGN interference signal on top of residual self-interference.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 xml:space="preserve">[1] </w:t>
      </w:r>
      <w:r>
        <w:rPr>
          <w:rFonts w:ascii="Times New Roman" w:hAnsi="Times New Roman"/>
          <w:sz w:val="20"/>
          <w:szCs w:val="20"/>
        </w:rPr>
        <w:t>R4-2217464, WF on SBFD feasibility study and RF impact: BS aspects, Samsung</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D3148"/>
    <w:multiLevelType w:val="multilevel"/>
    <w:tmpl w:val="8FCD31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1712898"/>
    <w:multiLevelType w:val="singleLevel"/>
    <w:tmpl w:val="01712898"/>
    <w:lvl w:ilvl="0" w:tentative="0">
      <w:start w:val="1"/>
      <w:numFmt w:val="bullet"/>
      <w:lvlText w:val=""/>
      <w:lvlJc w:val="left"/>
      <w:pPr>
        <w:ind w:left="420" w:hanging="420"/>
      </w:pPr>
      <w:rPr>
        <w:rFonts w:hint="default" w:ascii="Wingdings" w:hAnsi="Wingdings"/>
      </w:rPr>
    </w:lvl>
  </w:abstractNum>
  <w:abstractNum w:abstractNumId="2">
    <w:nsid w:val="044EE66C"/>
    <w:multiLevelType w:val="singleLevel"/>
    <w:tmpl w:val="044EE66C"/>
    <w:lvl w:ilvl="0" w:tentative="0">
      <w:start w:val="2"/>
      <w:numFmt w:val="decimal"/>
      <w:suff w:val="space"/>
      <w:lvlText w:val="%1."/>
      <w:lvlJc w:val="left"/>
    </w:lvl>
  </w:abstractNum>
  <w:abstractNum w:abstractNumId="3">
    <w:nsid w:val="68CC218B"/>
    <w:multiLevelType w:val="singleLevel"/>
    <w:tmpl w:val="68CC218B"/>
    <w:lvl w:ilvl="0" w:tentative="0">
      <w:start w:val="1"/>
      <w:numFmt w:val="bullet"/>
      <w:lvlText w:val=""/>
      <w:lvlJc w:val="left"/>
      <w:pPr>
        <w:ind w:left="420" w:hanging="420"/>
      </w:pPr>
      <w:rPr>
        <w:rFonts w:hint="default" w:ascii="Wingdings" w:hAnsi="Wingdings"/>
      </w:rPr>
    </w:lvl>
  </w:abstractNum>
  <w:abstractNum w:abstractNumId="4">
    <w:nsid w:val="78F4DE89"/>
    <w:multiLevelType w:val="singleLevel"/>
    <w:tmpl w:val="78F4DE89"/>
    <w:lvl w:ilvl="0" w:tentative="0">
      <w:start w:val="1"/>
      <w:numFmt w:val="bullet"/>
      <w:lvlText w:val=""/>
      <w:lvlJc w:val="left"/>
      <w:pPr>
        <w:ind w:left="420" w:hanging="42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20970CA"/>
    <w:rsid w:val="028E1852"/>
    <w:rsid w:val="035D4591"/>
    <w:rsid w:val="03E26584"/>
    <w:rsid w:val="04B527F1"/>
    <w:rsid w:val="053C405B"/>
    <w:rsid w:val="06305334"/>
    <w:rsid w:val="0769686A"/>
    <w:rsid w:val="076E27BD"/>
    <w:rsid w:val="0770402F"/>
    <w:rsid w:val="08973524"/>
    <w:rsid w:val="0900762B"/>
    <w:rsid w:val="09626007"/>
    <w:rsid w:val="09993AB5"/>
    <w:rsid w:val="0BF0521B"/>
    <w:rsid w:val="0D545798"/>
    <w:rsid w:val="0E7813A9"/>
    <w:rsid w:val="0F5116AE"/>
    <w:rsid w:val="0FF20B73"/>
    <w:rsid w:val="10003991"/>
    <w:rsid w:val="12E83AF4"/>
    <w:rsid w:val="13771DFE"/>
    <w:rsid w:val="15350710"/>
    <w:rsid w:val="156354FD"/>
    <w:rsid w:val="15CD7D54"/>
    <w:rsid w:val="168B5B89"/>
    <w:rsid w:val="175862BF"/>
    <w:rsid w:val="18642373"/>
    <w:rsid w:val="18834ED9"/>
    <w:rsid w:val="19813C3F"/>
    <w:rsid w:val="1A8670A6"/>
    <w:rsid w:val="1AFD11C6"/>
    <w:rsid w:val="1B00542F"/>
    <w:rsid w:val="1B3F3E40"/>
    <w:rsid w:val="1BF509C2"/>
    <w:rsid w:val="1BF95FEE"/>
    <w:rsid w:val="1D0432AA"/>
    <w:rsid w:val="1D0A4412"/>
    <w:rsid w:val="1D1D5776"/>
    <w:rsid w:val="1D867707"/>
    <w:rsid w:val="1F2F076D"/>
    <w:rsid w:val="20817033"/>
    <w:rsid w:val="20EA2C10"/>
    <w:rsid w:val="221E7789"/>
    <w:rsid w:val="228B3B2E"/>
    <w:rsid w:val="235E2230"/>
    <w:rsid w:val="2370600B"/>
    <w:rsid w:val="24513BF6"/>
    <w:rsid w:val="2488042D"/>
    <w:rsid w:val="254E0ABD"/>
    <w:rsid w:val="25A10883"/>
    <w:rsid w:val="25D729E7"/>
    <w:rsid w:val="268B3CAF"/>
    <w:rsid w:val="274B1605"/>
    <w:rsid w:val="278B3C06"/>
    <w:rsid w:val="2805016B"/>
    <w:rsid w:val="28AA4C8A"/>
    <w:rsid w:val="294A494E"/>
    <w:rsid w:val="2A144016"/>
    <w:rsid w:val="2A2C74BF"/>
    <w:rsid w:val="2A53737E"/>
    <w:rsid w:val="2AC70C94"/>
    <w:rsid w:val="2CA64350"/>
    <w:rsid w:val="2D4D79AC"/>
    <w:rsid w:val="2EB8044F"/>
    <w:rsid w:val="2EEC4E92"/>
    <w:rsid w:val="2FCB6344"/>
    <w:rsid w:val="30524DF2"/>
    <w:rsid w:val="306B7868"/>
    <w:rsid w:val="3099089E"/>
    <w:rsid w:val="315F5D75"/>
    <w:rsid w:val="328A5CFA"/>
    <w:rsid w:val="336E17F0"/>
    <w:rsid w:val="35B71496"/>
    <w:rsid w:val="35D319E6"/>
    <w:rsid w:val="35E768F5"/>
    <w:rsid w:val="36510879"/>
    <w:rsid w:val="37726C9D"/>
    <w:rsid w:val="37BD6848"/>
    <w:rsid w:val="38A9437C"/>
    <w:rsid w:val="38D16127"/>
    <w:rsid w:val="3A436689"/>
    <w:rsid w:val="3AAC45FF"/>
    <w:rsid w:val="3AE070A1"/>
    <w:rsid w:val="3C09240E"/>
    <w:rsid w:val="3CD51844"/>
    <w:rsid w:val="3D5001A7"/>
    <w:rsid w:val="3D741DEE"/>
    <w:rsid w:val="3D9C3FFF"/>
    <w:rsid w:val="410113A2"/>
    <w:rsid w:val="41C60C56"/>
    <w:rsid w:val="41F50509"/>
    <w:rsid w:val="439901E8"/>
    <w:rsid w:val="43F11B33"/>
    <w:rsid w:val="444678CE"/>
    <w:rsid w:val="44565A46"/>
    <w:rsid w:val="447E086E"/>
    <w:rsid w:val="44B454C5"/>
    <w:rsid w:val="45830A1B"/>
    <w:rsid w:val="458D51A8"/>
    <w:rsid w:val="459B4244"/>
    <w:rsid w:val="45A33E4B"/>
    <w:rsid w:val="46E67A01"/>
    <w:rsid w:val="49281A93"/>
    <w:rsid w:val="4A521971"/>
    <w:rsid w:val="4A9C4E28"/>
    <w:rsid w:val="4C261BDE"/>
    <w:rsid w:val="4C660668"/>
    <w:rsid w:val="4E2822B5"/>
    <w:rsid w:val="4EB95335"/>
    <w:rsid w:val="502D7993"/>
    <w:rsid w:val="50941CF8"/>
    <w:rsid w:val="509636E2"/>
    <w:rsid w:val="50B6710F"/>
    <w:rsid w:val="50BC2F96"/>
    <w:rsid w:val="52FC46EA"/>
    <w:rsid w:val="538C361F"/>
    <w:rsid w:val="5403314B"/>
    <w:rsid w:val="545309AA"/>
    <w:rsid w:val="552827AD"/>
    <w:rsid w:val="55584783"/>
    <w:rsid w:val="558E2FA7"/>
    <w:rsid w:val="55F969E7"/>
    <w:rsid w:val="5616190A"/>
    <w:rsid w:val="577865C9"/>
    <w:rsid w:val="5A8A0BF0"/>
    <w:rsid w:val="5BBD01B3"/>
    <w:rsid w:val="5CCF11D3"/>
    <w:rsid w:val="5D851C35"/>
    <w:rsid w:val="5FDC7E75"/>
    <w:rsid w:val="5FF120B4"/>
    <w:rsid w:val="60AC4695"/>
    <w:rsid w:val="6566621E"/>
    <w:rsid w:val="66495BDD"/>
    <w:rsid w:val="67763396"/>
    <w:rsid w:val="67A9335C"/>
    <w:rsid w:val="680C4CB4"/>
    <w:rsid w:val="69156EBB"/>
    <w:rsid w:val="6A0568FD"/>
    <w:rsid w:val="6B9F60AC"/>
    <w:rsid w:val="6EE509F4"/>
    <w:rsid w:val="6FBC2EB1"/>
    <w:rsid w:val="729926C8"/>
    <w:rsid w:val="732D5E85"/>
    <w:rsid w:val="73A57DF9"/>
    <w:rsid w:val="73CC19D5"/>
    <w:rsid w:val="741A7D2C"/>
    <w:rsid w:val="74AF2AFE"/>
    <w:rsid w:val="759901A2"/>
    <w:rsid w:val="75E15270"/>
    <w:rsid w:val="76F00D88"/>
    <w:rsid w:val="771928DB"/>
    <w:rsid w:val="772A6AEC"/>
    <w:rsid w:val="78A92755"/>
    <w:rsid w:val="78B9366E"/>
    <w:rsid w:val="78BC17CD"/>
    <w:rsid w:val="7A1F66E8"/>
    <w:rsid w:val="7BC80470"/>
    <w:rsid w:val="7BE0484E"/>
    <w:rsid w:val="7C92278E"/>
    <w:rsid w:val="7F23352A"/>
    <w:rsid w:val="7F7D33DC"/>
    <w:rsid w:val="7FAA1790"/>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2023-08-11T08:31:16Z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