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956"/>
          <w:tab w:val="right" w:pos="10440"/>
          <w:tab w:val="right" w:pos="13323"/>
        </w:tabs>
        <w:spacing w:before="60" w:after="60"/>
        <w:outlineLvl w:val="0"/>
        <w:rPr>
          <w:rFonts w:ascii="Arial" w:hAnsi="Arial" w:eastAsia="宋体" w:cs="Arial"/>
          <w:b/>
          <w:kern w:val="0"/>
          <w:sz w:val="24"/>
          <w:szCs w:val="24"/>
          <w:lang w:val="en-US" w:eastAsia="zh-CN" w:bidi="ar-SA"/>
        </w:rPr>
      </w:pPr>
      <w:r>
        <w:rPr>
          <w:rFonts w:ascii="Arial" w:hAnsi="Arial" w:eastAsia="MS Mincho" w:cs="Arial"/>
          <w:b/>
          <w:kern w:val="0"/>
          <w:sz w:val="24"/>
          <w:szCs w:val="24"/>
          <w:lang w:val="en-US" w:eastAsia="en-US" w:bidi="ar-SA"/>
        </w:rPr>
        <w:t>3GPP TSG-RAN WG4 Meeting #</w:t>
      </w:r>
      <w:r>
        <w:rPr>
          <w:rFonts w:ascii="Arial" w:hAnsi="Arial" w:eastAsia="MS Mincho" w:cs="Arial"/>
          <w:kern w:val="0"/>
          <w:sz w:val="20"/>
          <w:szCs w:val="20"/>
          <w:lang w:val="en-US" w:eastAsia="en-US" w:bidi="ar-SA"/>
        </w:rPr>
        <w:t xml:space="preserve"> </w:t>
      </w:r>
      <w:r>
        <w:rPr>
          <w:rFonts w:ascii="Arial" w:hAnsi="Arial" w:eastAsia="MS Mincho" w:cs="Arial"/>
          <w:b/>
          <w:kern w:val="0"/>
          <w:sz w:val="24"/>
          <w:szCs w:val="24"/>
          <w:lang w:val="en-US" w:eastAsia="en-US" w:bidi="ar-SA"/>
        </w:rPr>
        <w:t>108</w:t>
      </w:r>
      <w:r>
        <w:rPr>
          <w:rFonts w:ascii="Arial" w:hAnsi="Arial" w:eastAsia="MS Mincho" w:cs="Arial"/>
          <w:b/>
          <w:kern w:val="0"/>
          <w:sz w:val="24"/>
          <w:szCs w:val="24"/>
          <w:lang w:val="en-US" w:eastAsia="en-US" w:bidi="ar-SA"/>
        </w:rPr>
        <w:tab/>
      </w:r>
      <w:r>
        <w:rPr>
          <w:rFonts w:hint="eastAsia" w:ascii="Arial" w:hAnsi="Arial" w:eastAsia="宋体" w:cs="Arial"/>
          <w:b/>
          <w:kern w:val="0"/>
          <w:sz w:val="24"/>
          <w:szCs w:val="24"/>
          <w:lang w:val="en-US" w:eastAsia="zh-CN" w:bidi="ar-SA"/>
        </w:rPr>
        <w:t xml:space="preserve">      </w:t>
      </w:r>
      <w:r>
        <w:rPr>
          <w:rFonts w:hint="eastAsia" w:ascii="Arial" w:hAnsi="Arial" w:eastAsia="MS Mincho" w:cs="Arial"/>
          <w:b/>
          <w:kern w:val="0"/>
          <w:sz w:val="24"/>
          <w:szCs w:val="24"/>
          <w:lang w:val="en-US" w:eastAsia="en-US" w:bidi="ar-SA"/>
        </w:rPr>
        <w:t>R4-2311813</w:t>
      </w:r>
      <w:bookmarkStart w:id="1" w:name="_GoBack"/>
      <w:bookmarkEnd w:id="1"/>
    </w:p>
    <w:p>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Toulouse, France, August 21 – August 25, 2023</w:t>
      </w:r>
    </w:p>
    <w:p>
      <w:pPr>
        <w:tabs>
          <w:tab w:val="left" w:pos="1980"/>
        </w:tabs>
        <w:spacing w:after="180"/>
        <w:ind w:left="1980" w:hanging="1980"/>
        <w:rPr>
          <w:rFonts w:ascii="Arial" w:hAnsi="Arial" w:eastAsia="等线"/>
          <w:b/>
          <w:kern w:val="0"/>
          <w:sz w:val="24"/>
          <w:szCs w:val="20"/>
          <w:lang w:val="en-GB" w:eastAsia="en-US"/>
        </w:rPr>
      </w:pP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ascii="Arial" w:hAnsi="Arial" w:eastAsia="MS Mincho" w:cs="Arial"/>
          <w:b/>
          <w:sz w:val="24"/>
          <w:szCs w:val="24"/>
          <w:lang w:eastAsia="en-US"/>
        </w:rPr>
        <w:t>8.</w:t>
      </w:r>
      <w:r>
        <w:rPr>
          <w:rFonts w:hint="eastAsia" w:ascii="Arial" w:hAnsi="Arial" w:cs="Arial"/>
          <w:b/>
          <w:sz w:val="24"/>
          <w:szCs w:val="24"/>
          <w:lang w:val="en-US" w:eastAsia="zh-CN"/>
        </w:rPr>
        <w:t>6</w:t>
      </w:r>
      <w:r>
        <w:rPr>
          <w:rFonts w:ascii="Arial" w:hAnsi="Arial" w:eastAsia="MS Mincho" w:cs="Arial"/>
          <w:b/>
          <w:sz w:val="24"/>
          <w:szCs w:val="24"/>
          <w:lang w:eastAsia="en-US"/>
        </w:rPr>
        <w:t>.3.1</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w:t>
      </w:r>
      <w:r>
        <w:rPr>
          <w:rFonts w:ascii="Arial" w:hAnsi="Arial" w:eastAsia="MS Mincho" w:cs="Arial"/>
          <w:b/>
          <w:sz w:val="24"/>
          <w:szCs w:val="24"/>
          <w:lang w:eastAsia="en-US"/>
        </w:rPr>
        <w:t>Beam correspondence requirements</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ascii="Times New Roman" w:hAnsi="Times New Roman"/>
          <w:sz w:val="20"/>
        </w:rPr>
      </w:pPr>
      <w:r>
        <w:rPr>
          <w:rFonts w:ascii="Times New Roman" w:hAnsi="Times New Roman"/>
          <w:sz w:val="20"/>
        </w:rPr>
        <w:t>L</w:t>
      </w:r>
      <w:r>
        <w:rPr>
          <w:rFonts w:hint="eastAsia" w:ascii="Times New Roman" w:hAnsi="Times New Roman"/>
          <w:sz w:val="20"/>
        </w:rPr>
        <w:t>ast</w:t>
      </w:r>
      <w:r>
        <w:rPr>
          <w:rFonts w:ascii="Times New Roman" w:hAnsi="Times New Roman"/>
          <w:sz w:val="20"/>
        </w:rPr>
        <w:t xml:space="preserve"> meeting, WF is approved [1]. In this contribution, we focus on the discussion of beam correspondence requirement for initial access and INACTIVE state.</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 xml:space="preserve">2. </w:t>
      </w:r>
      <w:r>
        <w:rPr>
          <w:rFonts w:hint="eastAsia" w:ascii="Arial" w:hAnsi="Arial" w:eastAsiaTheme="minorEastAsia" w:cstheme="minorBidi"/>
          <w:sz w:val="32"/>
          <w:szCs w:val="36"/>
        </w:rPr>
        <w:t>Discussion</w:t>
      </w:r>
    </w:p>
    <w:p>
      <w:pPr>
        <w:keepNext/>
        <w:keepLines/>
        <w:spacing w:before="260" w:after="260" w:line="416" w:lineRule="auto"/>
        <w:outlineLvl w:val="1"/>
        <w:rPr>
          <w:rFonts w:hint="eastAsia" w:asciiTheme="majorHAnsi" w:hAnsiTheme="majorHAnsi" w:eastAsiaTheme="majorEastAsia" w:cstheme="majorBidi"/>
          <w:b/>
          <w:bCs/>
          <w:sz w:val="32"/>
          <w:szCs w:val="32"/>
          <w:lang w:val="en-US" w:eastAsia="zh-CN"/>
        </w:rPr>
      </w:pPr>
      <w:r>
        <w:rPr>
          <w:rFonts w:hint="eastAsia" w:asciiTheme="majorHAnsi" w:hAnsiTheme="majorHAnsi" w:eastAsiaTheme="majorEastAsia" w:cstheme="majorBidi"/>
          <w:b/>
          <w:bCs/>
          <w:sz w:val="32"/>
          <w:szCs w:val="32"/>
        </w:rPr>
        <w:t>2</w:t>
      </w:r>
      <w:r>
        <w:rPr>
          <w:rFonts w:asciiTheme="majorHAnsi" w:hAnsiTheme="majorHAnsi" w:eastAsiaTheme="majorEastAsia" w:cstheme="majorBidi"/>
          <w:b/>
          <w:bCs/>
          <w:sz w:val="32"/>
          <w:szCs w:val="32"/>
        </w:rPr>
        <w:t xml:space="preserve">.1 </w:t>
      </w:r>
      <w:r>
        <w:rPr>
          <w:rFonts w:hint="eastAsia" w:asciiTheme="majorHAnsi" w:hAnsiTheme="majorHAnsi" w:eastAsiaTheme="majorEastAsia" w:cstheme="majorBidi"/>
          <w:b/>
          <w:bCs/>
          <w:sz w:val="32"/>
          <w:szCs w:val="32"/>
          <w:lang w:val="en-US" w:eastAsia="zh-CN"/>
        </w:rPr>
        <w:t>tolerance requirements</w:t>
      </w:r>
    </w:p>
    <w:p>
      <w:pPr>
        <w:bidi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last meeting, it is approved that no min peak EIRP requirements for initial access and INACTIVE state. Regarding for spherical coverage, last meeting </w:t>
      </w:r>
      <w:r>
        <w:rPr>
          <w:rFonts w:hint="default" w:ascii="Times New Roman" w:hAnsi="Times New Roman" w:cs="Times New Roman"/>
          <w:sz w:val="20"/>
          <w:szCs w:val="20"/>
          <w:lang w:val="en-US" w:eastAsia="zh-CN"/>
        </w:rPr>
        <w:t>is listed as below:</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3"/>
              <w:numPr>
                <w:ilvl w:val="0"/>
                <w:numId w:val="1"/>
              </w:numPr>
              <w:overflowPunct/>
              <w:autoSpaceDE/>
              <w:spacing w:before="120" w:line="280" w:lineRule="atLeast"/>
              <w:ind w:left="426" w:firstLineChars="0"/>
              <w:textAlignment w:val="auto"/>
              <w:rPr>
                <w:rFonts w:hint="default" w:ascii="Times New Roman" w:hAnsi="Times New Roman" w:cs="Times New Roman"/>
                <w:bCs/>
                <w:iCs/>
                <w:sz w:val="20"/>
                <w:szCs w:val="20"/>
                <w:highlight w:val="none"/>
                <w:lang w:eastAsia="zh-CN"/>
              </w:rPr>
            </w:pPr>
            <w:r>
              <w:rPr>
                <w:rFonts w:hint="default" w:ascii="Times New Roman" w:hAnsi="Times New Roman" w:cs="Times New Roman"/>
                <w:bCs/>
                <w:iCs/>
                <w:sz w:val="20"/>
                <w:szCs w:val="20"/>
                <w:highlight w:val="none"/>
                <w:lang w:eastAsia="zh-CN"/>
              </w:rPr>
              <w:t>WF</w:t>
            </w:r>
          </w:p>
          <w:p>
            <w:pPr>
              <w:pStyle w:val="23"/>
              <w:numPr>
                <w:ilvl w:val="1"/>
                <w:numId w:val="1"/>
              </w:numPr>
              <w:overflowPunct/>
              <w:autoSpaceDE/>
              <w:spacing w:before="120" w:line="280" w:lineRule="atLeast"/>
              <w:ind w:left="993"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Power tolerance due to open loop power control in initial access is for further discussion.</w:t>
            </w:r>
          </w:p>
          <w:p>
            <w:pPr>
              <w:pStyle w:val="23"/>
              <w:numPr>
                <w:ilvl w:val="2"/>
                <w:numId w:val="1"/>
              </w:numPr>
              <w:spacing w:before="120" w:line="280" w:lineRule="atLeast"/>
              <w:ind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1: No tolerance is introduced.</w:t>
            </w:r>
          </w:p>
          <w:p>
            <w:pPr>
              <w:pStyle w:val="23"/>
              <w:numPr>
                <w:ilvl w:val="2"/>
                <w:numId w:val="1"/>
              </w:numPr>
              <w:spacing w:before="120" w:line="280" w:lineRule="atLeast"/>
              <w:ind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2: The power tolerance should be introduced according to TS 38.101-2 clause 6.3.4.2, 6.3.4.3, or 6.3.4.4 in the following.</w:t>
            </w:r>
          </w:p>
          <w:tbl>
            <w:tblPr>
              <w:tblStyle w:val="14"/>
              <w:tblW w:w="0" w:type="auto"/>
              <w:tblInd w:w="22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4"/>
              <w:gridCol w:w="2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2694" w:type="dxa"/>
                  <w:shd w:val="clear" w:color="auto" w:fill="auto"/>
                </w:tcPr>
                <w:p>
                  <w:pPr>
                    <w:pStyle w:val="25"/>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Operating band</w:t>
                  </w:r>
                </w:p>
              </w:tc>
              <w:tc>
                <w:tcPr>
                  <w:tcW w:w="2734" w:type="dxa"/>
                  <w:shd w:val="clear" w:color="auto" w:fill="auto"/>
                </w:tcPr>
                <w:p>
                  <w:pPr>
                    <w:pStyle w:val="25"/>
                    <w:rPr>
                      <w:rFonts w:hint="default" w:ascii="Times New Roman" w:hAnsi="Times New Roman" w:cs="Times New Roman"/>
                      <w:color w:val="auto"/>
                      <w:sz w:val="20"/>
                      <w:szCs w:val="20"/>
                      <w:highlight w:val="none"/>
                      <w:lang w:val="en-US"/>
                    </w:rPr>
                  </w:pPr>
                  <w:r>
                    <w:rPr>
                      <w:rFonts w:hint="default" w:ascii="Times New Roman" w:hAnsi="Times New Roman" w:cs="Times New Roman"/>
                      <w:color w:val="auto"/>
                      <w:sz w:val="20"/>
                      <w:szCs w:val="20"/>
                      <w:highlight w:val="none"/>
                      <w:lang w:val="en-US"/>
                    </w:rPr>
                    <w:t>Min EIRP at 50</w:t>
                  </w:r>
                  <w:r>
                    <w:rPr>
                      <w:rFonts w:hint="default" w:ascii="Times New Roman" w:hAnsi="Times New Roman" w:cs="Times New Roman"/>
                      <w:color w:val="auto"/>
                      <w:sz w:val="20"/>
                      <w:szCs w:val="20"/>
                      <w:highlight w:val="none"/>
                      <w:vertAlign w:val="superscript"/>
                      <w:lang w:val="en-US"/>
                    </w:rPr>
                    <w:t xml:space="preserve"> </w:t>
                  </w:r>
                  <w:r>
                    <w:rPr>
                      <w:rFonts w:hint="default" w:ascii="Times New Roman" w:hAnsi="Times New Roman" w:cs="Times New Roman"/>
                      <w:color w:val="auto"/>
                      <w:sz w:val="20"/>
                      <w:szCs w:val="20"/>
                      <w:highlight w:val="none"/>
                      <w:lang w:val="en-US"/>
                    </w:rPr>
                    <w:t>%-tile CDF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2694" w:type="dxa"/>
                  <w:shd w:val="clear" w:color="auto" w:fill="auto"/>
                </w:tcPr>
                <w:p>
                  <w:pPr>
                    <w:pStyle w:val="26"/>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n257</w:t>
                  </w:r>
                </w:p>
              </w:tc>
              <w:tc>
                <w:tcPr>
                  <w:tcW w:w="2734" w:type="dxa"/>
                  <w:shd w:val="clear" w:color="auto" w:fill="auto"/>
                </w:tcPr>
                <w:p>
                  <w:pPr>
                    <w:pStyle w:val="26"/>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2694" w:type="dxa"/>
                  <w:shd w:val="clear" w:color="auto" w:fill="auto"/>
                </w:tcPr>
                <w:p>
                  <w:pPr>
                    <w:pStyle w:val="26"/>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n258</w:t>
                  </w:r>
                </w:p>
              </w:tc>
              <w:tc>
                <w:tcPr>
                  <w:tcW w:w="2734" w:type="dxa"/>
                  <w:shd w:val="clear" w:color="auto" w:fill="auto"/>
                </w:tcPr>
                <w:p>
                  <w:pPr>
                    <w:pStyle w:val="26"/>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2694" w:type="dxa"/>
                  <w:shd w:val="clear" w:color="auto" w:fill="auto"/>
                </w:tcPr>
                <w:p>
                  <w:pPr>
                    <w:pStyle w:val="26"/>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n259</w:t>
                  </w:r>
                </w:p>
              </w:tc>
              <w:tc>
                <w:tcPr>
                  <w:tcW w:w="2734" w:type="dxa"/>
                  <w:shd w:val="clear" w:color="auto" w:fill="auto"/>
                </w:tcPr>
                <w:p>
                  <w:pPr>
                    <w:pStyle w:val="26"/>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2694" w:type="dxa"/>
                  <w:shd w:val="clear" w:color="auto" w:fill="auto"/>
                </w:tcPr>
                <w:p>
                  <w:pPr>
                    <w:pStyle w:val="26"/>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n260</w:t>
                  </w:r>
                </w:p>
              </w:tc>
              <w:tc>
                <w:tcPr>
                  <w:tcW w:w="2734" w:type="dxa"/>
                  <w:shd w:val="clear" w:color="auto" w:fill="auto"/>
                </w:tcPr>
                <w:p>
                  <w:pPr>
                    <w:pStyle w:val="26"/>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2694" w:type="dxa"/>
                  <w:shd w:val="clear" w:color="auto" w:fill="auto"/>
                </w:tcPr>
                <w:p>
                  <w:pPr>
                    <w:pStyle w:val="26"/>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n261</w:t>
                  </w:r>
                </w:p>
              </w:tc>
              <w:tc>
                <w:tcPr>
                  <w:tcW w:w="2734" w:type="dxa"/>
                  <w:shd w:val="clear" w:color="auto" w:fill="auto"/>
                </w:tcPr>
                <w:p>
                  <w:pPr>
                    <w:pStyle w:val="26"/>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2694" w:type="dxa"/>
                  <w:tcBorders>
                    <w:top w:val="single" w:color="auto" w:sz="4" w:space="0"/>
                    <w:left w:val="single" w:color="auto" w:sz="4" w:space="0"/>
                    <w:bottom w:val="single" w:color="auto" w:sz="4" w:space="0"/>
                    <w:right w:val="single" w:color="auto" w:sz="4" w:space="0"/>
                  </w:tcBorders>
                </w:tcPr>
                <w:p>
                  <w:pPr>
                    <w:pStyle w:val="26"/>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n262</w:t>
                  </w:r>
                </w:p>
              </w:tc>
              <w:tc>
                <w:tcPr>
                  <w:tcW w:w="2734" w:type="dxa"/>
                  <w:tcBorders>
                    <w:top w:val="single" w:color="auto" w:sz="4" w:space="0"/>
                    <w:left w:val="single" w:color="auto" w:sz="4" w:space="0"/>
                    <w:bottom w:val="single" w:color="auto" w:sz="4" w:space="0"/>
                    <w:right w:val="single" w:color="auto" w:sz="4" w:space="0"/>
                  </w:tcBorders>
                </w:tcPr>
                <w:p>
                  <w:pPr>
                    <w:pStyle w:val="26"/>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2694" w:type="dxa"/>
                  <w:tcBorders>
                    <w:top w:val="single" w:color="auto" w:sz="4" w:space="0"/>
                    <w:left w:val="single" w:color="auto" w:sz="4" w:space="0"/>
                    <w:bottom w:val="single" w:color="auto" w:sz="4" w:space="0"/>
                    <w:right w:val="single" w:color="auto" w:sz="4" w:space="0"/>
                  </w:tcBorders>
                </w:tcPr>
                <w:p>
                  <w:pPr>
                    <w:pStyle w:val="26"/>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n263</w:t>
                  </w:r>
                </w:p>
              </w:tc>
              <w:tc>
                <w:tcPr>
                  <w:tcW w:w="2734" w:type="dxa"/>
                  <w:tcBorders>
                    <w:top w:val="single" w:color="auto" w:sz="4" w:space="0"/>
                    <w:left w:val="single" w:color="auto" w:sz="4" w:space="0"/>
                    <w:bottom w:val="single" w:color="auto" w:sz="4" w:space="0"/>
                    <w:right w:val="single" w:color="auto" w:sz="4" w:space="0"/>
                  </w:tcBorders>
                </w:tcPr>
                <w:p>
                  <w:pPr>
                    <w:pStyle w:val="26"/>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5428" w:type="dxa"/>
                  <w:gridSpan w:val="2"/>
                  <w:shd w:val="clear" w:color="auto" w:fill="auto"/>
                </w:tcPr>
                <w:p>
                  <w:pPr>
                    <w:pStyle w:val="54"/>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rPr>
                    <w:t>NOTE 1:</w:t>
                  </w:r>
                  <w:r>
                    <w:rPr>
                      <w:rFonts w:hint="default" w:ascii="Times New Roman" w:hAnsi="Times New Roman" w:cs="Times New Roman"/>
                      <w:color w:val="auto"/>
                      <w:sz w:val="20"/>
                      <w:szCs w:val="20"/>
                      <w:highlight w:val="none"/>
                      <w:lang w:val="en-US"/>
                    </w:rPr>
                    <w:tab/>
                  </w:r>
                  <w:r>
                    <w:rPr>
                      <w:rFonts w:hint="default" w:ascii="Times New Roman" w:hAnsi="Times New Roman" w:cs="Times New Roman"/>
                      <w:color w:val="auto"/>
                      <w:sz w:val="20"/>
                      <w:szCs w:val="20"/>
                      <w:highlight w:val="none"/>
                      <w:lang w:val="en-US"/>
                    </w:rPr>
                    <w:t>Minimum EIRP at 50 %-tile CDF is defined as the lower limit without tolerance</w:t>
                  </w:r>
                  <w:r>
                    <w:rPr>
                      <w:rFonts w:hint="default" w:ascii="Times New Roman" w:hAnsi="Times New Roman" w:cs="Times New Roman"/>
                      <w:color w:val="auto"/>
                      <w:sz w:val="20"/>
                      <w:szCs w:val="20"/>
                      <w:highlight w:val="none"/>
                      <w:lang w:val="en-US" w:eastAsia="zh-CN"/>
                    </w:rPr>
                    <w:t xml:space="preserve"> for RRC_CONNECTED STATE</w:t>
                  </w:r>
                </w:p>
                <w:p>
                  <w:pPr>
                    <w:pStyle w:val="54"/>
                    <w:rPr>
                      <w:rFonts w:hint="default" w:ascii="Times New Roman" w:hAnsi="Times New Roman" w:cs="Times New Roman"/>
                      <w:color w:val="auto"/>
                      <w:sz w:val="20"/>
                      <w:szCs w:val="20"/>
                      <w:highlight w:val="none"/>
                      <w:lang w:val="en-US"/>
                    </w:rPr>
                  </w:pPr>
                  <w:r>
                    <w:rPr>
                      <w:rFonts w:hint="default" w:ascii="Times New Roman" w:hAnsi="Times New Roman" w:cs="Times New Roman"/>
                      <w:color w:val="auto"/>
                      <w:sz w:val="20"/>
                      <w:szCs w:val="20"/>
                      <w:highlight w:val="none"/>
                      <w:lang w:val="en-US"/>
                    </w:rPr>
                    <w:t>NOTE 2:</w:t>
                  </w:r>
                  <w:r>
                    <w:rPr>
                      <w:rFonts w:hint="default" w:ascii="Times New Roman" w:hAnsi="Times New Roman" w:cs="Times New Roman"/>
                      <w:color w:val="auto"/>
                      <w:sz w:val="20"/>
                      <w:szCs w:val="20"/>
                      <w:highlight w:val="none"/>
                      <w:lang w:val="en-US"/>
                    </w:rPr>
                    <w:tab/>
                  </w:r>
                  <w:r>
                    <w:rPr>
                      <w:rFonts w:hint="default" w:ascii="Times New Roman" w:hAnsi="Times New Roman" w:cs="Times New Roman"/>
                      <w:color w:val="auto"/>
                      <w:sz w:val="20"/>
                      <w:szCs w:val="20"/>
                      <w:highlight w:val="none"/>
                      <w:lang w:val="en-US"/>
                    </w:rPr>
                    <w:t>Void</w:t>
                  </w:r>
                </w:p>
                <w:p>
                  <w:pPr>
                    <w:pStyle w:val="54"/>
                    <w:rPr>
                      <w:rFonts w:hint="default" w:ascii="Times New Roman" w:hAnsi="Times New Roman" w:cs="Times New Roman"/>
                      <w:color w:val="auto"/>
                      <w:sz w:val="20"/>
                      <w:szCs w:val="20"/>
                      <w:highlight w:val="none"/>
                      <w:lang w:val="en-US"/>
                    </w:rPr>
                  </w:pPr>
                  <w:r>
                    <w:rPr>
                      <w:rFonts w:hint="default" w:ascii="Times New Roman" w:hAnsi="Times New Roman" w:cs="Times New Roman"/>
                      <w:color w:val="auto"/>
                      <w:sz w:val="20"/>
                      <w:szCs w:val="20"/>
                      <w:highlight w:val="none"/>
                      <w:lang w:val="en-US"/>
                    </w:rPr>
                    <w:t>NOTE 3:</w:t>
                  </w:r>
                  <w:r>
                    <w:rPr>
                      <w:rFonts w:hint="default" w:ascii="Times New Roman" w:hAnsi="Times New Roman" w:cs="Times New Roman"/>
                      <w:color w:val="auto"/>
                      <w:sz w:val="20"/>
                      <w:szCs w:val="20"/>
                      <w:highlight w:val="none"/>
                      <w:lang w:val="en-US"/>
                    </w:rPr>
                    <w:tab/>
                  </w:r>
                  <w:r>
                    <w:rPr>
                      <w:rFonts w:hint="default" w:ascii="Times New Roman" w:hAnsi="Times New Roman" w:cs="Times New Roman"/>
                      <w:color w:val="auto"/>
                      <w:sz w:val="20"/>
                      <w:szCs w:val="20"/>
                      <w:highlight w:val="none"/>
                      <w:lang w:val="en-US"/>
                    </w:rPr>
                    <w:t>The requirements in this table are verified only under normal temperature conditions as defined in Annex E.2.1.</w:t>
                  </w:r>
                </w:p>
                <w:p>
                  <w:pPr>
                    <w:pStyle w:val="54"/>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rPr>
                    <w:t xml:space="preserve">NOTE 4: For initial access and RA/CG-SDT in RRC_INACTIVE STATE, the power tolerance specified in 6.3.4.2, 6.3.4.3 or 6.3.4.4 should be applied on top of minimum EIRP at 50%-tile CDF. The applicability rules of the power tolerance are defined in 6.3.4.2, 6.3.4.3 and 6.3.4.4, respectively. </w:t>
                  </w:r>
                </w:p>
              </w:tc>
            </w:tr>
          </w:tbl>
          <w:p>
            <w:pPr>
              <w:bidi w:val="0"/>
              <w:spacing w:before="120" w:line="280" w:lineRule="atLeast"/>
              <w:rPr>
                <w:rFonts w:hint="default" w:ascii="Times New Roman" w:hAnsi="Times New Roman" w:cs="Times New Roman"/>
                <w:sz w:val="20"/>
                <w:szCs w:val="20"/>
                <w:highlight w:val="none"/>
                <w:vertAlign w:val="baseline"/>
                <w:lang w:val="en-US" w:eastAsia="zh-CN"/>
              </w:rPr>
            </w:pPr>
          </w:p>
        </w:tc>
      </w:tr>
    </w:tbl>
    <w:p>
      <w:pPr>
        <w:bidi w:val="0"/>
        <w:rPr>
          <w:rFonts w:hint="default"/>
          <w:lang w:val="en-US" w:eastAsia="zh-CN"/>
        </w:rPr>
      </w:pPr>
    </w:p>
    <w:p>
      <w:pPr>
        <w:bidi w:val="0"/>
        <w:rPr>
          <w:rFonts w:hint="eastAsia" w:ascii="Times New Roman" w:hAnsi="Times New Roman" w:eastAsiaTheme="minorEastAsia"/>
          <w:bCs/>
          <w:kern w:val="0"/>
          <w:sz w:val="20"/>
          <w:szCs w:val="20"/>
          <w:lang w:val="en-US" w:eastAsia="zh-CN"/>
        </w:rPr>
      </w:pPr>
      <w:r>
        <w:rPr>
          <w:rFonts w:hint="eastAsia" w:ascii="Times New Roman" w:hAnsi="Times New Roman" w:eastAsiaTheme="minorEastAsia"/>
          <w:bCs/>
          <w:kern w:val="0"/>
          <w:sz w:val="20"/>
          <w:szCs w:val="20"/>
          <w:lang w:val="en-US" w:eastAsia="zh-CN"/>
        </w:rPr>
        <w:t xml:space="preserve">Referring to TS 38.101-1 and TS 38.101-2, it is explicitly state that power control tolerance requirements are the same for PUSCH (CONNECTED state) and PRACH (initial) as below. So it is reasonable to assume power control tolerance is the same for open loop and close loop power control scheme. </w:t>
      </w:r>
    </w:p>
    <w:p>
      <w:pPr>
        <w:pStyle w:val="49"/>
        <w:jc w:val="center"/>
        <w:rPr>
          <w:sz w:val="16"/>
          <w:szCs w:val="18"/>
        </w:rPr>
      </w:pPr>
      <w:r>
        <w:rPr>
          <w:sz w:val="16"/>
          <w:szCs w:val="18"/>
        </w:rPr>
        <w:t>Table 6.3.4.3-1: Relative power tolerance, P</w:t>
      </w:r>
      <w:r>
        <w:rPr>
          <w:sz w:val="16"/>
          <w:szCs w:val="18"/>
          <w:vertAlign w:val="subscript"/>
        </w:rPr>
        <w:t>int</w:t>
      </w:r>
      <w:r>
        <w:rPr>
          <w:sz w:val="16"/>
          <w:szCs w:val="18"/>
        </w:rPr>
        <w:t xml:space="preserve"> ≥ P ≥ P</w:t>
      </w:r>
      <w:r>
        <w:rPr>
          <w:sz w:val="16"/>
          <w:szCs w:val="18"/>
          <w:vertAlign w:val="subscript"/>
        </w:rPr>
        <w:t>min</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vAlign w:val="center"/>
          </w:tcPr>
          <w:p>
            <w:pPr>
              <w:pStyle w:val="25"/>
              <w:jc w:val="center"/>
              <w:rPr>
                <w:sz w:val="16"/>
                <w:szCs w:val="16"/>
              </w:rPr>
            </w:pPr>
            <w:r>
              <w:rPr>
                <w:sz w:val="16"/>
                <w:szCs w:val="16"/>
              </w:rPr>
              <w:t xml:space="preserve">Power step </w:t>
            </w:r>
            <w:r>
              <w:rPr>
                <w:rFonts w:cs="Arial"/>
                <w:sz w:val="16"/>
                <w:szCs w:val="16"/>
              </w:rPr>
              <w:t>∆</w:t>
            </w:r>
            <w:r>
              <w:rPr>
                <w:sz w:val="16"/>
                <w:szCs w:val="16"/>
              </w:rPr>
              <w:t>P (Up or down)</w:t>
            </w:r>
          </w:p>
          <w:p>
            <w:pPr>
              <w:pStyle w:val="25"/>
              <w:jc w:val="center"/>
              <w:rPr>
                <w:sz w:val="16"/>
                <w:szCs w:val="16"/>
              </w:rPr>
            </w:pPr>
            <w:r>
              <w:rPr>
                <w:sz w:val="16"/>
                <w:szCs w:val="16"/>
              </w:rPr>
              <w:t>(dB)</w:t>
            </w:r>
          </w:p>
        </w:tc>
        <w:tc>
          <w:tcPr>
            <w:tcW w:w="2977" w:type="dxa"/>
            <w:tcBorders>
              <w:top w:val="single" w:color="auto" w:sz="4" w:space="0"/>
              <w:left w:val="single" w:color="auto" w:sz="4" w:space="0"/>
              <w:bottom w:val="single" w:color="auto" w:sz="4" w:space="0"/>
              <w:right w:val="single" w:color="auto" w:sz="4" w:space="0"/>
            </w:tcBorders>
            <w:vAlign w:val="center"/>
          </w:tcPr>
          <w:p>
            <w:pPr>
              <w:pStyle w:val="25"/>
              <w:jc w:val="center"/>
              <w:rPr>
                <w:sz w:val="16"/>
                <w:szCs w:val="16"/>
                <w:lang w:val="en-US"/>
              </w:rPr>
            </w:pPr>
            <w:r>
              <w:rPr>
                <w:sz w:val="16"/>
                <w:szCs w:val="16"/>
              </w:rPr>
              <w:t>All combinations of PUSCH and PUCCH, PUSCH/PUCCH and SRS transitions between sub-frames, PRACH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6"/>
              <w:jc w:val="center"/>
              <w:rPr>
                <w:sz w:val="16"/>
                <w:szCs w:val="16"/>
              </w:rPr>
            </w:pPr>
            <w:r>
              <w:rPr>
                <w:sz w:val="16"/>
                <w:szCs w:val="16"/>
              </w:rPr>
              <w:t>ΔP &lt; 2</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6"/>
              <w:jc w:val="center"/>
              <w:rPr>
                <w:sz w:val="16"/>
                <w:szCs w:val="16"/>
              </w:rPr>
            </w:pPr>
            <w:r>
              <w:rPr>
                <w:sz w:val="16"/>
                <w:szCs w:val="16"/>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6"/>
              <w:jc w:val="center"/>
              <w:rPr>
                <w:sz w:val="16"/>
                <w:szCs w:val="16"/>
              </w:rPr>
            </w:pPr>
            <w:r>
              <w:rPr>
                <w:sz w:val="16"/>
                <w:szCs w:val="16"/>
              </w:rPr>
              <w:t>2 ≤ ΔP &lt; 3</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6"/>
              <w:jc w:val="center"/>
              <w:rPr>
                <w:sz w:val="16"/>
                <w:szCs w:val="16"/>
              </w:rPr>
            </w:pPr>
            <w:r>
              <w:rPr>
                <w:sz w:val="16"/>
                <w:szCs w:val="16"/>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6"/>
              <w:jc w:val="center"/>
              <w:rPr>
                <w:sz w:val="16"/>
                <w:szCs w:val="16"/>
              </w:rPr>
            </w:pPr>
            <w:r>
              <w:rPr>
                <w:sz w:val="16"/>
                <w:szCs w:val="16"/>
              </w:rPr>
              <w:t>3 ≤ ΔP &lt; 4</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6"/>
              <w:jc w:val="center"/>
              <w:rPr>
                <w:sz w:val="16"/>
                <w:szCs w:val="16"/>
              </w:rPr>
            </w:pPr>
            <w:r>
              <w:rPr>
                <w:sz w:val="16"/>
                <w:szCs w:val="16"/>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6"/>
              <w:jc w:val="center"/>
              <w:rPr>
                <w:sz w:val="16"/>
                <w:szCs w:val="16"/>
              </w:rPr>
            </w:pPr>
            <w:r>
              <w:rPr>
                <w:sz w:val="16"/>
                <w:szCs w:val="16"/>
              </w:rPr>
              <w:t>4 ≤ ΔP &lt; 10</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6"/>
              <w:jc w:val="center"/>
              <w:rPr>
                <w:sz w:val="16"/>
                <w:szCs w:val="16"/>
              </w:rPr>
            </w:pPr>
            <w:r>
              <w:rPr>
                <w:sz w:val="16"/>
                <w:szCs w:val="16"/>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6"/>
              <w:jc w:val="center"/>
              <w:rPr>
                <w:sz w:val="16"/>
                <w:szCs w:val="16"/>
              </w:rPr>
            </w:pPr>
            <w:r>
              <w:rPr>
                <w:sz w:val="16"/>
                <w:szCs w:val="16"/>
              </w:rPr>
              <w:t>10 ≤ ΔP &lt; 15</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6"/>
              <w:jc w:val="center"/>
              <w:rPr>
                <w:sz w:val="16"/>
                <w:szCs w:val="16"/>
              </w:rPr>
            </w:pPr>
            <w:r>
              <w:rPr>
                <w:sz w:val="16"/>
                <w:szCs w:val="16"/>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6"/>
              <w:jc w:val="center"/>
              <w:rPr>
                <w:sz w:val="16"/>
                <w:szCs w:val="16"/>
              </w:rPr>
            </w:pPr>
            <w:r>
              <w:rPr>
                <w:sz w:val="16"/>
                <w:szCs w:val="16"/>
              </w:rPr>
              <w:t>15 ≤ ΔP</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6"/>
              <w:jc w:val="center"/>
              <w:rPr>
                <w:sz w:val="16"/>
                <w:szCs w:val="16"/>
              </w:rPr>
            </w:pPr>
            <w:r>
              <w:rPr>
                <w:sz w:val="16"/>
                <w:szCs w:val="16"/>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26"/>
              <w:ind w:left="785" w:hanging="785"/>
              <w:jc w:val="center"/>
              <w:rPr>
                <w:sz w:val="16"/>
                <w:szCs w:val="16"/>
              </w:rPr>
            </w:pPr>
            <w:r>
              <w:rPr>
                <w:sz w:val="16"/>
                <w:szCs w:val="16"/>
              </w:rPr>
              <w:t>NOTE:</w:t>
            </w:r>
            <w:r>
              <w:rPr>
                <w:sz w:val="16"/>
                <w:szCs w:val="16"/>
              </w:rPr>
              <w:tab/>
            </w:r>
            <w:r>
              <w:rPr>
                <w:sz w:val="16"/>
                <w:szCs w:val="16"/>
              </w:rPr>
              <w:t xml:space="preserve">The requirements apply with </w:t>
            </w:r>
            <w:r>
              <w:rPr>
                <w:i/>
                <w:sz w:val="16"/>
                <w:szCs w:val="16"/>
              </w:rPr>
              <w:t>ue-BeamLockFunction</w:t>
            </w:r>
            <w:r>
              <w:rPr>
                <w:sz w:val="16"/>
                <w:szCs w:val="16"/>
              </w:rPr>
              <w:t xml:space="preserve"> enabled.</w:t>
            </w:r>
          </w:p>
        </w:tc>
      </w:tr>
    </w:tbl>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Times New Roman" w:hAnsi="Times New Roman" w:eastAsiaTheme="minorEastAsia"/>
          <w:b/>
          <w:bCs w:val="0"/>
          <w:kern w:val="0"/>
          <w:sz w:val="20"/>
          <w:szCs w:val="20"/>
          <w:lang w:val="en-US" w:eastAsia="zh-CN"/>
        </w:rPr>
      </w:pPr>
      <w:r>
        <w:rPr>
          <w:rFonts w:hint="eastAsia" w:ascii="Times New Roman" w:hAnsi="Times New Roman" w:eastAsiaTheme="minorEastAsia"/>
          <w:b/>
          <w:bCs w:val="0"/>
          <w:kern w:val="0"/>
          <w:sz w:val="20"/>
          <w:szCs w:val="20"/>
          <w:lang w:val="en-US" w:eastAsia="zh-CN"/>
        </w:rPr>
        <w:t>Observation 1: 38101-1 and 38101-2 explicitly state that power control tolerance requirement is the same for initial state, i.e. open loop power control and RRC_CONNECTED state, i.e. closed loop power control.</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Times New Roman" w:hAnsi="Times New Roman"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 xml:space="preserve">Usually, UE use feedback link to adjust and maintain target output power. The supporter of defining tolerance requirements argue that the feedback link would be more stable for CONNECTED state due to frequently transmission. On the contrary, initial access state would transmit infrequently, so feedback link would not be that stable and lead to larger tolerance. </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Times New Roman" w:hAnsi="Times New Roman"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But it should be noted that the tolerance requirement is used in conformance testing. During the testing procedure, UE behaviour is similar for initial state and RRC_CONNECTED state. UE will contiguously transmit to achieve max output power and transmit towards all directions in the sphere in spherical coverage testing. From this point of view, the tolerance requirement should be the same for initial access and RRC CONNECTED state. Since there is no tolerance requirement for CONNECTED state, it</w:t>
      </w:r>
      <w:r>
        <w:rPr>
          <w:rFonts w:hint="default" w:ascii="Times New Roman" w:hAnsi="Times New Roman" w:cs="Times New Roman"/>
          <w:color w:val="000000" w:themeColor="text1"/>
          <w:sz w:val="20"/>
          <w:szCs w:val="20"/>
          <w:highlight w:val="none"/>
          <w:lang w:val="en-US" w:eastAsia="zh-CN"/>
          <w14:textFill>
            <w14:solidFill>
              <w14:schemeClr w14:val="tx1"/>
            </w14:solidFill>
          </w14:textFill>
        </w:rPr>
        <w:t>’</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s suggested there is no tolerance requirement for initial access state and RRC_CONNECTED state.</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Times New Roman" w:hAnsi="Times New Roman" w:cs="Times New Roman"/>
          <w:b/>
          <w:bCs/>
          <w:color w:val="000000" w:themeColor="text1"/>
          <w:sz w:val="20"/>
          <w:szCs w:val="20"/>
          <w:highlight w:val="none"/>
          <w:lang w:val="en-US" w:eastAsia="zh-CN"/>
          <w14:textFill>
            <w14:solidFill>
              <w14:schemeClr w14:val="tx1"/>
            </w14:solidFill>
          </w14:textFill>
        </w:rPr>
      </w:pPr>
      <w:r>
        <w:rPr>
          <w:rFonts w:hint="eastAsia" w:ascii="Times New Roman" w:hAnsi="Times New Roman" w:cs="Times New Roman"/>
          <w:b/>
          <w:bCs/>
          <w:color w:val="000000" w:themeColor="text1"/>
          <w:sz w:val="20"/>
          <w:szCs w:val="20"/>
          <w:highlight w:val="none"/>
          <w:lang w:val="en-US" w:eastAsia="zh-CN"/>
          <w14:textFill>
            <w14:solidFill>
              <w14:schemeClr w14:val="tx1"/>
            </w14:solidFill>
          </w14:textFill>
        </w:rPr>
        <w:t>Proposal 1: it</w:t>
      </w:r>
      <w:r>
        <w:rPr>
          <w:rFonts w:hint="default" w:ascii="Times New Roman" w:hAnsi="Times New Roman" w:cs="Times New Roman"/>
          <w:b/>
          <w:bCs/>
          <w:color w:val="000000" w:themeColor="text1"/>
          <w:sz w:val="20"/>
          <w:szCs w:val="20"/>
          <w:highlight w:val="none"/>
          <w:lang w:val="en-US" w:eastAsia="zh-CN"/>
          <w14:textFill>
            <w14:solidFill>
              <w14:schemeClr w14:val="tx1"/>
            </w14:solidFill>
          </w14:textFill>
        </w:rPr>
        <w:t>’</w:t>
      </w:r>
      <w:r>
        <w:rPr>
          <w:rFonts w:hint="eastAsia" w:ascii="Times New Roman" w:hAnsi="Times New Roman" w:cs="Times New Roman"/>
          <w:b/>
          <w:bCs/>
          <w:color w:val="000000" w:themeColor="text1"/>
          <w:sz w:val="20"/>
          <w:szCs w:val="20"/>
          <w:highlight w:val="none"/>
          <w:lang w:val="en-US" w:eastAsia="zh-CN"/>
          <w14:textFill>
            <w14:solidFill>
              <w14:schemeClr w14:val="tx1"/>
            </w14:solidFill>
          </w14:textFill>
        </w:rPr>
        <w:t>s suggested not define tolerance requirement for spherical coverage requirements at initial access and INACTIVE state, the same as in RRC_CONNECTED state.</w:t>
      </w:r>
    </w:p>
    <w:p>
      <w:pPr>
        <w:keepNext/>
        <w:keepLines/>
        <w:spacing w:before="260" w:after="260" w:line="416" w:lineRule="auto"/>
        <w:outlineLvl w:val="1"/>
        <w:rPr>
          <w:rFonts w:asciiTheme="majorHAnsi" w:hAnsiTheme="majorHAnsi" w:eastAsiaTheme="majorEastAsia" w:cstheme="majorBidi"/>
          <w:b/>
          <w:bCs/>
          <w:sz w:val="32"/>
          <w:szCs w:val="32"/>
        </w:rPr>
      </w:pPr>
      <w:r>
        <w:rPr>
          <w:rFonts w:hint="eastAsia" w:asciiTheme="majorHAnsi" w:hAnsiTheme="majorHAnsi" w:eastAsiaTheme="majorEastAsia" w:cstheme="majorBidi"/>
          <w:b/>
          <w:bCs/>
          <w:sz w:val="32"/>
          <w:szCs w:val="32"/>
        </w:rPr>
        <w:t>2</w:t>
      </w:r>
      <w:r>
        <w:rPr>
          <w:rFonts w:asciiTheme="majorHAnsi" w:hAnsiTheme="majorHAnsi" w:eastAsiaTheme="majorEastAsia" w:cstheme="majorBidi"/>
          <w:b/>
          <w:bCs/>
          <w:sz w:val="32"/>
          <w:szCs w:val="32"/>
        </w:rPr>
        <w:t xml:space="preserve">.2 </w:t>
      </w:r>
      <w:r>
        <w:rPr>
          <w:rFonts w:hint="eastAsia" w:asciiTheme="majorHAnsi" w:hAnsiTheme="majorHAnsi" w:eastAsiaTheme="majorEastAsia" w:cstheme="majorBidi"/>
          <w:b/>
          <w:bCs/>
          <w:sz w:val="32"/>
          <w:szCs w:val="32"/>
        </w:rPr>
        <w:t>RAR</w:t>
      </w:r>
    </w:p>
    <w:p>
      <w:pPr>
        <w:widowControl/>
        <w:overflowPunct w:val="0"/>
        <w:autoSpaceDE w:val="0"/>
        <w:autoSpaceDN w:val="0"/>
        <w:adjustRightInd w:val="0"/>
        <w:spacing w:after="120"/>
        <w:rPr>
          <w:rFonts w:ascii="Times New Roman" w:hAnsi="Times New Roman" w:eastAsiaTheme="minorEastAsia"/>
          <w:bCs/>
          <w:kern w:val="0"/>
          <w:sz w:val="20"/>
          <w:szCs w:val="20"/>
        </w:rPr>
      </w:pPr>
      <w:r>
        <w:rPr>
          <w:rFonts w:hint="eastAsia" w:ascii="Times New Roman" w:hAnsi="Times New Roman" w:eastAsiaTheme="minorEastAsia"/>
          <w:bCs/>
          <w:kern w:val="0"/>
          <w:sz w:val="20"/>
          <w:szCs w:val="20"/>
          <w:lang w:val="en-US" w:eastAsia="zh-CN"/>
        </w:rPr>
        <w:t>Previous meeting agreement</w:t>
      </w:r>
      <w:r>
        <w:rPr>
          <w:rFonts w:ascii="Times New Roman" w:hAnsi="Times New Roman" w:eastAsiaTheme="minorEastAsia"/>
          <w:bCs/>
          <w:kern w:val="0"/>
          <w:sz w:val="20"/>
          <w:szCs w:val="20"/>
        </w:rPr>
        <w:t xml:space="preserve"> is listed as below:</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08" w:hRule="atLeast"/>
        </w:trPr>
        <w:tc>
          <w:tcPr>
            <w:tcW w:w="9736" w:type="dxa"/>
          </w:tcPr>
          <w:p>
            <w:pPr>
              <w:widowControl/>
              <w:spacing w:before="120" w:after="120" w:line="280" w:lineRule="atLeast"/>
              <w:jc w:val="left"/>
              <w:rPr>
                <w:rFonts w:ascii="Times New Roman" w:hAnsi="Times New Roman" w:eastAsia="Times New Roman"/>
                <w:kern w:val="0"/>
                <w:sz w:val="20"/>
                <w:szCs w:val="20"/>
                <w:lang w:val="en-GB" w:eastAsia="en-GB"/>
              </w:rPr>
            </w:pPr>
            <w:r>
              <w:rPr>
                <w:rFonts w:ascii="Times New Roman" w:hAnsi="Times New Roman" w:eastAsia="Times New Roman"/>
                <w:b/>
                <w:bCs/>
                <w:kern w:val="0"/>
                <w:sz w:val="20"/>
                <w:szCs w:val="20"/>
                <w:lang w:val="en-GB" w:eastAsia="en-GB"/>
              </w:rPr>
              <w:t>Way forward/Agreements:</w:t>
            </w:r>
          </w:p>
          <w:p>
            <w:pPr>
              <w:keepNext w:val="0"/>
              <w:keepLines w:val="0"/>
              <w:pageBreakBefore w:val="0"/>
              <w:widowControl/>
              <w:numPr>
                <w:ilvl w:val="0"/>
                <w:numId w:val="1"/>
              </w:numPr>
              <w:kinsoku/>
              <w:wordWrap/>
              <w:overflowPunct/>
              <w:topLinePunct w:val="0"/>
              <w:autoSpaceDE/>
              <w:autoSpaceDN w:val="0"/>
              <w:bidi w:val="0"/>
              <w:adjustRightInd/>
              <w:snapToGrid/>
              <w:spacing w:before="120" w:after="180" w:line="280" w:lineRule="atLeast"/>
              <w:ind w:left="0" w:firstLine="0"/>
              <w:jc w:val="left"/>
              <w:textAlignment w:val="auto"/>
              <w:rPr>
                <w:rFonts w:ascii="MS Mincho" w:hAnsi="MS Mincho" w:eastAsia="Times New Roman"/>
                <w:kern w:val="0"/>
                <w:sz w:val="20"/>
                <w:szCs w:val="20"/>
                <w:lang w:val="en-GB" w:eastAsia="en-GB"/>
              </w:rPr>
            </w:pPr>
            <w:r>
              <w:rPr>
                <w:rFonts w:ascii="Times New Roman" w:hAnsi="Times New Roman" w:eastAsia="Times New Roman"/>
                <w:kern w:val="0"/>
                <w:sz w:val="20"/>
                <w:szCs w:val="20"/>
                <w:lang w:val="en-GB" w:eastAsia="en-GB"/>
              </w:rPr>
              <w:t>focus on Msg1 requirement first, then discuss RAR later</w:t>
            </w:r>
          </w:p>
          <w:p>
            <w:pPr>
              <w:widowControl/>
              <w:numPr>
                <w:ilvl w:val="0"/>
                <w:numId w:val="0"/>
              </w:numPr>
              <w:autoSpaceDN w:val="0"/>
              <w:spacing w:before="120" w:after="180" w:line="280" w:lineRule="atLeast"/>
              <w:jc w:val="left"/>
              <w:rPr>
                <w:rFonts w:hint="default" w:ascii="Times New Roman" w:hAnsi="Times New Roman"/>
                <w:b/>
                <w:bCs/>
                <w:kern w:val="0"/>
                <w:sz w:val="20"/>
                <w:szCs w:val="20"/>
                <w:lang w:val="en-US" w:eastAsia="zh-CN"/>
              </w:rPr>
            </w:pPr>
            <w:r>
              <w:rPr>
                <w:rFonts w:hint="eastAsia" w:ascii="Times New Roman" w:hAnsi="Times New Roman"/>
                <w:b/>
                <w:bCs/>
                <w:kern w:val="0"/>
                <w:sz w:val="20"/>
                <w:szCs w:val="20"/>
                <w:lang w:val="en-US" w:eastAsia="zh-CN"/>
              </w:rPr>
              <w:t>Agreements for msg1 captured from approved TP</w:t>
            </w:r>
          </w:p>
          <w:p>
            <w:pPr>
              <w:keepNext w:val="0"/>
              <w:keepLines w:val="0"/>
              <w:pageBreakBefore w:val="0"/>
              <w:widowControl/>
              <w:numPr>
                <w:ilvl w:val="0"/>
                <w:numId w:val="1"/>
              </w:numPr>
              <w:kinsoku/>
              <w:wordWrap/>
              <w:overflowPunct/>
              <w:topLinePunct w:val="0"/>
              <w:autoSpaceDE/>
              <w:autoSpaceDN w:val="0"/>
              <w:bidi w:val="0"/>
              <w:adjustRightInd/>
              <w:snapToGrid/>
              <w:spacing w:before="120" w:after="180" w:line="280" w:lineRule="atLeast"/>
              <w:ind w:left="0" w:firstLine="0"/>
              <w:jc w:val="left"/>
              <w:textAlignment w:val="auto"/>
              <w:rPr>
                <w:rFonts w:hint="default" w:ascii="Times New Roman" w:hAnsi="Times New Roman" w:eastAsia="Times New Roman"/>
                <w:kern w:val="0"/>
                <w:sz w:val="20"/>
                <w:szCs w:val="20"/>
                <w:lang w:val="en-US" w:eastAsia="zh-CN"/>
              </w:rPr>
            </w:pPr>
            <w:r>
              <w:rPr>
                <w:rFonts w:hint="default" w:ascii="Times New Roman" w:hAnsi="Times New Roman" w:eastAsia="Times New Roman"/>
                <w:kern w:val="0"/>
                <w:sz w:val="20"/>
                <w:szCs w:val="20"/>
                <w:lang w:val="en-US" w:eastAsia="zh-CN"/>
              </w:rPr>
              <w:t xml:space="preserve">During a Random access procedure, the UE could use both the rough and fine beams. </w:t>
            </w:r>
          </w:p>
          <w:p>
            <w:pPr>
              <w:keepNext w:val="0"/>
              <w:keepLines w:val="0"/>
              <w:pageBreakBefore w:val="0"/>
              <w:widowControl/>
              <w:numPr>
                <w:ilvl w:val="0"/>
                <w:numId w:val="1"/>
              </w:numPr>
              <w:kinsoku/>
              <w:wordWrap/>
              <w:overflowPunct/>
              <w:topLinePunct w:val="0"/>
              <w:autoSpaceDE/>
              <w:autoSpaceDN w:val="0"/>
              <w:bidi w:val="0"/>
              <w:adjustRightInd/>
              <w:snapToGrid/>
              <w:spacing w:before="120" w:after="180" w:line="280" w:lineRule="atLeast"/>
              <w:ind w:left="0" w:firstLine="0"/>
              <w:jc w:val="left"/>
              <w:textAlignment w:val="auto"/>
              <w:rPr>
                <w:rFonts w:hint="default" w:ascii="Times New Roman" w:hAnsi="Times New Roman"/>
                <w:kern w:val="0"/>
                <w:sz w:val="20"/>
                <w:szCs w:val="20"/>
                <w:lang w:val="en-US" w:eastAsia="zh-CN"/>
              </w:rPr>
            </w:pPr>
            <w:r>
              <w:rPr>
                <w:rFonts w:hint="default" w:ascii="Times New Roman" w:hAnsi="Times New Roman" w:eastAsia="Times New Roman"/>
                <w:kern w:val="0"/>
                <w:sz w:val="20"/>
                <w:szCs w:val="20"/>
                <w:lang w:val="en-US" w:eastAsia="zh-CN"/>
              </w:rPr>
              <w:t>During random access procedure for Initial access or even handovers, cell reselection and other scenarios where Random access is required, the 3GPP standards do not mandate the beam type the UE used. This is up to UE implementation if a rough beam or a narrow beam is to be used and how to achieve beam refinement.</w:t>
            </w:r>
          </w:p>
        </w:tc>
      </w:tr>
    </w:tbl>
    <w:p>
      <w:pPr>
        <w:widowControl/>
        <w:overflowPunct w:val="0"/>
        <w:autoSpaceDE w:val="0"/>
        <w:autoSpaceDN w:val="0"/>
        <w:adjustRightInd w:val="0"/>
        <w:spacing w:before="120" w:after="120"/>
        <w:rPr>
          <w:rFonts w:ascii="Times New Roman" w:hAnsi="Times New Roman" w:eastAsiaTheme="minorEastAsia"/>
          <w:bCs/>
          <w:kern w:val="0"/>
          <w:sz w:val="20"/>
          <w:szCs w:val="20"/>
        </w:rPr>
      </w:pPr>
      <w:r>
        <w:rPr>
          <w:rFonts w:ascii="Times New Roman" w:hAnsi="Times New Roman" w:eastAsiaTheme="minorEastAsia"/>
          <w:bCs/>
          <w:kern w:val="0"/>
          <w:sz w:val="20"/>
          <w:szCs w:val="20"/>
        </w:rPr>
        <w:t>For msg1, beam correspondence is to derive msg1 Tx beam based on SSB Rx beam. For RAR, the beam correspondence is to derive RAR Rx beam based on msg1 Tx beam. Different beam types lead to different requirements. following table show all Tx</w:t>
      </w:r>
      <w:r>
        <w:rPr>
          <w:rFonts w:hint="eastAsia" w:ascii="Times New Roman" w:hAnsi="Times New Roman" w:eastAsiaTheme="minorEastAsia"/>
          <w:bCs/>
          <w:kern w:val="0"/>
          <w:sz w:val="20"/>
          <w:szCs w:val="20"/>
          <w:lang w:val="en-US" w:eastAsia="zh-CN"/>
        </w:rPr>
        <w:t>-</w:t>
      </w:r>
      <w:r>
        <w:rPr>
          <w:rFonts w:ascii="Times New Roman" w:hAnsi="Times New Roman" w:eastAsiaTheme="minorEastAsia"/>
          <w:bCs/>
          <w:kern w:val="0"/>
          <w:sz w:val="20"/>
          <w:szCs w:val="20"/>
        </w:rPr>
        <w:t xml:space="preserve">Rx beam type </w:t>
      </w:r>
      <w:r>
        <w:rPr>
          <w:rFonts w:hint="eastAsia" w:ascii="Times New Roman" w:hAnsi="Times New Roman" w:eastAsiaTheme="minorEastAsia"/>
          <w:bCs/>
          <w:kern w:val="0"/>
          <w:sz w:val="20"/>
          <w:szCs w:val="20"/>
          <w:lang w:val="en-US" w:eastAsia="zh-CN"/>
        </w:rPr>
        <w:t xml:space="preserve">pair </w:t>
      </w:r>
      <w:r>
        <w:rPr>
          <w:rFonts w:ascii="Times New Roman" w:hAnsi="Times New Roman" w:eastAsiaTheme="minorEastAsia"/>
          <w:bCs/>
          <w:kern w:val="0"/>
          <w:sz w:val="20"/>
          <w:szCs w:val="20"/>
        </w:rPr>
        <w:t xml:space="preserve">for msg 1 BC and RAR BC. </w:t>
      </w:r>
    </w:p>
    <w:p>
      <w:pPr>
        <w:widowControl/>
        <w:overflowPunct w:val="0"/>
        <w:autoSpaceDE w:val="0"/>
        <w:autoSpaceDN w:val="0"/>
        <w:adjustRightInd w:val="0"/>
        <w:spacing w:before="120" w:after="120"/>
        <w:jc w:val="center"/>
        <w:rPr>
          <w:rFonts w:ascii="Times New Roman" w:hAnsi="Times New Roman" w:eastAsiaTheme="minorEastAsia"/>
          <w:bCs/>
          <w:kern w:val="0"/>
          <w:sz w:val="20"/>
          <w:szCs w:val="20"/>
        </w:rPr>
      </w:pPr>
      <w:r>
        <w:rPr>
          <w:rFonts w:ascii="Times New Roman" w:hAnsi="Times New Roman" w:eastAsiaTheme="minorEastAsia"/>
          <w:bCs/>
          <w:kern w:val="0"/>
          <w:sz w:val="20"/>
          <w:szCs w:val="20"/>
        </w:rPr>
        <w:t xml:space="preserve">Table 1: all </w:t>
      </w:r>
      <w:r>
        <w:rPr>
          <w:rFonts w:hint="eastAsia" w:ascii="Times New Roman" w:hAnsi="Times New Roman" w:eastAsiaTheme="minorEastAsia"/>
          <w:bCs/>
          <w:kern w:val="0"/>
          <w:sz w:val="20"/>
          <w:szCs w:val="20"/>
          <w:lang w:val="en-US" w:eastAsia="zh-CN"/>
        </w:rPr>
        <w:t xml:space="preserve">pairs of </w:t>
      </w:r>
      <w:r>
        <w:rPr>
          <w:rFonts w:ascii="Times New Roman" w:hAnsi="Times New Roman" w:eastAsiaTheme="minorEastAsia"/>
          <w:bCs/>
          <w:kern w:val="0"/>
          <w:sz w:val="20"/>
          <w:szCs w:val="20"/>
        </w:rPr>
        <w:t>Tx/Rx beam type for msg 1 BC and RAR BC</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2268"/>
        <w:gridCol w:w="2268"/>
        <w:gridCol w:w="2143"/>
        <w:gridCol w:w="1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restart"/>
            <w:shd w:val="clear" w:color="auto" w:fill="D8D8D8" w:themeFill="background1" w:themeFillShade="D9"/>
          </w:tcPr>
          <w:p>
            <w:pPr>
              <w:widowControl/>
              <w:overflowPunct w:val="0"/>
              <w:autoSpaceDE w:val="0"/>
              <w:autoSpaceDN w:val="0"/>
              <w:adjustRightInd w:val="0"/>
              <w:spacing w:before="120" w:after="120" w:line="280" w:lineRule="atLeast"/>
              <w:rPr>
                <w:rFonts w:ascii="Times New Roman" w:hAnsi="Times New Roman" w:eastAsiaTheme="minorEastAsia"/>
                <w:bCs/>
                <w:kern w:val="0"/>
                <w:sz w:val="20"/>
                <w:szCs w:val="20"/>
                <w:lang w:val="en-GB" w:eastAsia="zh-CN"/>
              </w:rPr>
            </w:pPr>
            <w:r>
              <w:rPr>
                <w:rFonts w:ascii="Times New Roman" w:hAnsi="Times New Roman" w:eastAsiaTheme="minorEastAsia"/>
                <w:bCs/>
                <w:kern w:val="0"/>
                <w:sz w:val="20"/>
                <w:szCs w:val="20"/>
                <w:lang w:val="en-GB" w:eastAsia="zh-CN"/>
              </w:rPr>
              <w:t>Msg 1 Tx beam type</w:t>
            </w:r>
          </w:p>
        </w:tc>
        <w:tc>
          <w:tcPr>
            <w:tcW w:w="4536" w:type="dxa"/>
            <w:gridSpan w:val="2"/>
            <w:shd w:val="clear" w:color="auto" w:fill="D8D8D8" w:themeFill="background1" w:themeFillShade="D9"/>
            <w:vAlign w:val="center"/>
          </w:tcPr>
          <w:p>
            <w:pPr>
              <w:widowControl/>
              <w:overflowPunct w:val="0"/>
              <w:autoSpaceDE w:val="0"/>
              <w:autoSpaceDN w:val="0"/>
              <w:adjustRightInd w:val="0"/>
              <w:spacing w:before="120" w:after="120" w:line="280" w:lineRule="atLeast"/>
              <w:jc w:val="center"/>
              <w:rPr>
                <w:rFonts w:ascii="Times New Roman" w:hAnsi="Times New Roman" w:eastAsiaTheme="minorEastAsia"/>
                <w:bCs/>
                <w:kern w:val="0"/>
                <w:sz w:val="20"/>
                <w:szCs w:val="20"/>
                <w:lang w:val="en-GB" w:eastAsia="zh-CN"/>
              </w:rPr>
            </w:pPr>
            <w:r>
              <w:rPr>
                <w:rFonts w:ascii="Times New Roman" w:hAnsi="Times New Roman" w:eastAsiaTheme="minorEastAsia"/>
                <w:bCs/>
                <w:kern w:val="0"/>
                <w:sz w:val="20"/>
                <w:szCs w:val="20"/>
                <w:lang w:val="en-GB" w:eastAsia="zh-CN"/>
              </w:rPr>
              <w:t>Msg1 BC</w:t>
            </w:r>
          </w:p>
        </w:tc>
        <w:tc>
          <w:tcPr>
            <w:tcW w:w="4071" w:type="dxa"/>
            <w:gridSpan w:val="2"/>
            <w:shd w:val="clear" w:color="auto" w:fill="D8D8D8" w:themeFill="background1" w:themeFillShade="D9"/>
          </w:tcPr>
          <w:p>
            <w:pPr>
              <w:widowControl/>
              <w:overflowPunct w:val="0"/>
              <w:autoSpaceDE w:val="0"/>
              <w:autoSpaceDN w:val="0"/>
              <w:adjustRightInd w:val="0"/>
              <w:spacing w:before="120" w:after="120" w:line="280" w:lineRule="atLeast"/>
              <w:rPr>
                <w:rFonts w:ascii="Times New Roman" w:hAnsi="Times New Roman" w:eastAsiaTheme="minorEastAsia"/>
                <w:bCs/>
                <w:kern w:val="0"/>
                <w:sz w:val="20"/>
                <w:szCs w:val="20"/>
                <w:lang w:val="en-GB" w:eastAsia="en-GB"/>
              </w:rPr>
            </w:pPr>
            <w:r>
              <w:rPr>
                <w:rFonts w:hint="eastAsia" w:ascii="Times New Roman" w:hAnsi="Times New Roman" w:eastAsiaTheme="minorEastAsia"/>
                <w:bCs/>
                <w:kern w:val="0"/>
                <w:sz w:val="20"/>
                <w:szCs w:val="20"/>
                <w:lang w:val="en-GB" w:eastAsia="zh-CN"/>
              </w:rPr>
              <w:t>R</w:t>
            </w:r>
            <w:r>
              <w:rPr>
                <w:rFonts w:ascii="Times New Roman" w:hAnsi="Times New Roman" w:eastAsiaTheme="minorEastAsia"/>
                <w:bCs/>
                <w:kern w:val="0"/>
                <w:sz w:val="20"/>
                <w:szCs w:val="20"/>
                <w:lang w:val="en-GB" w:eastAsia="zh-CN"/>
              </w:rPr>
              <w:t xml:space="preserve">AR BC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shd w:val="clear" w:color="auto" w:fill="D8D8D8" w:themeFill="background1" w:themeFillShade="D9"/>
          </w:tcPr>
          <w:p>
            <w:pPr>
              <w:widowControl/>
              <w:overflowPunct w:val="0"/>
              <w:autoSpaceDE w:val="0"/>
              <w:autoSpaceDN w:val="0"/>
              <w:adjustRightInd w:val="0"/>
              <w:spacing w:before="120" w:after="120" w:line="280" w:lineRule="atLeast"/>
              <w:rPr>
                <w:rFonts w:ascii="Times New Roman" w:hAnsi="Times New Roman" w:eastAsiaTheme="minorEastAsia"/>
                <w:bCs/>
                <w:kern w:val="0"/>
                <w:sz w:val="20"/>
                <w:szCs w:val="20"/>
                <w:lang w:val="en-GB" w:eastAsia="en-GB"/>
              </w:rPr>
            </w:pPr>
          </w:p>
        </w:tc>
        <w:tc>
          <w:tcPr>
            <w:tcW w:w="2268" w:type="dxa"/>
            <w:shd w:val="clear" w:color="auto" w:fill="D8D8D8" w:themeFill="background1" w:themeFillShade="D9"/>
          </w:tcPr>
          <w:p>
            <w:pPr>
              <w:widowControl/>
              <w:overflowPunct w:val="0"/>
              <w:autoSpaceDE w:val="0"/>
              <w:autoSpaceDN w:val="0"/>
              <w:adjustRightInd w:val="0"/>
              <w:spacing w:before="120" w:after="120" w:line="280" w:lineRule="atLeast"/>
              <w:rPr>
                <w:rFonts w:ascii="Times New Roman" w:hAnsi="Times New Roman" w:eastAsiaTheme="minorEastAsia"/>
                <w:bCs/>
                <w:kern w:val="0"/>
                <w:sz w:val="20"/>
                <w:szCs w:val="20"/>
                <w:highlight w:val="lightGray"/>
                <w:lang w:val="en-GB" w:eastAsia="zh-CN"/>
              </w:rPr>
            </w:pPr>
            <w:r>
              <w:rPr>
                <w:rFonts w:ascii="Times New Roman" w:hAnsi="Times New Roman" w:eastAsiaTheme="minorEastAsia"/>
                <w:bCs/>
                <w:kern w:val="0"/>
                <w:sz w:val="20"/>
                <w:szCs w:val="20"/>
                <w:lang w:val="en-GB" w:eastAsia="zh-CN"/>
              </w:rPr>
              <w:t>Rough SSB Rx beam</w:t>
            </w:r>
          </w:p>
        </w:tc>
        <w:tc>
          <w:tcPr>
            <w:tcW w:w="2268" w:type="dxa"/>
            <w:shd w:val="clear" w:color="auto" w:fill="D8D8D8" w:themeFill="background1" w:themeFillShade="D9"/>
          </w:tcPr>
          <w:p>
            <w:pPr>
              <w:widowControl/>
              <w:overflowPunct w:val="0"/>
              <w:autoSpaceDE w:val="0"/>
              <w:autoSpaceDN w:val="0"/>
              <w:adjustRightInd w:val="0"/>
              <w:spacing w:before="120" w:after="120" w:line="280" w:lineRule="atLeast"/>
              <w:rPr>
                <w:rFonts w:ascii="Times New Roman" w:hAnsi="Times New Roman" w:eastAsiaTheme="minorEastAsia"/>
                <w:bCs/>
                <w:kern w:val="0"/>
                <w:sz w:val="20"/>
                <w:szCs w:val="20"/>
                <w:lang w:val="en-GB" w:eastAsia="zh-CN"/>
              </w:rPr>
            </w:pPr>
            <w:r>
              <w:rPr>
                <w:rFonts w:ascii="Times New Roman" w:hAnsi="Times New Roman" w:eastAsiaTheme="minorEastAsia"/>
                <w:bCs/>
                <w:kern w:val="0"/>
                <w:sz w:val="20"/>
                <w:szCs w:val="20"/>
                <w:lang w:val="en-GB" w:eastAsia="zh-CN"/>
              </w:rPr>
              <w:t>Fine SSB Rx beam</w:t>
            </w:r>
          </w:p>
        </w:tc>
        <w:tc>
          <w:tcPr>
            <w:tcW w:w="2143" w:type="dxa"/>
            <w:shd w:val="clear" w:color="auto" w:fill="D8D8D8" w:themeFill="background1" w:themeFillShade="D9"/>
          </w:tcPr>
          <w:p>
            <w:pPr>
              <w:widowControl/>
              <w:overflowPunct w:val="0"/>
              <w:autoSpaceDE w:val="0"/>
              <w:autoSpaceDN w:val="0"/>
              <w:adjustRightInd w:val="0"/>
              <w:spacing w:before="120" w:after="120" w:line="280" w:lineRule="atLeast"/>
              <w:rPr>
                <w:rFonts w:ascii="Times New Roman" w:hAnsi="Times New Roman" w:eastAsiaTheme="minorEastAsia"/>
                <w:bCs/>
                <w:kern w:val="0"/>
                <w:sz w:val="20"/>
                <w:szCs w:val="20"/>
                <w:lang w:val="en-GB" w:eastAsia="zh-CN"/>
              </w:rPr>
            </w:pPr>
            <w:r>
              <w:rPr>
                <w:rFonts w:ascii="Times New Roman" w:hAnsi="Times New Roman" w:eastAsiaTheme="minorEastAsia"/>
                <w:bCs/>
                <w:kern w:val="0"/>
                <w:sz w:val="20"/>
                <w:szCs w:val="20"/>
                <w:lang w:val="en-GB" w:eastAsia="zh-CN"/>
              </w:rPr>
              <w:t>Rough Rx beam</w:t>
            </w:r>
          </w:p>
        </w:tc>
        <w:tc>
          <w:tcPr>
            <w:tcW w:w="1928" w:type="dxa"/>
            <w:shd w:val="clear" w:color="auto" w:fill="D8D8D8" w:themeFill="background1" w:themeFillShade="D9"/>
          </w:tcPr>
          <w:p>
            <w:pPr>
              <w:widowControl/>
              <w:overflowPunct w:val="0"/>
              <w:autoSpaceDE w:val="0"/>
              <w:autoSpaceDN w:val="0"/>
              <w:adjustRightInd w:val="0"/>
              <w:spacing w:before="120" w:after="120" w:line="280" w:lineRule="atLeast"/>
              <w:rPr>
                <w:rFonts w:ascii="Times New Roman" w:hAnsi="Times New Roman" w:eastAsiaTheme="minorEastAsia"/>
                <w:bCs/>
                <w:kern w:val="0"/>
                <w:sz w:val="20"/>
                <w:szCs w:val="20"/>
                <w:lang w:val="en-GB" w:eastAsia="zh-CN"/>
              </w:rPr>
            </w:pPr>
            <w:r>
              <w:rPr>
                <w:rFonts w:ascii="Times New Roman" w:hAnsi="Times New Roman" w:eastAsiaTheme="minorEastAsia"/>
                <w:bCs/>
                <w:kern w:val="0"/>
                <w:sz w:val="20"/>
                <w:szCs w:val="20"/>
                <w:lang w:val="en-GB" w:eastAsia="zh-CN"/>
              </w:rPr>
              <w:t>Fine Rx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widowControl/>
              <w:overflowPunct w:val="0"/>
              <w:autoSpaceDE w:val="0"/>
              <w:autoSpaceDN w:val="0"/>
              <w:adjustRightInd w:val="0"/>
              <w:spacing w:before="120" w:after="120" w:line="280" w:lineRule="atLeast"/>
              <w:rPr>
                <w:rFonts w:ascii="Times New Roman" w:hAnsi="Times New Roman" w:eastAsiaTheme="minorEastAsia"/>
                <w:bCs/>
                <w:kern w:val="0"/>
                <w:sz w:val="20"/>
                <w:szCs w:val="20"/>
                <w:lang w:val="en-GB" w:eastAsia="zh-CN"/>
              </w:rPr>
            </w:pPr>
            <w:r>
              <w:rPr>
                <w:rFonts w:ascii="Times New Roman" w:hAnsi="Times New Roman" w:eastAsiaTheme="minorEastAsia"/>
                <w:bCs/>
                <w:kern w:val="0"/>
                <w:sz w:val="20"/>
                <w:szCs w:val="20"/>
                <w:lang w:val="en-GB" w:eastAsia="zh-CN"/>
              </w:rPr>
              <w:t>rough</w:t>
            </w:r>
          </w:p>
        </w:tc>
        <w:tc>
          <w:tcPr>
            <w:tcW w:w="2268" w:type="dxa"/>
          </w:tcPr>
          <w:p>
            <w:pPr>
              <w:widowControl/>
              <w:overflowPunct w:val="0"/>
              <w:autoSpaceDE w:val="0"/>
              <w:autoSpaceDN w:val="0"/>
              <w:adjustRightInd w:val="0"/>
              <w:spacing w:before="120" w:after="120" w:line="280" w:lineRule="atLeast"/>
              <w:rPr>
                <w:rFonts w:ascii="Times New Roman" w:hAnsi="Times New Roman" w:eastAsiaTheme="minorEastAsia"/>
                <w:bCs/>
                <w:kern w:val="0"/>
                <w:sz w:val="20"/>
                <w:szCs w:val="20"/>
                <w:lang w:val="en-GB" w:eastAsia="zh-CN"/>
              </w:rPr>
            </w:pPr>
            <w:r>
              <w:rPr>
                <w:rFonts w:ascii="Times New Roman" w:hAnsi="Times New Roman" w:eastAsiaTheme="minorEastAsia"/>
                <w:bCs/>
                <w:kern w:val="0"/>
                <w:sz w:val="20"/>
                <w:szCs w:val="20"/>
                <w:lang w:val="en-GB" w:eastAsia="zh-CN"/>
              </w:rPr>
              <w:t xml:space="preserve">rough beam based on rough beam </w:t>
            </w:r>
          </w:p>
        </w:tc>
        <w:tc>
          <w:tcPr>
            <w:tcW w:w="2268" w:type="dxa"/>
          </w:tcPr>
          <w:p>
            <w:pPr>
              <w:widowControl/>
              <w:overflowPunct w:val="0"/>
              <w:autoSpaceDE w:val="0"/>
              <w:autoSpaceDN w:val="0"/>
              <w:adjustRightInd w:val="0"/>
              <w:spacing w:before="120" w:after="120" w:line="280" w:lineRule="atLeast"/>
              <w:rPr>
                <w:rFonts w:ascii="Times New Roman" w:hAnsi="Times New Roman" w:eastAsiaTheme="minorEastAsia"/>
                <w:bCs/>
                <w:kern w:val="0"/>
                <w:sz w:val="20"/>
                <w:szCs w:val="20"/>
                <w:lang w:val="en-GB" w:eastAsia="zh-CN"/>
              </w:rPr>
            </w:pPr>
            <w:r>
              <w:rPr>
                <w:rFonts w:ascii="Times New Roman" w:hAnsi="Times New Roman" w:eastAsiaTheme="minorEastAsia"/>
                <w:bCs/>
                <w:kern w:val="0"/>
                <w:sz w:val="20"/>
                <w:szCs w:val="20"/>
                <w:lang w:val="en-GB" w:eastAsia="zh-CN"/>
              </w:rPr>
              <w:t>rough beam based on fine beam</w:t>
            </w:r>
          </w:p>
        </w:tc>
        <w:tc>
          <w:tcPr>
            <w:tcW w:w="2143" w:type="dxa"/>
            <w:shd w:val="clear" w:color="auto" w:fill="auto"/>
          </w:tcPr>
          <w:p>
            <w:pPr>
              <w:widowControl/>
              <w:overflowPunct w:val="0"/>
              <w:autoSpaceDE w:val="0"/>
              <w:autoSpaceDN w:val="0"/>
              <w:adjustRightInd w:val="0"/>
              <w:spacing w:before="120" w:after="120" w:line="280" w:lineRule="atLeast"/>
              <w:rPr>
                <w:rFonts w:ascii="Times New Roman" w:hAnsi="Times New Roman" w:eastAsiaTheme="minorEastAsia"/>
                <w:bCs/>
                <w:kern w:val="0"/>
                <w:sz w:val="20"/>
                <w:szCs w:val="20"/>
                <w:lang w:val="en-GB" w:eastAsia="en-GB"/>
              </w:rPr>
            </w:pPr>
            <w:r>
              <w:rPr>
                <w:rFonts w:ascii="Times New Roman" w:hAnsi="Times New Roman" w:eastAsiaTheme="minorEastAsia"/>
                <w:bCs/>
                <w:kern w:val="0"/>
                <w:sz w:val="20"/>
                <w:szCs w:val="20"/>
                <w:lang w:val="en-GB" w:eastAsia="en-GB"/>
              </w:rPr>
              <w:t>rough beam based on rough beam</w:t>
            </w:r>
          </w:p>
        </w:tc>
        <w:tc>
          <w:tcPr>
            <w:tcW w:w="1928" w:type="dxa"/>
            <w:shd w:val="clear" w:color="auto" w:fill="auto"/>
          </w:tcPr>
          <w:p>
            <w:pPr>
              <w:widowControl/>
              <w:overflowPunct w:val="0"/>
              <w:autoSpaceDE w:val="0"/>
              <w:autoSpaceDN w:val="0"/>
              <w:adjustRightInd w:val="0"/>
              <w:spacing w:before="120" w:after="120" w:line="280" w:lineRule="atLeast"/>
              <w:rPr>
                <w:rFonts w:ascii="Times New Roman" w:hAnsi="Times New Roman" w:eastAsiaTheme="minorEastAsia"/>
                <w:bCs/>
                <w:kern w:val="0"/>
                <w:sz w:val="20"/>
                <w:szCs w:val="20"/>
                <w:lang w:val="en-GB" w:eastAsia="en-GB"/>
              </w:rPr>
            </w:pPr>
            <w:r>
              <w:rPr>
                <w:rFonts w:ascii="Times New Roman" w:hAnsi="Times New Roman" w:eastAsiaTheme="minorEastAsia"/>
                <w:bCs/>
                <w:kern w:val="0"/>
                <w:sz w:val="20"/>
                <w:szCs w:val="20"/>
                <w:lang w:val="en-GB" w:eastAsia="en-GB"/>
              </w:rPr>
              <w:t>fine beam based on rough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pPr>
              <w:widowControl/>
              <w:overflowPunct w:val="0"/>
              <w:autoSpaceDE w:val="0"/>
              <w:autoSpaceDN w:val="0"/>
              <w:adjustRightInd w:val="0"/>
              <w:spacing w:before="120" w:after="120" w:line="280" w:lineRule="atLeast"/>
              <w:rPr>
                <w:rFonts w:ascii="Times New Roman" w:hAnsi="Times New Roman" w:eastAsiaTheme="minorEastAsia"/>
                <w:bCs/>
                <w:kern w:val="0"/>
                <w:sz w:val="20"/>
                <w:szCs w:val="20"/>
                <w:lang w:val="en-GB" w:eastAsia="zh-CN"/>
              </w:rPr>
            </w:pPr>
            <w:r>
              <w:rPr>
                <w:rFonts w:hint="eastAsia" w:ascii="Times New Roman" w:hAnsi="Times New Roman" w:eastAsiaTheme="minorEastAsia"/>
                <w:bCs/>
                <w:kern w:val="0"/>
                <w:sz w:val="20"/>
                <w:szCs w:val="20"/>
                <w:lang w:val="en-GB" w:eastAsia="zh-CN"/>
              </w:rPr>
              <w:t>f</w:t>
            </w:r>
            <w:r>
              <w:rPr>
                <w:rFonts w:ascii="Times New Roman" w:hAnsi="Times New Roman" w:eastAsiaTheme="minorEastAsia"/>
                <w:bCs/>
                <w:kern w:val="0"/>
                <w:sz w:val="20"/>
                <w:szCs w:val="20"/>
                <w:lang w:val="en-GB" w:eastAsia="zh-CN"/>
              </w:rPr>
              <w:t>ine</w:t>
            </w:r>
          </w:p>
        </w:tc>
        <w:tc>
          <w:tcPr>
            <w:tcW w:w="2268" w:type="dxa"/>
          </w:tcPr>
          <w:p>
            <w:pPr>
              <w:widowControl/>
              <w:overflowPunct w:val="0"/>
              <w:autoSpaceDE w:val="0"/>
              <w:autoSpaceDN w:val="0"/>
              <w:adjustRightInd w:val="0"/>
              <w:spacing w:before="120" w:after="120" w:line="280" w:lineRule="atLeast"/>
              <w:rPr>
                <w:rFonts w:ascii="Times New Roman" w:hAnsi="Times New Roman" w:eastAsiaTheme="minorEastAsia"/>
                <w:bCs/>
                <w:kern w:val="0"/>
                <w:sz w:val="20"/>
                <w:szCs w:val="20"/>
                <w:lang w:val="en-GB" w:eastAsia="zh-CN"/>
              </w:rPr>
            </w:pPr>
            <w:r>
              <w:rPr>
                <w:rFonts w:ascii="Times New Roman" w:hAnsi="Times New Roman" w:eastAsiaTheme="minorEastAsia"/>
                <w:bCs/>
                <w:kern w:val="0"/>
                <w:sz w:val="20"/>
                <w:szCs w:val="20"/>
                <w:lang w:val="en-GB" w:eastAsia="zh-CN"/>
              </w:rPr>
              <w:t xml:space="preserve">fine beam based on rough beam </w:t>
            </w:r>
          </w:p>
        </w:tc>
        <w:tc>
          <w:tcPr>
            <w:tcW w:w="2268" w:type="dxa"/>
          </w:tcPr>
          <w:p>
            <w:pPr>
              <w:widowControl/>
              <w:overflowPunct w:val="0"/>
              <w:autoSpaceDE w:val="0"/>
              <w:autoSpaceDN w:val="0"/>
              <w:adjustRightInd w:val="0"/>
              <w:spacing w:before="120" w:after="120" w:line="280" w:lineRule="atLeast"/>
              <w:rPr>
                <w:rFonts w:ascii="Times New Roman" w:hAnsi="Times New Roman" w:eastAsiaTheme="minorEastAsia"/>
                <w:bCs/>
                <w:kern w:val="0"/>
                <w:sz w:val="20"/>
                <w:szCs w:val="20"/>
                <w:lang w:val="en-GB" w:eastAsia="zh-CN"/>
              </w:rPr>
            </w:pPr>
            <w:r>
              <w:rPr>
                <w:rFonts w:ascii="Times New Roman" w:hAnsi="Times New Roman" w:eastAsiaTheme="minorEastAsia"/>
                <w:bCs/>
                <w:kern w:val="0"/>
                <w:sz w:val="20"/>
                <w:szCs w:val="20"/>
                <w:lang w:val="en-GB" w:eastAsia="zh-CN"/>
              </w:rPr>
              <w:t>Fine beam based on fine beam</w:t>
            </w:r>
          </w:p>
        </w:tc>
        <w:tc>
          <w:tcPr>
            <w:tcW w:w="2143" w:type="dxa"/>
            <w:shd w:val="clear" w:color="auto" w:fill="auto"/>
          </w:tcPr>
          <w:p>
            <w:pPr>
              <w:widowControl/>
              <w:overflowPunct w:val="0"/>
              <w:autoSpaceDE w:val="0"/>
              <w:autoSpaceDN w:val="0"/>
              <w:adjustRightInd w:val="0"/>
              <w:spacing w:before="120" w:after="120" w:line="280" w:lineRule="atLeast"/>
              <w:rPr>
                <w:rFonts w:ascii="Times New Roman" w:hAnsi="Times New Roman" w:eastAsiaTheme="minorEastAsia"/>
                <w:bCs/>
                <w:kern w:val="0"/>
                <w:sz w:val="20"/>
                <w:szCs w:val="20"/>
                <w:lang w:val="en-GB" w:eastAsia="en-GB"/>
              </w:rPr>
            </w:pPr>
            <w:r>
              <w:rPr>
                <w:rFonts w:ascii="Times New Roman" w:hAnsi="Times New Roman" w:eastAsiaTheme="minorEastAsia"/>
                <w:bCs/>
                <w:kern w:val="0"/>
                <w:sz w:val="20"/>
                <w:szCs w:val="20"/>
                <w:lang w:val="en-GB" w:eastAsia="en-GB"/>
              </w:rPr>
              <w:t>rough beam based on fine beam</w:t>
            </w:r>
          </w:p>
        </w:tc>
        <w:tc>
          <w:tcPr>
            <w:tcW w:w="1928" w:type="dxa"/>
            <w:shd w:val="clear" w:color="auto" w:fill="auto"/>
          </w:tcPr>
          <w:p>
            <w:pPr>
              <w:widowControl/>
              <w:overflowPunct w:val="0"/>
              <w:autoSpaceDE w:val="0"/>
              <w:autoSpaceDN w:val="0"/>
              <w:adjustRightInd w:val="0"/>
              <w:spacing w:before="120" w:after="120" w:line="280" w:lineRule="atLeast"/>
              <w:rPr>
                <w:rFonts w:ascii="Times New Roman" w:hAnsi="Times New Roman" w:eastAsiaTheme="minorEastAsia"/>
                <w:bCs/>
                <w:kern w:val="0"/>
                <w:sz w:val="20"/>
                <w:szCs w:val="20"/>
                <w:lang w:val="en-GB" w:eastAsia="en-GB"/>
              </w:rPr>
            </w:pPr>
            <w:r>
              <w:rPr>
                <w:rFonts w:ascii="Times New Roman" w:hAnsi="Times New Roman" w:eastAsiaTheme="minorEastAsia"/>
                <w:bCs/>
                <w:kern w:val="0"/>
                <w:sz w:val="20"/>
                <w:szCs w:val="20"/>
                <w:lang w:val="en-GB" w:eastAsia="en-GB"/>
              </w:rPr>
              <w:t>Fine beam based on fine beam</w:t>
            </w:r>
          </w:p>
        </w:tc>
      </w:tr>
    </w:tbl>
    <w:p>
      <w:pPr>
        <w:widowControl/>
        <w:overflowPunct w:val="0"/>
        <w:autoSpaceDE w:val="0"/>
        <w:autoSpaceDN w:val="0"/>
        <w:adjustRightInd w:val="0"/>
        <w:spacing w:after="120"/>
        <w:rPr>
          <w:rFonts w:ascii="Times New Roman" w:hAnsi="Times New Roman" w:eastAsiaTheme="minorEastAsia"/>
          <w:b/>
          <w:kern w:val="0"/>
          <w:sz w:val="20"/>
          <w:szCs w:val="20"/>
        </w:rPr>
      </w:pPr>
      <w:r>
        <w:rPr>
          <w:rFonts w:ascii="Times New Roman" w:hAnsi="Times New Roman" w:eastAsiaTheme="minorEastAsia"/>
          <w:bCs/>
          <w:kern w:val="0"/>
          <w:sz w:val="20"/>
          <w:szCs w:val="20"/>
        </w:rPr>
        <w:t>As analyzed above, if all beam types are allowed in</w:t>
      </w:r>
      <w:r>
        <w:rPr>
          <w:rFonts w:ascii="Times New Roman" w:hAnsi="Times New Roman" w:eastAsiaTheme="minorEastAsia"/>
          <w:b w:val="0"/>
          <w:bCs/>
          <w:kern w:val="0"/>
          <w:sz w:val="20"/>
          <w:szCs w:val="20"/>
        </w:rPr>
        <w:t xml:space="preserve"> IA. Msg 1 BC has already included all Tx</w:t>
      </w:r>
      <w:r>
        <w:rPr>
          <w:rFonts w:hint="eastAsia" w:ascii="Times New Roman" w:hAnsi="Times New Roman" w:eastAsiaTheme="minorEastAsia"/>
          <w:b w:val="0"/>
          <w:bCs/>
          <w:kern w:val="0"/>
          <w:sz w:val="20"/>
          <w:szCs w:val="20"/>
          <w:lang w:val="en-US" w:eastAsia="zh-CN"/>
        </w:rPr>
        <w:t>-</w:t>
      </w:r>
      <w:r>
        <w:rPr>
          <w:rFonts w:ascii="Times New Roman" w:hAnsi="Times New Roman" w:eastAsiaTheme="minorEastAsia"/>
          <w:b w:val="0"/>
          <w:bCs/>
          <w:kern w:val="0"/>
          <w:sz w:val="20"/>
          <w:szCs w:val="20"/>
        </w:rPr>
        <w:t xml:space="preserve">Rx beam </w:t>
      </w:r>
      <w:r>
        <w:rPr>
          <w:rFonts w:hint="eastAsia" w:ascii="Times New Roman" w:hAnsi="Times New Roman" w:eastAsiaTheme="minorEastAsia"/>
          <w:b w:val="0"/>
          <w:bCs/>
          <w:kern w:val="0"/>
          <w:sz w:val="20"/>
          <w:szCs w:val="20"/>
          <w:lang w:val="en-US" w:eastAsia="zh-CN"/>
        </w:rPr>
        <w:t xml:space="preserve">type pair </w:t>
      </w:r>
      <w:r>
        <w:rPr>
          <w:rFonts w:ascii="Times New Roman" w:hAnsi="Times New Roman" w:eastAsiaTheme="minorEastAsia"/>
          <w:b w:val="0"/>
          <w:bCs/>
          <w:kern w:val="0"/>
          <w:sz w:val="20"/>
          <w:szCs w:val="20"/>
        </w:rPr>
        <w:t xml:space="preserve">and there is no need to define specific requirements for RAR. </w:t>
      </w:r>
    </w:p>
    <w:p>
      <w:pPr>
        <w:widowControl/>
        <w:overflowPunct w:val="0"/>
        <w:autoSpaceDE w:val="0"/>
        <w:autoSpaceDN w:val="0"/>
        <w:adjustRightInd w:val="0"/>
        <w:spacing w:after="120"/>
        <w:rPr>
          <w:rFonts w:hint="default" w:ascii="Times New Roman" w:hAnsi="Times New Roman" w:eastAsiaTheme="minorEastAsia"/>
          <w:b/>
          <w:kern w:val="0"/>
          <w:sz w:val="20"/>
          <w:szCs w:val="20"/>
          <w:lang w:val="en-US" w:eastAsia="zh-CN"/>
        </w:rPr>
      </w:pPr>
      <w:r>
        <w:rPr>
          <w:rFonts w:hint="eastAsia" w:ascii="Times New Roman" w:hAnsi="Times New Roman" w:eastAsiaTheme="minorEastAsia"/>
          <w:b/>
          <w:kern w:val="0"/>
          <w:sz w:val="20"/>
          <w:szCs w:val="20"/>
          <w:lang w:val="en-US" w:eastAsia="zh-CN"/>
        </w:rPr>
        <w:t>Proposal 2: there is no need to define BC requirements for RAR.</w:t>
      </w:r>
    </w:p>
    <w:p>
      <w:pPr>
        <w:pStyle w:val="2"/>
        <w:bidi w:val="0"/>
        <w:rPr>
          <w:rFonts w:hint="eastAsia"/>
          <w:lang w:val="en-US" w:eastAsia="zh-CN"/>
        </w:rPr>
      </w:pPr>
      <w:r>
        <w:rPr>
          <w:rFonts w:hint="eastAsia"/>
          <w:lang w:val="en-US" w:eastAsia="zh-CN"/>
        </w:rPr>
        <w:t>2.3 UE capability</w:t>
      </w:r>
    </w:p>
    <w:p>
      <w:pPr>
        <w:widowControl/>
        <w:overflowPunct w:val="0"/>
        <w:autoSpaceDE w:val="0"/>
        <w:autoSpaceDN w:val="0"/>
        <w:adjustRightInd w:val="0"/>
        <w:spacing w:after="120"/>
        <w:rPr>
          <w:rFonts w:hint="eastAsia" w:ascii="Times New Roman" w:hAnsi="Times New Roman" w:eastAsiaTheme="minorEastAsia"/>
          <w:bCs/>
          <w:kern w:val="0"/>
          <w:sz w:val="20"/>
          <w:szCs w:val="20"/>
          <w:lang w:val="en-US" w:eastAsia="zh-CN"/>
        </w:rPr>
      </w:pPr>
      <w:r>
        <w:rPr>
          <w:rFonts w:hint="eastAsia" w:ascii="Times New Roman" w:hAnsi="Times New Roman" w:eastAsiaTheme="minorEastAsia"/>
          <w:bCs/>
          <w:kern w:val="0"/>
          <w:sz w:val="20"/>
          <w:szCs w:val="20"/>
          <w:lang w:val="en-US" w:eastAsia="zh-CN"/>
        </w:rPr>
        <w:t>Last meeting agreement is listed as below:</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spacing w:before="120" w:line="280" w:lineRule="atLeast"/>
              <w:rPr>
                <w:rFonts w:hint="default" w:ascii="Times New Roman" w:hAnsi="Times New Roman" w:cs="Times New Roman"/>
                <w:b/>
                <w:sz w:val="20"/>
                <w:szCs w:val="20"/>
                <w:highlight w:val="none"/>
                <w:u w:val="single"/>
              </w:rPr>
            </w:pPr>
            <w:r>
              <w:rPr>
                <w:rFonts w:hint="default" w:ascii="Times New Roman" w:hAnsi="Times New Roman" w:cs="Times New Roman"/>
                <w:b/>
                <w:sz w:val="20"/>
                <w:szCs w:val="20"/>
                <w:highlight w:val="none"/>
                <w:u w:val="single"/>
              </w:rPr>
              <w:t>Sub-topic 1-4 UE capability</w:t>
            </w:r>
          </w:p>
          <w:p>
            <w:pPr>
              <w:pStyle w:val="23"/>
              <w:numPr>
                <w:ilvl w:val="0"/>
                <w:numId w:val="1"/>
              </w:numPr>
              <w:overflowPunct/>
              <w:autoSpaceDE/>
              <w:spacing w:before="120" w:line="280" w:lineRule="atLeast"/>
              <w:ind w:left="426"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Proposals</w:t>
            </w:r>
          </w:p>
          <w:p>
            <w:pPr>
              <w:pStyle w:val="23"/>
              <w:numPr>
                <w:ilvl w:val="1"/>
                <w:numId w:val="1"/>
              </w:numPr>
              <w:overflowPunct/>
              <w:autoSpaceDE/>
              <w:spacing w:before="120" w:line="280" w:lineRule="atLeast"/>
              <w:ind w:left="993"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Option 1: Only the UE support both </w:t>
            </w:r>
            <w:bookmarkStart w:id="0" w:name="_Hlk132994535"/>
            <w:r>
              <w:rPr>
                <w:rFonts w:hint="default" w:ascii="Times New Roman" w:hAnsi="Times New Roman" w:cs="Times New Roman"/>
                <w:sz w:val="20"/>
                <w:szCs w:val="20"/>
                <w:highlight w:val="none"/>
              </w:rPr>
              <w:t xml:space="preserve">beamCorrespondenceWithoutUL-BeamSweeping </w:t>
            </w:r>
            <w:bookmarkEnd w:id="0"/>
            <w:r>
              <w:rPr>
                <w:rFonts w:hint="default" w:ascii="Times New Roman" w:hAnsi="Times New Roman" w:cs="Times New Roman"/>
                <w:sz w:val="20"/>
                <w:szCs w:val="20"/>
                <w:highlight w:val="none"/>
              </w:rPr>
              <w:t>and beamCorrespondenceSSB-based-r16 is considered can support Rel-18 msg1 beam correspondence in RRC_INACTIVE and initial access. (Huawei, MediaTek, ZTE)</w:t>
            </w:r>
          </w:p>
          <w:p>
            <w:pPr>
              <w:pStyle w:val="23"/>
              <w:numPr>
                <w:ilvl w:val="1"/>
                <w:numId w:val="1"/>
              </w:numPr>
              <w:overflowPunct/>
              <w:autoSpaceDE/>
              <w:spacing w:before="120" w:line="280" w:lineRule="atLeast"/>
              <w:ind w:left="993"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2: The R-15 and forward release new UE supporting beamCorrespondenceWithoutUL-BeamSweeping can support msg1 beam correspondence. (Xiaomi)</w:t>
            </w:r>
          </w:p>
          <w:p>
            <w:pPr>
              <w:pStyle w:val="23"/>
              <w:numPr>
                <w:ilvl w:val="1"/>
                <w:numId w:val="1"/>
              </w:numPr>
              <w:overflowPunct/>
              <w:autoSpaceDE/>
              <w:spacing w:before="120" w:line="280" w:lineRule="atLeast"/>
              <w:ind w:left="993"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3: The feature of supporting beam correspondence in initial access is only introduced for R18 onward UE. (vivo)</w:t>
            </w:r>
          </w:p>
          <w:p>
            <w:pPr>
              <w:pStyle w:val="23"/>
              <w:numPr>
                <w:ilvl w:val="1"/>
                <w:numId w:val="1"/>
              </w:numPr>
              <w:overflowPunct/>
              <w:autoSpaceDE/>
              <w:spacing w:before="120" w:line="280" w:lineRule="atLeast"/>
              <w:ind w:left="993"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4: RAN4 to further discuss if Rel-18 msg1 beam correspondence requirements are mandatory or optional. If it is mandatory for all UE regardless of UE capability, then it should not be release independent to previous releases. (Samsung)</w:t>
            </w:r>
          </w:p>
          <w:p>
            <w:pPr>
              <w:pStyle w:val="23"/>
              <w:numPr>
                <w:ilvl w:val="0"/>
                <w:numId w:val="1"/>
              </w:numPr>
              <w:overflowPunct/>
              <w:autoSpaceDE/>
              <w:spacing w:before="120" w:line="280" w:lineRule="atLeast"/>
              <w:ind w:left="426"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WF</w:t>
            </w:r>
          </w:p>
          <w:p>
            <w:pPr>
              <w:pStyle w:val="23"/>
              <w:numPr>
                <w:ilvl w:val="1"/>
                <w:numId w:val="1"/>
              </w:numPr>
              <w:overflowPunct/>
              <w:autoSpaceDE/>
              <w:spacing w:before="120" w:line="280" w:lineRule="atLeast"/>
              <w:ind w:left="993"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Apply for Rel-18 onward UE. </w:t>
            </w:r>
          </w:p>
          <w:p>
            <w:pPr>
              <w:pStyle w:val="23"/>
              <w:numPr>
                <w:ilvl w:val="1"/>
                <w:numId w:val="1"/>
              </w:numPr>
              <w:overflowPunct/>
              <w:autoSpaceDE/>
              <w:spacing w:before="120" w:line="280" w:lineRule="atLeast"/>
              <w:ind w:left="993" w:firstLineChars="0"/>
              <w:textAlignment w:val="auto"/>
              <w:rPr>
                <w:rFonts w:hint="default"/>
                <w:sz w:val="20"/>
                <w:szCs w:val="20"/>
                <w:vertAlign w:val="baseline"/>
                <w:lang w:val="en-US" w:eastAsia="zh-CN"/>
              </w:rPr>
            </w:pPr>
            <w:r>
              <w:rPr>
                <w:rFonts w:hint="default" w:ascii="Times New Roman" w:hAnsi="Times New Roman" w:cs="Times New Roman"/>
                <w:sz w:val="20"/>
                <w:szCs w:val="20"/>
                <w:highlight w:val="none"/>
              </w:rPr>
              <w:t>Optional or mandatory is FFS</w:t>
            </w:r>
          </w:p>
        </w:tc>
      </w:tr>
    </w:tbl>
    <w:p>
      <w:pPr>
        <w:rPr>
          <w:rFonts w:hint="default"/>
          <w:lang w:val="en-US" w:eastAsia="zh-CN"/>
        </w:rPr>
      </w:pPr>
    </w:p>
    <w:p>
      <w:pPr>
        <w:keepNext w:val="0"/>
        <w:keepLines w:val="0"/>
        <w:pageBreakBefore w:val="0"/>
        <w:widowControl/>
        <w:numPr>
          <w:ilvl w:val="0"/>
          <w:numId w:val="0"/>
        </w:numPr>
        <w:kinsoku/>
        <w:wordWrap/>
        <w:overflowPunct/>
        <w:topLinePunct w:val="0"/>
        <w:autoSpaceDE/>
        <w:autoSpaceDN w:val="0"/>
        <w:bidi w:val="0"/>
        <w:adjustRightInd/>
        <w:snapToGrid/>
        <w:spacing w:before="120" w:after="180" w:line="280" w:lineRule="atLeast"/>
        <w:ind w:leftChars="0"/>
        <w:jc w:val="left"/>
        <w:textAlignment w:val="auto"/>
        <w:rPr>
          <w:rFonts w:hint="default" w:ascii="Times New Roman" w:hAnsi="Times New Roman" w:eastAsiaTheme="minorEastAsia"/>
          <w:bCs/>
          <w:kern w:val="0"/>
          <w:sz w:val="20"/>
          <w:szCs w:val="20"/>
          <w:lang w:val="en-US" w:eastAsia="zh-CN"/>
        </w:rPr>
      </w:pPr>
      <w:r>
        <w:rPr>
          <w:rFonts w:hint="eastAsia" w:ascii="Times New Roman" w:hAnsi="Times New Roman" w:eastAsiaTheme="minorEastAsia"/>
          <w:bCs/>
          <w:kern w:val="0"/>
          <w:sz w:val="20"/>
          <w:szCs w:val="20"/>
          <w:lang w:val="en-US" w:eastAsia="zh-CN"/>
        </w:rPr>
        <w:t>If R18 beam correspondence is optional feature, for the UEs that doesn</w:t>
      </w:r>
      <w:r>
        <w:rPr>
          <w:rFonts w:hint="default" w:ascii="Times New Roman" w:hAnsi="Times New Roman" w:eastAsiaTheme="minorEastAsia"/>
          <w:bCs/>
          <w:kern w:val="0"/>
          <w:sz w:val="20"/>
          <w:szCs w:val="20"/>
          <w:lang w:val="en-US" w:eastAsia="zh-CN"/>
        </w:rPr>
        <w:t>’</w:t>
      </w:r>
      <w:r>
        <w:rPr>
          <w:rFonts w:hint="eastAsia" w:ascii="Times New Roman" w:hAnsi="Times New Roman" w:eastAsiaTheme="minorEastAsia"/>
          <w:bCs/>
          <w:kern w:val="0"/>
          <w:sz w:val="20"/>
          <w:szCs w:val="20"/>
          <w:lang w:val="en-US" w:eastAsia="zh-CN"/>
        </w:rPr>
        <w:t>t support this feature, this implies that UE may not be able to find suitable msg 1 Tx beam based on received SSB beam. And the UE may not be able to access FR2 network even if they are not at cell edge. This equals to UL cell coverage is shrunk, which is not preferred by operators. If there is no BC RF requirement, UE with bad initial access BC performance could also enter the market. Besides, operators can</w:t>
      </w:r>
      <w:r>
        <w:rPr>
          <w:rFonts w:hint="default" w:ascii="Times New Roman" w:hAnsi="Times New Roman" w:eastAsiaTheme="minorEastAsia"/>
          <w:bCs/>
          <w:kern w:val="0"/>
          <w:sz w:val="20"/>
          <w:szCs w:val="20"/>
          <w:lang w:val="en-US" w:eastAsia="zh-CN"/>
        </w:rPr>
        <w:t>’</w:t>
      </w:r>
      <w:r>
        <w:rPr>
          <w:rFonts w:hint="eastAsia" w:ascii="Times New Roman" w:hAnsi="Times New Roman" w:eastAsiaTheme="minorEastAsia"/>
          <w:bCs/>
          <w:kern w:val="0"/>
          <w:sz w:val="20"/>
          <w:szCs w:val="20"/>
          <w:lang w:val="en-US" w:eastAsia="zh-CN"/>
        </w:rPr>
        <w:t>t know how to plan network deployment because it</w:t>
      </w:r>
      <w:r>
        <w:rPr>
          <w:rFonts w:hint="default" w:ascii="Times New Roman" w:hAnsi="Times New Roman" w:eastAsiaTheme="minorEastAsia"/>
          <w:bCs/>
          <w:kern w:val="0"/>
          <w:sz w:val="20"/>
          <w:szCs w:val="20"/>
          <w:lang w:val="en-US" w:eastAsia="zh-CN"/>
        </w:rPr>
        <w:t>’</w:t>
      </w:r>
      <w:r>
        <w:rPr>
          <w:rFonts w:hint="eastAsia" w:ascii="Times New Roman" w:hAnsi="Times New Roman" w:eastAsiaTheme="minorEastAsia"/>
          <w:bCs/>
          <w:kern w:val="0"/>
          <w:sz w:val="20"/>
          <w:szCs w:val="20"/>
          <w:lang w:val="en-US" w:eastAsia="zh-CN"/>
        </w:rPr>
        <w:t>s hard to evaluate UE actual UL coverage without minimum BC requirements</w:t>
      </w:r>
    </w:p>
    <w:p>
      <w:pPr>
        <w:keepNext w:val="0"/>
        <w:keepLines w:val="0"/>
        <w:pageBreakBefore w:val="0"/>
        <w:widowControl/>
        <w:numPr>
          <w:ilvl w:val="0"/>
          <w:numId w:val="0"/>
        </w:numPr>
        <w:kinsoku/>
        <w:wordWrap/>
        <w:overflowPunct/>
        <w:topLinePunct w:val="0"/>
        <w:autoSpaceDE/>
        <w:autoSpaceDN w:val="0"/>
        <w:bidi w:val="0"/>
        <w:adjustRightInd/>
        <w:snapToGrid/>
        <w:spacing w:before="120" w:after="180" w:line="280" w:lineRule="atLeast"/>
        <w:ind w:leftChars="0"/>
        <w:jc w:val="left"/>
        <w:textAlignment w:val="auto"/>
        <w:rPr>
          <w:rFonts w:hint="eastAsia" w:ascii="Times New Roman" w:hAnsi="Times New Roman" w:eastAsiaTheme="minorEastAsia"/>
          <w:b/>
          <w:bCs w:val="0"/>
          <w:kern w:val="0"/>
          <w:sz w:val="20"/>
          <w:szCs w:val="20"/>
          <w:lang w:val="en-US" w:eastAsia="zh-CN"/>
        </w:rPr>
      </w:pPr>
      <w:r>
        <w:rPr>
          <w:rFonts w:hint="eastAsia" w:ascii="Times New Roman" w:hAnsi="Times New Roman" w:eastAsiaTheme="minorEastAsia"/>
          <w:b/>
          <w:bCs w:val="0"/>
          <w:kern w:val="0"/>
          <w:sz w:val="20"/>
          <w:szCs w:val="20"/>
          <w:lang w:val="en-US" w:eastAsia="zh-CN"/>
        </w:rPr>
        <w:t>Observation 2: If R18 beam correspondence is optional feature, for the UEs that doesn</w:t>
      </w:r>
      <w:r>
        <w:rPr>
          <w:rFonts w:hint="default" w:ascii="Times New Roman" w:hAnsi="Times New Roman" w:eastAsiaTheme="minorEastAsia"/>
          <w:b/>
          <w:bCs w:val="0"/>
          <w:kern w:val="0"/>
          <w:sz w:val="20"/>
          <w:szCs w:val="20"/>
          <w:lang w:val="en-US" w:eastAsia="zh-CN"/>
        </w:rPr>
        <w:t>’</w:t>
      </w:r>
      <w:r>
        <w:rPr>
          <w:rFonts w:hint="eastAsia" w:ascii="Times New Roman" w:hAnsi="Times New Roman" w:eastAsiaTheme="minorEastAsia"/>
          <w:b/>
          <w:bCs w:val="0"/>
          <w:kern w:val="0"/>
          <w:sz w:val="20"/>
          <w:szCs w:val="20"/>
          <w:lang w:val="en-US" w:eastAsia="zh-CN"/>
        </w:rPr>
        <w:t>t support this feature, this implies that UE may not be able to find suitable msg 1 Tx beam and can</w:t>
      </w:r>
      <w:r>
        <w:rPr>
          <w:rFonts w:hint="default" w:ascii="Times New Roman" w:hAnsi="Times New Roman" w:eastAsiaTheme="minorEastAsia"/>
          <w:b/>
          <w:bCs w:val="0"/>
          <w:kern w:val="0"/>
          <w:sz w:val="20"/>
          <w:szCs w:val="20"/>
          <w:lang w:val="en-US" w:eastAsia="zh-CN"/>
        </w:rPr>
        <w:t>’</w:t>
      </w:r>
      <w:r>
        <w:rPr>
          <w:rFonts w:hint="eastAsia" w:ascii="Times New Roman" w:hAnsi="Times New Roman" w:eastAsiaTheme="minorEastAsia"/>
          <w:b/>
          <w:bCs w:val="0"/>
          <w:kern w:val="0"/>
          <w:sz w:val="20"/>
          <w:szCs w:val="20"/>
          <w:lang w:val="en-US" w:eastAsia="zh-CN"/>
        </w:rPr>
        <w:t>t access FR2 network even if they are not at cell edge.</w:t>
      </w:r>
    </w:p>
    <w:p>
      <w:pPr>
        <w:keepNext w:val="0"/>
        <w:keepLines w:val="0"/>
        <w:pageBreakBefore w:val="0"/>
        <w:widowControl/>
        <w:numPr>
          <w:ilvl w:val="0"/>
          <w:numId w:val="0"/>
        </w:numPr>
        <w:kinsoku/>
        <w:wordWrap/>
        <w:overflowPunct/>
        <w:topLinePunct w:val="0"/>
        <w:autoSpaceDE/>
        <w:autoSpaceDN w:val="0"/>
        <w:bidi w:val="0"/>
        <w:adjustRightInd/>
        <w:snapToGrid/>
        <w:spacing w:before="120" w:after="180" w:line="280" w:lineRule="atLeast"/>
        <w:ind w:leftChars="0"/>
        <w:jc w:val="left"/>
        <w:textAlignment w:val="auto"/>
        <w:rPr>
          <w:rFonts w:hint="default" w:ascii="Times New Roman" w:hAnsi="Times New Roman" w:eastAsiaTheme="minorEastAsia"/>
          <w:bCs/>
          <w:kern w:val="0"/>
          <w:sz w:val="20"/>
          <w:szCs w:val="20"/>
          <w:lang w:val="en-US" w:eastAsia="zh-CN"/>
        </w:rPr>
      </w:pPr>
      <w:r>
        <w:rPr>
          <w:rFonts w:hint="eastAsia" w:ascii="Times New Roman" w:hAnsi="Times New Roman" w:eastAsiaTheme="minorEastAsia"/>
          <w:bCs/>
          <w:kern w:val="0"/>
          <w:sz w:val="20"/>
          <w:szCs w:val="20"/>
          <w:lang w:val="en-US" w:eastAsia="zh-CN"/>
        </w:rPr>
        <w:t>If we mandate all UE to support initial beam correspondence requirements, to comply with RRC_CONNECTED requirements, we may need to two kind of requirement, one set of requirement is for the UE supporting BC without beam sweeping in RRC_CONNECTED state. Another one is for UE supporting BC with beam sweeping in RRC_CONNECTED state. For the UE using beam sweeping to achieve BC in CONNECTED state, some relaxation may be required.</w:t>
      </w:r>
    </w:p>
    <w:p>
      <w:pPr>
        <w:keepNext w:val="0"/>
        <w:keepLines w:val="0"/>
        <w:pageBreakBefore w:val="0"/>
        <w:widowControl/>
        <w:numPr>
          <w:ilvl w:val="0"/>
          <w:numId w:val="0"/>
        </w:numPr>
        <w:kinsoku/>
        <w:wordWrap/>
        <w:overflowPunct/>
        <w:topLinePunct w:val="0"/>
        <w:autoSpaceDE/>
        <w:autoSpaceDN w:val="0"/>
        <w:bidi w:val="0"/>
        <w:adjustRightInd/>
        <w:snapToGrid/>
        <w:spacing w:before="120" w:after="180" w:line="280" w:lineRule="atLeast"/>
        <w:ind w:leftChars="0"/>
        <w:jc w:val="left"/>
        <w:textAlignment w:val="auto"/>
        <w:rPr>
          <w:rFonts w:hint="default"/>
          <w:lang w:val="en-US" w:eastAsia="zh-CN"/>
        </w:rPr>
      </w:pPr>
      <w:r>
        <w:rPr>
          <w:rFonts w:hint="eastAsia" w:ascii="Times New Roman" w:hAnsi="Times New Roman" w:eastAsiaTheme="minorEastAsia"/>
          <w:b/>
          <w:bCs w:val="0"/>
          <w:kern w:val="0"/>
          <w:sz w:val="20"/>
          <w:szCs w:val="20"/>
          <w:lang w:val="en-US" w:eastAsia="zh-CN"/>
        </w:rPr>
        <w:t>Proposal 3: if R18 beam correspondence is mandatory feature, RAN4 may need to define two sets of BC requirements, one for UE support BC with beam sweeping and another one for UE support BC without beam sweeping in RRC_CONNECTED state. Some relaxation may be required for the UE using beam sweeping in RRC_CONNECTED state.</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3. Conclusions</w:t>
      </w:r>
    </w:p>
    <w:p>
      <w:pPr>
        <w:spacing w:after="156" w:afterLines="50"/>
        <w:rPr>
          <w:rFonts w:ascii="Times New Roman" w:hAnsi="Times New Roman"/>
          <w:sz w:val="20"/>
          <w:szCs w:val="20"/>
        </w:rPr>
      </w:pPr>
      <w:r>
        <w:rPr>
          <w:rFonts w:ascii="Times New Roman" w:hAnsi="Times New Roman"/>
          <w:sz w:val="20"/>
          <w:szCs w:val="20"/>
        </w:rPr>
        <w:t>In this contribution, beam correspondence requirements for initial access are</w:t>
      </w:r>
      <w:r>
        <w:rPr>
          <w:rFonts w:hint="eastAsia" w:ascii="Times New Roman" w:hAnsi="Times New Roman"/>
          <w:sz w:val="20"/>
          <w:szCs w:val="20"/>
        </w:rPr>
        <w:t xml:space="preserve"> discussed </w:t>
      </w:r>
      <w:r>
        <w:rPr>
          <w:rFonts w:ascii="Times New Roman" w:hAnsi="Times New Roman"/>
          <w:sz w:val="20"/>
          <w:szCs w:val="20"/>
        </w:rPr>
        <w:t>with following observations and proposals:</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Times New Roman" w:hAnsi="Times New Roman" w:eastAsiaTheme="minorEastAsia"/>
          <w:b/>
          <w:bCs w:val="0"/>
          <w:kern w:val="0"/>
          <w:sz w:val="20"/>
          <w:szCs w:val="20"/>
          <w:lang w:val="en-US" w:eastAsia="zh-CN"/>
        </w:rPr>
      </w:pPr>
      <w:r>
        <w:rPr>
          <w:rFonts w:hint="eastAsia" w:ascii="Times New Roman" w:hAnsi="Times New Roman" w:eastAsiaTheme="minorEastAsia"/>
          <w:b/>
          <w:bCs w:val="0"/>
          <w:kern w:val="0"/>
          <w:sz w:val="20"/>
          <w:szCs w:val="20"/>
          <w:lang w:val="en-US" w:eastAsia="zh-CN"/>
        </w:rPr>
        <w:t>Observation 1: 38101-1 and 38101-2 explicitly state that power control tolerance requirement is the same for initial state, i.e. open loop power control and RRC_CONNECTED state, i.e. closed loop power control.</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Times New Roman" w:hAnsi="Times New Roman" w:cs="Times New Roman"/>
          <w:b/>
          <w:bCs/>
          <w:color w:val="000000" w:themeColor="text1"/>
          <w:sz w:val="20"/>
          <w:szCs w:val="20"/>
          <w:highlight w:val="none"/>
          <w:lang w:val="en-US" w:eastAsia="zh-CN"/>
          <w14:textFill>
            <w14:solidFill>
              <w14:schemeClr w14:val="tx1"/>
            </w14:solidFill>
          </w14:textFill>
        </w:rPr>
      </w:pPr>
      <w:r>
        <w:rPr>
          <w:rFonts w:hint="eastAsia" w:ascii="Times New Roman" w:hAnsi="Times New Roman" w:cs="Times New Roman"/>
          <w:b/>
          <w:bCs/>
          <w:color w:val="000000" w:themeColor="text1"/>
          <w:sz w:val="20"/>
          <w:szCs w:val="20"/>
          <w:highlight w:val="none"/>
          <w:lang w:val="en-US" w:eastAsia="zh-CN"/>
          <w14:textFill>
            <w14:solidFill>
              <w14:schemeClr w14:val="tx1"/>
            </w14:solidFill>
          </w14:textFill>
        </w:rPr>
        <w:t>Proposal 1: it</w:t>
      </w:r>
      <w:r>
        <w:rPr>
          <w:rFonts w:hint="default" w:ascii="Times New Roman" w:hAnsi="Times New Roman" w:cs="Times New Roman"/>
          <w:b/>
          <w:bCs/>
          <w:color w:val="000000" w:themeColor="text1"/>
          <w:sz w:val="20"/>
          <w:szCs w:val="20"/>
          <w:highlight w:val="none"/>
          <w:lang w:val="en-US" w:eastAsia="zh-CN"/>
          <w14:textFill>
            <w14:solidFill>
              <w14:schemeClr w14:val="tx1"/>
            </w14:solidFill>
          </w14:textFill>
        </w:rPr>
        <w:t>’</w:t>
      </w:r>
      <w:r>
        <w:rPr>
          <w:rFonts w:hint="eastAsia" w:ascii="Times New Roman" w:hAnsi="Times New Roman" w:cs="Times New Roman"/>
          <w:b/>
          <w:bCs/>
          <w:color w:val="000000" w:themeColor="text1"/>
          <w:sz w:val="20"/>
          <w:szCs w:val="20"/>
          <w:highlight w:val="none"/>
          <w:lang w:val="en-US" w:eastAsia="zh-CN"/>
          <w14:textFill>
            <w14:solidFill>
              <w14:schemeClr w14:val="tx1"/>
            </w14:solidFill>
          </w14:textFill>
        </w:rPr>
        <w:t>s suggested not define tolerance requirement for spherical coverage requirements at initial access and INACTIVE state, the same as in RRC_CONNECTED state.</w:t>
      </w:r>
    </w:p>
    <w:p>
      <w:pPr>
        <w:widowControl/>
        <w:overflowPunct w:val="0"/>
        <w:autoSpaceDE w:val="0"/>
        <w:autoSpaceDN w:val="0"/>
        <w:adjustRightInd w:val="0"/>
        <w:spacing w:after="120"/>
        <w:rPr>
          <w:rFonts w:hint="default" w:ascii="Times New Roman" w:hAnsi="Times New Roman" w:eastAsiaTheme="minorEastAsia"/>
          <w:b/>
          <w:kern w:val="0"/>
          <w:sz w:val="20"/>
          <w:szCs w:val="20"/>
          <w:lang w:val="en-US" w:eastAsia="zh-CN"/>
        </w:rPr>
      </w:pPr>
      <w:r>
        <w:rPr>
          <w:rFonts w:hint="eastAsia" w:ascii="Times New Roman" w:hAnsi="Times New Roman" w:eastAsiaTheme="minorEastAsia"/>
          <w:b/>
          <w:kern w:val="0"/>
          <w:sz w:val="20"/>
          <w:szCs w:val="20"/>
          <w:lang w:val="en-US" w:eastAsia="zh-CN"/>
        </w:rPr>
        <w:t>Proposal 2: there is no need to define BC requirements for RAR.</w:t>
      </w:r>
    </w:p>
    <w:p>
      <w:pPr>
        <w:keepNext w:val="0"/>
        <w:keepLines w:val="0"/>
        <w:pageBreakBefore w:val="0"/>
        <w:widowControl/>
        <w:numPr>
          <w:ilvl w:val="0"/>
          <w:numId w:val="0"/>
        </w:numPr>
        <w:kinsoku/>
        <w:wordWrap/>
        <w:overflowPunct/>
        <w:topLinePunct w:val="0"/>
        <w:autoSpaceDE/>
        <w:autoSpaceDN w:val="0"/>
        <w:bidi w:val="0"/>
        <w:adjustRightInd/>
        <w:snapToGrid/>
        <w:spacing w:before="120" w:after="180" w:line="280" w:lineRule="atLeast"/>
        <w:ind w:leftChars="0"/>
        <w:jc w:val="left"/>
        <w:textAlignment w:val="auto"/>
        <w:rPr>
          <w:rFonts w:hint="eastAsia" w:ascii="Times New Roman" w:hAnsi="Times New Roman" w:eastAsiaTheme="minorEastAsia"/>
          <w:b/>
          <w:bCs w:val="0"/>
          <w:kern w:val="0"/>
          <w:sz w:val="20"/>
          <w:szCs w:val="20"/>
          <w:lang w:val="en-US" w:eastAsia="zh-CN"/>
        </w:rPr>
      </w:pPr>
      <w:r>
        <w:rPr>
          <w:rFonts w:hint="eastAsia" w:ascii="Times New Roman" w:hAnsi="Times New Roman" w:eastAsiaTheme="minorEastAsia"/>
          <w:b/>
          <w:bCs w:val="0"/>
          <w:kern w:val="0"/>
          <w:sz w:val="20"/>
          <w:szCs w:val="20"/>
          <w:lang w:val="en-US" w:eastAsia="zh-CN"/>
        </w:rPr>
        <w:t>Observation 2: If R18 beam correspondence is optional feature, for the UEs that doesn</w:t>
      </w:r>
      <w:r>
        <w:rPr>
          <w:rFonts w:hint="default" w:ascii="Times New Roman" w:hAnsi="Times New Roman" w:eastAsiaTheme="minorEastAsia"/>
          <w:b/>
          <w:bCs w:val="0"/>
          <w:kern w:val="0"/>
          <w:sz w:val="20"/>
          <w:szCs w:val="20"/>
          <w:lang w:val="en-US" w:eastAsia="zh-CN"/>
        </w:rPr>
        <w:t>’</w:t>
      </w:r>
      <w:r>
        <w:rPr>
          <w:rFonts w:hint="eastAsia" w:ascii="Times New Roman" w:hAnsi="Times New Roman" w:eastAsiaTheme="minorEastAsia"/>
          <w:b/>
          <w:bCs w:val="0"/>
          <w:kern w:val="0"/>
          <w:sz w:val="20"/>
          <w:szCs w:val="20"/>
          <w:lang w:val="en-US" w:eastAsia="zh-CN"/>
        </w:rPr>
        <w:t>t support this feature, this implies that UE may not be able to find suitable msg 1 Tx beam and can</w:t>
      </w:r>
      <w:r>
        <w:rPr>
          <w:rFonts w:hint="default" w:ascii="Times New Roman" w:hAnsi="Times New Roman" w:eastAsiaTheme="minorEastAsia"/>
          <w:b/>
          <w:bCs w:val="0"/>
          <w:kern w:val="0"/>
          <w:sz w:val="20"/>
          <w:szCs w:val="20"/>
          <w:lang w:val="en-US" w:eastAsia="zh-CN"/>
        </w:rPr>
        <w:t>’</w:t>
      </w:r>
      <w:r>
        <w:rPr>
          <w:rFonts w:hint="eastAsia" w:ascii="Times New Roman" w:hAnsi="Times New Roman" w:eastAsiaTheme="minorEastAsia"/>
          <w:b/>
          <w:bCs w:val="0"/>
          <w:kern w:val="0"/>
          <w:sz w:val="20"/>
          <w:szCs w:val="20"/>
          <w:lang w:val="en-US" w:eastAsia="zh-CN"/>
        </w:rPr>
        <w:t>t access FR2 network even if they are not at cell edge.</w:t>
      </w:r>
    </w:p>
    <w:p>
      <w:pPr>
        <w:keepNext w:val="0"/>
        <w:keepLines w:val="0"/>
        <w:pageBreakBefore w:val="0"/>
        <w:widowControl/>
        <w:numPr>
          <w:ilvl w:val="0"/>
          <w:numId w:val="0"/>
        </w:numPr>
        <w:kinsoku/>
        <w:wordWrap/>
        <w:overflowPunct/>
        <w:topLinePunct w:val="0"/>
        <w:autoSpaceDE/>
        <w:autoSpaceDN w:val="0"/>
        <w:bidi w:val="0"/>
        <w:adjustRightInd/>
        <w:snapToGrid/>
        <w:spacing w:before="120" w:after="180" w:line="280" w:lineRule="atLeast"/>
        <w:ind w:leftChars="0"/>
        <w:jc w:val="left"/>
        <w:textAlignment w:val="auto"/>
        <w:rPr>
          <w:rFonts w:hint="default"/>
          <w:lang w:val="en-US" w:eastAsia="zh-CN"/>
        </w:rPr>
      </w:pPr>
      <w:r>
        <w:rPr>
          <w:rFonts w:hint="eastAsia" w:ascii="Times New Roman" w:hAnsi="Times New Roman" w:eastAsiaTheme="minorEastAsia"/>
          <w:b/>
          <w:bCs w:val="0"/>
          <w:kern w:val="0"/>
          <w:sz w:val="20"/>
          <w:szCs w:val="20"/>
          <w:lang w:val="en-US" w:eastAsia="zh-CN"/>
        </w:rPr>
        <w:t>Proposal 3: if R18 beam correspondence is mandatory feature, RAN4 may need to define two sets of BC requirements, one for UE support BC with beam sweeping and another one for UE support BC without beam sweeping in RRC_CONNECTED state. Some relaxation may be required for the UE using beam sweeping in RRC_CONNECTED state.</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widowControl/>
        <w:overflowPunct w:val="0"/>
        <w:autoSpaceDE w:val="0"/>
        <w:autoSpaceDN w:val="0"/>
        <w:adjustRightInd w:val="0"/>
        <w:spacing w:after="180"/>
        <w:jc w:val="left"/>
        <w:textAlignment w:val="baseline"/>
        <w:rPr>
          <w:rFonts w:ascii="Times New Roman" w:hAnsi="Times New Roman"/>
          <w:sz w:val="20"/>
          <w:szCs w:val="20"/>
        </w:rPr>
      </w:pPr>
      <w:r>
        <w:rPr>
          <w:rFonts w:hint="eastAsia" w:ascii="Times New Roman" w:hAnsi="Times New Roman"/>
          <w:sz w:val="20"/>
          <w:szCs w:val="20"/>
        </w:rPr>
        <w:t>[</w:t>
      </w:r>
      <w:r>
        <w:rPr>
          <w:rFonts w:ascii="Times New Roman" w:hAnsi="Times New Roman"/>
          <w:sz w:val="20"/>
          <w:szCs w:val="20"/>
        </w:rPr>
        <w:t xml:space="preserve">1] </w:t>
      </w:r>
      <w:r>
        <w:rPr>
          <w:rFonts w:ascii="Times New Roman" w:hAnsi="Times New Roman"/>
          <w:sz w:val="20"/>
          <w:szCs w:val="20"/>
          <w:lang w:val="en-US" w:eastAsia="zh-CN"/>
        </w:rPr>
        <w:t>R4-2310259</w:t>
      </w:r>
      <w:r>
        <w:rPr>
          <w:rFonts w:ascii="Times New Roman" w:hAnsi="Times New Roman"/>
          <w:sz w:val="20"/>
          <w:szCs w:val="20"/>
        </w:rPr>
        <w:t xml:space="preserve">, </w:t>
      </w:r>
      <w:r>
        <w:rPr>
          <w:rFonts w:ascii="Times New Roman" w:hAnsi="Times New Roman"/>
          <w:sz w:val="20"/>
          <w:szCs w:val="20"/>
          <w:lang w:val="en-US"/>
        </w:rPr>
        <w:t>WF on beam correspondence in initial access and RRC_INACTIVE</w:t>
      </w:r>
      <w:r>
        <w:rPr>
          <w:rFonts w:ascii="Times New Roman" w:hAnsi="Times New Roman"/>
          <w:sz w:val="20"/>
          <w:szCs w:val="20"/>
        </w:rPr>
        <w:t>, Nokia</w:t>
      </w:r>
    </w:p>
    <w:p>
      <w:pPr>
        <w:keepNext/>
        <w:keepLines/>
        <w:widowControl/>
        <w:spacing w:before="60" w:after="180"/>
        <w:rPr>
          <w:rFonts w:ascii="Times New Roman" w:hAnsi="Times New Roman"/>
          <w:sz w:val="20"/>
          <w:szCs w:val="20"/>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33E"/>
    <w:rsid w:val="00000BE6"/>
    <w:rsid w:val="000011D2"/>
    <w:rsid w:val="00002C4E"/>
    <w:rsid w:val="00002DFE"/>
    <w:rsid w:val="0000389F"/>
    <w:rsid w:val="000041CA"/>
    <w:rsid w:val="0000477F"/>
    <w:rsid w:val="00004A04"/>
    <w:rsid w:val="00005E84"/>
    <w:rsid w:val="00006174"/>
    <w:rsid w:val="00006196"/>
    <w:rsid w:val="0001126C"/>
    <w:rsid w:val="00011927"/>
    <w:rsid w:val="00011DD5"/>
    <w:rsid w:val="00012C96"/>
    <w:rsid w:val="000138E6"/>
    <w:rsid w:val="000160EF"/>
    <w:rsid w:val="00016BC2"/>
    <w:rsid w:val="00021DD4"/>
    <w:rsid w:val="0002231B"/>
    <w:rsid w:val="000223C3"/>
    <w:rsid w:val="000224EE"/>
    <w:rsid w:val="0002369D"/>
    <w:rsid w:val="00023A89"/>
    <w:rsid w:val="000241CD"/>
    <w:rsid w:val="00024959"/>
    <w:rsid w:val="00025E8F"/>
    <w:rsid w:val="00026563"/>
    <w:rsid w:val="0003025B"/>
    <w:rsid w:val="00030957"/>
    <w:rsid w:val="00030F62"/>
    <w:rsid w:val="000328EF"/>
    <w:rsid w:val="0003327E"/>
    <w:rsid w:val="0003334A"/>
    <w:rsid w:val="00033372"/>
    <w:rsid w:val="00034492"/>
    <w:rsid w:val="000367A0"/>
    <w:rsid w:val="00036C52"/>
    <w:rsid w:val="00036D6A"/>
    <w:rsid w:val="00037971"/>
    <w:rsid w:val="00040C35"/>
    <w:rsid w:val="0004256C"/>
    <w:rsid w:val="00043E8D"/>
    <w:rsid w:val="00044652"/>
    <w:rsid w:val="000449E2"/>
    <w:rsid w:val="00044B31"/>
    <w:rsid w:val="0004539C"/>
    <w:rsid w:val="0004564B"/>
    <w:rsid w:val="0004616D"/>
    <w:rsid w:val="00050835"/>
    <w:rsid w:val="00051925"/>
    <w:rsid w:val="00052CB8"/>
    <w:rsid w:val="00052E16"/>
    <w:rsid w:val="00053AA8"/>
    <w:rsid w:val="00053BCE"/>
    <w:rsid w:val="0005511F"/>
    <w:rsid w:val="000552C5"/>
    <w:rsid w:val="00055B1F"/>
    <w:rsid w:val="00056CBE"/>
    <w:rsid w:val="00056DBB"/>
    <w:rsid w:val="00057657"/>
    <w:rsid w:val="00057B7E"/>
    <w:rsid w:val="000606D3"/>
    <w:rsid w:val="000617E8"/>
    <w:rsid w:val="00062456"/>
    <w:rsid w:val="000660F4"/>
    <w:rsid w:val="0006714C"/>
    <w:rsid w:val="00067233"/>
    <w:rsid w:val="00067A9F"/>
    <w:rsid w:val="00070B68"/>
    <w:rsid w:val="00070E60"/>
    <w:rsid w:val="000726EB"/>
    <w:rsid w:val="000728AA"/>
    <w:rsid w:val="000746F1"/>
    <w:rsid w:val="00075657"/>
    <w:rsid w:val="00076555"/>
    <w:rsid w:val="00076807"/>
    <w:rsid w:val="00077008"/>
    <w:rsid w:val="0007788D"/>
    <w:rsid w:val="000803EE"/>
    <w:rsid w:val="000811BE"/>
    <w:rsid w:val="00081EC1"/>
    <w:rsid w:val="000821A7"/>
    <w:rsid w:val="000826EF"/>
    <w:rsid w:val="000828D6"/>
    <w:rsid w:val="00082B6E"/>
    <w:rsid w:val="000849ED"/>
    <w:rsid w:val="00084B99"/>
    <w:rsid w:val="00085BA6"/>
    <w:rsid w:val="00085D8F"/>
    <w:rsid w:val="00085E61"/>
    <w:rsid w:val="00087432"/>
    <w:rsid w:val="00087747"/>
    <w:rsid w:val="00087810"/>
    <w:rsid w:val="000902B5"/>
    <w:rsid w:val="00090A5D"/>
    <w:rsid w:val="000915BB"/>
    <w:rsid w:val="000918EC"/>
    <w:rsid w:val="00092C18"/>
    <w:rsid w:val="00093BC5"/>
    <w:rsid w:val="00094958"/>
    <w:rsid w:val="00095D91"/>
    <w:rsid w:val="00097FBD"/>
    <w:rsid w:val="000A01AE"/>
    <w:rsid w:val="000A0963"/>
    <w:rsid w:val="000A0AE8"/>
    <w:rsid w:val="000A0AF7"/>
    <w:rsid w:val="000A0F64"/>
    <w:rsid w:val="000A2EF0"/>
    <w:rsid w:val="000A312E"/>
    <w:rsid w:val="000A3424"/>
    <w:rsid w:val="000A3F70"/>
    <w:rsid w:val="000A49BA"/>
    <w:rsid w:val="000A57C5"/>
    <w:rsid w:val="000A6969"/>
    <w:rsid w:val="000A7904"/>
    <w:rsid w:val="000B032D"/>
    <w:rsid w:val="000B3FE5"/>
    <w:rsid w:val="000B4DDB"/>
    <w:rsid w:val="000B518C"/>
    <w:rsid w:val="000B55D1"/>
    <w:rsid w:val="000B55F7"/>
    <w:rsid w:val="000B70D9"/>
    <w:rsid w:val="000B7D23"/>
    <w:rsid w:val="000B7F0C"/>
    <w:rsid w:val="000C13D1"/>
    <w:rsid w:val="000C1407"/>
    <w:rsid w:val="000C226C"/>
    <w:rsid w:val="000C2295"/>
    <w:rsid w:val="000C22BE"/>
    <w:rsid w:val="000C22EC"/>
    <w:rsid w:val="000C35A1"/>
    <w:rsid w:val="000C41DF"/>
    <w:rsid w:val="000C4A40"/>
    <w:rsid w:val="000C51A5"/>
    <w:rsid w:val="000C57ED"/>
    <w:rsid w:val="000C5B39"/>
    <w:rsid w:val="000C74C9"/>
    <w:rsid w:val="000D06CB"/>
    <w:rsid w:val="000D06F5"/>
    <w:rsid w:val="000D16FB"/>
    <w:rsid w:val="000D1C7C"/>
    <w:rsid w:val="000D1F5A"/>
    <w:rsid w:val="000D201E"/>
    <w:rsid w:val="000D2355"/>
    <w:rsid w:val="000D253B"/>
    <w:rsid w:val="000D27E9"/>
    <w:rsid w:val="000D3028"/>
    <w:rsid w:val="000D38A7"/>
    <w:rsid w:val="000D4338"/>
    <w:rsid w:val="000D630F"/>
    <w:rsid w:val="000D633B"/>
    <w:rsid w:val="000D6A04"/>
    <w:rsid w:val="000D6FD9"/>
    <w:rsid w:val="000E001B"/>
    <w:rsid w:val="000E0496"/>
    <w:rsid w:val="000E09ED"/>
    <w:rsid w:val="000E25FF"/>
    <w:rsid w:val="000E2F5B"/>
    <w:rsid w:val="000E3ACD"/>
    <w:rsid w:val="000E4074"/>
    <w:rsid w:val="000E40CA"/>
    <w:rsid w:val="000E426E"/>
    <w:rsid w:val="000E43B1"/>
    <w:rsid w:val="000E4C06"/>
    <w:rsid w:val="000E53A4"/>
    <w:rsid w:val="000E6251"/>
    <w:rsid w:val="000E7488"/>
    <w:rsid w:val="000E7663"/>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628D"/>
    <w:rsid w:val="0010688E"/>
    <w:rsid w:val="00107845"/>
    <w:rsid w:val="00107CAD"/>
    <w:rsid w:val="00110795"/>
    <w:rsid w:val="00110F5D"/>
    <w:rsid w:val="0011154A"/>
    <w:rsid w:val="00112445"/>
    <w:rsid w:val="001137AE"/>
    <w:rsid w:val="001141BD"/>
    <w:rsid w:val="001155D6"/>
    <w:rsid w:val="0011636C"/>
    <w:rsid w:val="00116723"/>
    <w:rsid w:val="00116AE7"/>
    <w:rsid w:val="00117381"/>
    <w:rsid w:val="001203E7"/>
    <w:rsid w:val="0012041D"/>
    <w:rsid w:val="0012056F"/>
    <w:rsid w:val="001210CE"/>
    <w:rsid w:val="00122897"/>
    <w:rsid w:val="001229DE"/>
    <w:rsid w:val="001234EB"/>
    <w:rsid w:val="00123E6B"/>
    <w:rsid w:val="00123EFD"/>
    <w:rsid w:val="00124EE7"/>
    <w:rsid w:val="00125087"/>
    <w:rsid w:val="0013029D"/>
    <w:rsid w:val="00131B3F"/>
    <w:rsid w:val="001326C6"/>
    <w:rsid w:val="001330E3"/>
    <w:rsid w:val="0013477E"/>
    <w:rsid w:val="00136793"/>
    <w:rsid w:val="00136C7A"/>
    <w:rsid w:val="001377DA"/>
    <w:rsid w:val="00137BE3"/>
    <w:rsid w:val="00137E20"/>
    <w:rsid w:val="00140720"/>
    <w:rsid w:val="00141986"/>
    <w:rsid w:val="00142427"/>
    <w:rsid w:val="0014248C"/>
    <w:rsid w:val="001426C4"/>
    <w:rsid w:val="00143120"/>
    <w:rsid w:val="0014396A"/>
    <w:rsid w:val="00143F1D"/>
    <w:rsid w:val="00146358"/>
    <w:rsid w:val="001469A6"/>
    <w:rsid w:val="00146ADC"/>
    <w:rsid w:val="00147B02"/>
    <w:rsid w:val="00150059"/>
    <w:rsid w:val="001502CC"/>
    <w:rsid w:val="00150D55"/>
    <w:rsid w:val="001554DD"/>
    <w:rsid w:val="00155651"/>
    <w:rsid w:val="001560D6"/>
    <w:rsid w:val="00156DAC"/>
    <w:rsid w:val="001606D6"/>
    <w:rsid w:val="00160888"/>
    <w:rsid w:val="001611C4"/>
    <w:rsid w:val="00161662"/>
    <w:rsid w:val="001622E4"/>
    <w:rsid w:val="00162D1B"/>
    <w:rsid w:val="001638E2"/>
    <w:rsid w:val="00163A38"/>
    <w:rsid w:val="00163BB7"/>
    <w:rsid w:val="0016414E"/>
    <w:rsid w:val="00165020"/>
    <w:rsid w:val="0016673D"/>
    <w:rsid w:val="00167D5F"/>
    <w:rsid w:val="001719CF"/>
    <w:rsid w:val="00172290"/>
    <w:rsid w:val="001725F0"/>
    <w:rsid w:val="00173CED"/>
    <w:rsid w:val="001741D3"/>
    <w:rsid w:val="00176283"/>
    <w:rsid w:val="00176F93"/>
    <w:rsid w:val="0017770E"/>
    <w:rsid w:val="00180138"/>
    <w:rsid w:val="00180913"/>
    <w:rsid w:val="00181C13"/>
    <w:rsid w:val="00182088"/>
    <w:rsid w:val="00182911"/>
    <w:rsid w:val="00182F03"/>
    <w:rsid w:val="0018339F"/>
    <w:rsid w:val="00183E23"/>
    <w:rsid w:val="0018424B"/>
    <w:rsid w:val="00184340"/>
    <w:rsid w:val="00186210"/>
    <w:rsid w:val="0018778C"/>
    <w:rsid w:val="00187A01"/>
    <w:rsid w:val="00191E0E"/>
    <w:rsid w:val="00194755"/>
    <w:rsid w:val="00194EBD"/>
    <w:rsid w:val="00195377"/>
    <w:rsid w:val="00195AAF"/>
    <w:rsid w:val="00195C7F"/>
    <w:rsid w:val="00197252"/>
    <w:rsid w:val="00197697"/>
    <w:rsid w:val="00197F64"/>
    <w:rsid w:val="001A08E2"/>
    <w:rsid w:val="001A22BD"/>
    <w:rsid w:val="001A3034"/>
    <w:rsid w:val="001A32E3"/>
    <w:rsid w:val="001A43E9"/>
    <w:rsid w:val="001A4EEC"/>
    <w:rsid w:val="001A59A4"/>
    <w:rsid w:val="001A63AE"/>
    <w:rsid w:val="001A7AEF"/>
    <w:rsid w:val="001B4CED"/>
    <w:rsid w:val="001B725D"/>
    <w:rsid w:val="001B7973"/>
    <w:rsid w:val="001B7CE6"/>
    <w:rsid w:val="001C1A9A"/>
    <w:rsid w:val="001C3C52"/>
    <w:rsid w:val="001C4CAF"/>
    <w:rsid w:val="001C4DFD"/>
    <w:rsid w:val="001C5F68"/>
    <w:rsid w:val="001C605B"/>
    <w:rsid w:val="001C63F1"/>
    <w:rsid w:val="001C6679"/>
    <w:rsid w:val="001C6E84"/>
    <w:rsid w:val="001C6F70"/>
    <w:rsid w:val="001C71A1"/>
    <w:rsid w:val="001C79BB"/>
    <w:rsid w:val="001C7A6D"/>
    <w:rsid w:val="001C7D16"/>
    <w:rsid w:val="001D0332"/>
    <w:rsid w:val="001D109E"/>
    <w:rsid w:val="001D130E"/>
    <w:rsid w:val="001D30C0"/>
    <w:rsid w:val="001D46CD"/>
    <w:rsid w:val="001D4833"/>
    <w:rsid w:val="001D5025"/>
    <w:rsid w:val="001D51C0"/>
    <w:rsid w:val="001D63C0"/>
    <w:rsid w:val="001D66A9"/>
    <w:rsid w:val="001D66E0"/>
    <w:rsid w:val="001D6FFE"/>
    <w:rsid w:val="001D7806"/>
    <w:rsid w:val="001E0606"/>
    <w:rsid w:val="001E12D9"/>
    <w:rsid w:val="001E15AF"/>
    <w:rsid w:val="001E1E04"/>
    <w:rsid w:val="001E2427"/>
    <w:rsid w:val="001E2508"/>
    <w:rsid w:val="001E258A"/>
    <w:rsid w:val="001E338A"/>
    <w:rsid w:val="001E4BC8"/>
    <w:rsid w:val="001E5085"/>
    <w:rsid w:val="001E6F56"/>
    <w:rsid w:val="001E71AC"/>
    <w:rsid w:val="001E7AE1"/>
    <w:rsid w:val="001F1181"/>
    <w:rsid w:val="001F17EC"/>
    <w:rsid w:val="001F227B"/>
    <w:rsid w:val="001F2FBC"/>
    <w:rsid w:val="001F4212"/>
    <w:rsid w:val="001F6320"/>
    <w:rsid w:val="001F6630"/>
    <w:rsid w:val="00200F50"/>
    <w:rsid w:val="0020138B"/>
    <w:rsid w:val="00202428"/>
    <w:rsid w:val="00203046"/>
    <w:rsid w:val="002033DE"/>
    <w:rsid w:val="00203DEC"/>
    <w:rsid w:val="0020494F"/>
    <w:rsid w:val="0020515C"/>
    <w:rsid w:val="0020605F"/>
    <w:rsid w:val="002068E6"/>
    <w:rsid w:val="00211040"/>
    <w:rsid w:val="00211F9F"/>
    <w:rsid w:val="00212427"/>
    <w:rsid w:val="002131E0"/>
    <w:rsid w:val="00213A14"/>
    <w:rsid w:val="00213E10"/>
    <w:rsid w:val="00214B69"/>
    <w:rsid w:val="00214B90"/>
    <w:rsid w:val="00214D42"/>
    <w:rsid w:val="00215703"/>
    <w:rsid w:val="002159B3"/>
    <w:rsid w:val="0022096E"/>
    <w:rsid w:val="00220CD1"/>
    <w:rsid w:val="002210C0"/>
    <w:rsid w:val="002211D8"/>
    <w:rsid w:val="00221F31"/>
    <w:rsid w:val="00222116"/>
    <w:rsid w:val="00222860"/>
    <w:rsid w:val="00222A08"/>
    <w:rsid w:val="0022300D"/>
    <w:rsid w:val="00223A14"/>
    <w:rsid w:val="00223C94"/>
    <w:rsid w:val="00224C40"/>
    <w:rsid w:val="00224E27"/>
    <w:rsid w:val="00226D19"/>
    <w:rsid w:val="002273D6"/>
    <w:rsid w:val="002314FD"/>
    <w:rsid w:val="00233587"/>
    <w:rsid w:val="0023392F"/>
    <w:rsid w:val="00233B01"/>
    <w:rsid w:val="00234010"/>
    <w:rsid w:val="00235FEF"/>
    <w:rsid w:val="002370D6"/>
    <w:rsid w:val="002379D3"/>
    <w:rsid w:val="00237E10"/>
    <w:rsid w:val="002401B1"/>
    <w:rsid w:val="002406C0"/>
    <w:rsid w:val="002408B1"/>
    <w:rsid w:val="00242A91"/>
    <w:rsid w:val="002431D0"/>
    <w:rsid w:val="002435D1"/>
    <w:rsid w:val="00243B44"/>
    <w:rsid w:val="002446E8"/>
    <w:rsid w:val="00244D08"/>
    <w:rsid w:val="00244DCD"/>
    <w:rsid w:val="00244F2E"/>
    <w:rsid w:val="002451EE"/>
    <w:rsid w:val="002452F2"/>
    <w:rsid w:val="00245C9B"/>
    <w:rsid w:val="002463E3"/>
    <w:rsid w:val="00246D29"/>
    <w:rsid w:val="00247545"/>
    <w:rsid w:val="00247F8B"/>
    <w:rsid w:val="002501E8"/>
    <w:rsid w:val="00250C1F"/>
    <w:rsid w:val="00251294"/>
    <w:rsid w:val="002521CD"/>
    <w:rsid w:val="00252AC2"/>
    <w:rsid w:val="00253AF9"/>
    <w:rsid w:val="0025420E"/>
    <w:rsid w:val="00255035"/>
    <w:rsid w:val="00256180"/>
    <w:rsid w:val="002564E9"/>
    <w:rsid w:val="00257CD7"/>
    <w:rsid w:val="00257DE2"/>
    <w:rsid w:val="002628DD"/>
    <w:rsid w:val="00262A6B"/>
    <w:rsid w:val="00262B4C"/>
    <w:rsid w:val="002643F2"/>
    <w:rsid w:val="00264A81"/>
    <w:rsid w:val="00265211"/>
    <w:rsid w:val="00266120"/>
    <w:rsid w:val="002674A0"/>
    <w:rsid w:val="00270E88"/>
    <w:rsid w:val="00273C26"/>
    <w:rsid w:val="00273D06"/>
    <w:rsid w:val="00274A57"/>
    <w:rsid w:val="00275F0D"/>
    <w:rsid w:val="00276210"/>
    <w:rsid w:val="002773E8"/>
    <w:rsid w:val="002779CF"/>
    <w:rsid w:val="00277AE1"/>
    <w:rsid w:val="0028013D"/>
    <w:rsid w:val="0028164D"/>
    <w:rsid w:val="00281720"/>
    <w:rsid w:val="002817F4"/>
    <w:rsid w:val="00281D58"/>
    <w:rsid w:val="00282717"/>
    <w:rsid w:val="002833A3"/>
    <w:rsid w:val="00284C47"/>
    <w:rsid w:val="00284E14"/>
    <w:rsid w:val="00285780"/>
    <w:rsid w:val="00285BF7"/>
    <w:rsid w:val="00285E77"/>
    <w:rsid w:val="002868C1"/>
    <w:rsid w:val="00287755"/>
    <w:rsid w:val="0029022F"/>
    <w:rsid w:val="00290FA6"/>
    <w:rsid w:val="002922BF"/>
    <w:rsid w:val="002946D1"/>
    <w:rsid w:val="00294A39"/>
    <w:rsid w:val="00296039"/>
    <w:rsid w:val="00296599"/>
    <w:rsid w:val="002967E4"/>
    <w:rsid w:val="002A0026"/>
    <w:rsid w:val="002A0945"/>
    <w:rsid w:val="002A09B6"/>
    <w:rsid w:val="002A317E"/>
    <w:rsid w:val="002A42C1"/>
    <w:rsid w:val="002A44FF"/>
    <w:rsid w:val="002A584D"/>
    <w:rsid w:val="002A62D7"/>
    <w:rsid w:val="002A733D"/>
    <w:rsid w:val="002A75A5"/>
    <w:rsid w:val="002A7ED3"/>
    <w:rsid w:val="002B0EF7"/>
    <w:rsid w:val="002B1386"/>
    <w:rsid w:val="002B241D"/>
    <w:rsid w:val="002B2707"/>
    <w:rsid w:val="002B2F56"/>
    <w:rsid w:val="002B3917"/>
    <w:rsid w:val="002B3F1E"/>
    <w:rsid w:val="002B5B3F"/>
    <w:rsid w:val="002B6AD0"/>
    <w:rsid w:val="002B715D"/>
    <w:rsid w:val="002B782A"/>
    <w:rsid w:val="002C0353"/>
    <w:rsid w:val="002C098A"/>
    <w:rsid w:val="002C2364"/>
    <w:rsid w:val="002C29FD"/>
    <w:rsid w:val="002C4583"/>
    <w:rsid w:val="002C4601"/>
    <w:rsid w:val="002C59C0"/>
    <w:rsid w:val="002C6A8B"/>
    <w:rsid w:val="002C6B2A"/>
    <w:rsid w:val="002C6F34"/>
    <w:rsid w:val="002D009B"/>
    <w:rsid w:val="002D12B5"/>
    <w:rsid w:val="002D132D"/>
    <w:rsid w:val="002D289B"/>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767C"/>
    <w:rsid w:val="002F0378"/>
    <w:rsid w:val="002F0C55"/>
    <w:rsid w:val="002F0C66"/>
    <w:rsid w:val="002F0E6F"/>
    <w:rsid w:val="002F1412"/>
    <w:rsid w:val="002F4775"/>
    <w:rsid w:val="002F4B9F"/>
    <w:rsid w:val="002F52C9"/>
    <w:rsid w:val="002F6EBC"/>
    <w:rsid w:val="002F7E7F"/>
    <w:rsid w:val="00301B1D"/>
    <w:rsid w:val="00301E73"/>
    <w:rsid w:val="00302114"/>
    <w:rsid w:val="00302C9A"/>
    <w:rsid w:val="00303762"/>
    <w:rsid w:val="003042F7"/>
    <w:rsid w:val="00304EB8"/>
    <w:rsid w:val="0030517F"/>
    <w:rsid w:val="003052A2"/>
    <w:rsid w:val="0030539A"/>
    <w:rsid w:val="00305566"/>
    <w:rsid w:val="003063FB"/>
    <w:rsid w:val="00306853"/>
    <w:rsid w:val="0030771B"/>
    <w:rsid w:val="00310B4B"/>
    <w:rsid w:val="003118A2"/>
    <w:rsid w:val="003119B8"/>
    <w:rsid w:val="00311CF2"/>
    <w:rsid w:val="00313E5F"/>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4E77"/>
    <w:rsid w:val="00325417"/>
    <w:rsid w:val="00325EB5"/>
    <w:rsid w:val="003300C5"/>
    <w:rsid w:val="00330D7C"/>
    <w:rsid w:val="003316DF"/>
    <w:rsid w:val="003320BB"/>
    <w:rsid w:val="00333F99"/>
    <w:rsid w:val="003348A0"/>
    <w:rsid w:val="00336C28"/>
    <w:rsid w:val="00337A7F"/>
    <w:rsid w:val="00340045"/>
    <w:rsid w:val="0034101C"/>
    <w:rsid w:val="00341BB8"/>
    <w:rsid w:val="003420CF"/>
    <w:rsid w:val="00342755"/>
    <w:rsid w:val="00343705"/>
    <w:rsid w:val="00343CB6"/>
    <w:rsid w:val="00345281"/>
    <w:rsid w:val="00345750"/>
    <w:rsid w:val="0034578A"/>
    <w:rsid w:val="003458DD"/>
    <w:rsid w:val="00345D3B"/>
    <w:rsid w:val="00347607"/>
    <w:rsid w:val="003476FF"/>
    <w:rsid w:val="0035062D"/>
    <w:rsid w:val="00350D07"/>
    <w:rsid w:val="003512E8"/>
    <w:rsid w:val="0035206D"/>
    <w:rsid w:val="00352B4D"/>
    <w:rsid w:val="003532FA"/>
    <w:rsid w:val="003542AC"/>
    <w:rsid w:val="00355094"/>
    <w:rsid w:val="00360585"/>
    <w:rsid w:val="00360B42"/>
    <w:rsid w:val="00363ABA"/>
    <w:rsid w:val="003641E4"/>
    <w:rsid w:val="00364F85"/>
    <w:rsid w:val="0036541A"/>
    <w:rsid w:val="00366467"/>
    <w:rsid w:val="0036723A"/>
    <w:rsid w:val="0036727B"/>
    <w:rsid w:val="00367312"/>
    <w:rsid w:val="003677FB"/>
    <w:rsid w:val="00367A29"/>
    <w:rsid w:val="00367BC5"/>
    <w:rsid w:val="00370F86"/>
    <w:rsid w:val="00371172"/>
    <w:rsid w:val="00371657"/>
    <w:rsid w:val="00371B0F"/>
    <w:rsid w:val="00372AB0"/>
    <w:rsid w:val="003741FD"/>
    <w:rsid w:val="00374AF0"/>
    <w:rsid w:val="00375D11"/>
    <w:rsid w:val="00376121"/>
    <w:rsid w:val="003779F7"/>
    <w:rsid w:val="00377AB0"/>
    <w:rsid w:val="003805A0"/>
    <w:rsid w:val="003820B9"/>
    <w:rsid w:val="00382D05"/>
    <w:rsid w:val="00383660"/>
    <w:rsid w:val="003836CF"/>
    <w:rsid w:val="00383798"/>
    <w:rsid w:val="00384DEC"/>
    <w:rsid w:val="00387C6C"/>
    <w:rsid w:val="0039099D"/>
    <w:rsid w:val="003916B5"/>
    <w:rsid w:val="00392BAD"/>
    <w:rsid w:val="003934F2"/>
    <w:rsid w:val="00394CDD"/>
    <w:rsid w:val="00394F07"/>
    <w:rsid w:val="00395100"/>
    <w:rsid w:val="00395B8C"/>
    <w:rsid w:val="0039631D"/>
    <w:rsid w:val="00396D76"/>
    <w:rsid w:val="00397BAF"/>
    <w:rsid w:val="003A07B8"/>
    <w:rsid w:val="003A49DF"/>
    <w:rsid w:val="003A709C"/>
    <w:rsid w:val="003A79C0"/>
    <w:rsid w:val="003B0B2E"/>
    <w:rsid w:val="003B1CDF"/>
    <w:rsid w:val="003B1FA7"/>
    <w:rsid w:val="003B231E"/>
    <w:rsid w:val="003B2374"/>
    <w:rsid w:val="003B34CD"/>
    <w:rsid w:val="003B3DC5"/>
    <w:rsid w:val="003B43D8"/>
    <w:rsid w:val="003B4B56"/>
    <w:rsid w:val="003B5818"/>
    <w:rsid w:val="003B5E10"/>
    <w:rsid w:val="003B636A"/>
    <w:rsid w:val="003B74FC"/>
    <w:rsid w:val="003C0D46"/>
    <w:rsid w:val="003C261C"/>
    <w:rsid w:val="003C27C4"/>
    <w:rsid w:val="003C28A5"/>
    <w:rsid w:val="003C2F55"/>
    <w:rsid w:val="003C347D"/>
    <w:rsid w:val="003C466D"/>
    <w:rsid w:val="003C57A7"/>
    <w:rsid w:val="003C6148"/>
    <w:rsid w:val="003C6757"/>
    <w:rsid w:val="003C6A82"/>
    <w:rsid w:val="003C7A12"/>
    <w:rsid w:val="003C7B4D"/>
    <w:rsid w:val="003D23D4"/>
    <w:rsid w:val="003D2ADD"/>
    <w:rsid w:val="003D38C7"/>
    <w:rsid w:val="003D3A57"/>
    <w:rsid w:val="003D3A7F"/>
    <w:rsid w:val="003E0160"/>
    <w:rsid w:val="003E10D8"/>
    <w:rsid w:val="003E17AD"/>
    <w:rsid w:val="003E277F"/>
    <w:rsid w:val="003E309D"/>
    <w:rsid w:val="003E5A30"/>
    <w:rsid w:val="003E5EF2"/>
    <w:rsid w:val="003E7BAA"/>
    <w:rsid w:val="003E7F0E"/>
    <w:rsid w:val="003F00D7"/>
    <w:rsid w:val="003F1C84"/>
    <w:rsid w:val="003F2035"/>
    <w:rsid w:val="003F2468"/>
    <w:rsid w:val="003F2587"/>
    <w:rsid w:val="003F42A4"/>
    <w:rsid w:val="003F4EC9"/>
    <w:rsid w:val="003F51E3"/>
    <w:rsid w:val="003F6521"/>
    <w:rsid w:val="003F7F29"/>
    <w:rsid w:val="004017E5"/>
    <w:rsid w:val="00403E79"/>
    <w:rsid w:val="0040406D"/>
    <w:rsid w:val="00405536"/>
    <w:rsid w:val="004100DE"/>
    <w:rsid w:val="00410B17"/>
    <w:rsid w:val="004111A1"/>
    <w:rsid w:val="0041153A"/>
    <w:rsid w:val="004119D3"/>
    <w:rsid w:val="00411B75"/>
    <w:rsid w:val="00413198"/>
    <w:rsid w:val="00414E7E"/>
    <w:rsid w:val="004161E4"/>
    <w:rsid w:val="0041689A"/>
    <w:rsid w:val="00416DB1"/>
    <w:rsid w:val="004175A3"/>
    <w:rsid w:val="004177DC"/>
    <w:rsid w:val="00417A3F"/>
    <w:rsid w:val="00417DB5"/>
    <w:rsid w:val="004206E1"/>
    <w:rsid w:val="004207F8"/>
    <w:rsid w:val="004220D7"/>
    <w:rsid w:val="0042226D"/>
    <w:rsid w:val="00422DCE"/>
    <w:rsid w:val="004259E8"/>
    <w:rsid w:val="00426736"/>
    <w:rsid w:val="0042784A"/>
    <w:rsid w:val="00427A81"/>
    <w:rsid w:val="00427D11"/>
    <w:rsid w:val="0043006D"/>
    <w:rsid w:val="00430A60"/>
    <w:rsid w:val="00431546"/>
    <w:rsid w:val="00434694"/>
    <w:rsid w:val="00434E36"/>
    <w:rsid w:val="004354E1"/>
    <w:rsid w:val="00437215"/>
    <w:rsid w:val="00437BD1"/>
    <w:rsid w:val="00440130"/>
    <w:rsid w:val="00440184"/>
    <w:rsid w:val="0044165B"/>
    <w:rsid w:val="0044191B"/>
    <w:rsid w:val="00441B32"/>
    <w:rsid w:val="00443598"/>
    <w:rsid w:val="0044386A"/>
    <w:rsid w:val="00443A65"/>
    <w:rsid w:val="00443AA8"/>
    <w:rsid w:val="0044454A"/>
    <w:rsid w:val="00445856"/>
    <w:rsid w:val="00447FBB"/>
    <w:rsid w:val="00450AB2"/>
    <w:rsid w:val="00452D97"/>
    <w:rsid w:val="00452DC8"/>
    <w:rsid w:val="00452E40"/>
    <w:rsid w:val="004541E1"/>
    <w:rsid w:val="004558C9"/>
    <w:rsid w:val="00456965"/>
    <w:rsid w:val="00456BE9"/>
    <w:rsid w:val="0046114F"/>
    <w:rsid w:val="004613A0"/>
    <w:rsid w:val="00461E88"/>
    <w:rsid w:val="00461F16"/>
    <w:rsid w:val="0046318B"/>
    <w:rsid w:val="00463461"/>
    <w:rsid w:val="004640AB"/>
    <w:rsid w:val="004645AE"/>
    <w:rsid w:val="0046461C"/>
    <w:rsid w:val="00465531"/>
    <w:rsid w:val="004666F1"/>
    <w:rsid w:val="0046682E"/>
    <w:rsid w:val="004702D8"/>
    <w:rsid w:val="00470573"/>
    <w:rsid w:val="00470A03"/>
    <w:rsid w:val="00471045"/>
    <w:rsid w:val="00472B38"/>
    <w:rsid w:val="004733FB"/>
    <w:rsid w:val="0047357D"/>
    <w:rsid w:val="00473E19"/>
    <w:rsid w:val="00475182"/>
    <w:rsid w:val="0047689D"/>
    <w:rsid w:val="00477590"/>
    <w:rsid w:val="00477DED"/>
    <w:rsid w:val="00480F1F"/>
    <w:rsid w:val="004814F7"/>
    <w:rsid w:val="004825C6"/>
    <w:rsid w:val="00484073"/>
    <w:rsid w:val="00484901"/>
    <w:rsid w:val="0048494B"/>
    <w:rsid w:val="0048586D"/>
    <w:rsid w:val="00485B56"/>
    <w:rsid w:val="00485F10"/>
    <w:rsid w:val="0048642B"/>
    <w:rsid w:val="00486747"/>
    <w:rsid w:val="00487414"/>
    <w:rsid w:val="004903AD"/>
    <w:rsid w:val="00490804"/>
    <w:rsid w:val="004908A9"/>
    <w:rsid w:val="00490D96"/>
    <w:rsid w:val="004921B0"/>
    <w:rsid w:val="004922D4"/>
    <w:rsid w:val="0049231C"/>
    <w:rsid w:val="0049240C"/>
    <w:rsid w:val="00492C0F"/>
    <w:rsid w:val="00493D76"/>
    <w:rsid w:val="00494B61"/>
    <w:rsid w:val="004956B2"/>
    <w:rsid w:val="004970EB"/>
    <w:rsid w:val="004A0511"/>
    <w:rsid w:val="004A0D82"/>
    <w:rsid w:val="004A1622"/>
    <w:rsid w:val="004A25CA"/>
    <w:rsid w:val="004A3E25"/>
    <w:rsid w:val="004A3F95"/>
    <w:rsid w:val="004A4965"/>
    <w:rsid w:val="004A5660"/>
    <w:rsid w:val="004A5996"/>
    <w:rsid w:val="004A5AD1"/>
    <w:rsid w:val="004A6E76"/>
    <w:rsid w:val="004A7F9C"/>
    <w:rsid w:val="004B0211"/>
    <w:rsid w:val="004B1424"/>
    <w:rsid w:val="004B1C55"/>
    <w:rsid w:val="004B2054"/>
    <w:rsid w:val="004B2330"/>
    <w:rsid w:val="004B2E50"/>
    <w:rsid w:val="004B3ACD"/>
    <w:rsid w:val="004B4557"/>
    <w:rsid w:val="004B4E16"/>
    <w:rsid w:val="004B6C9D"/>
    <w:rsid w:val="004B7EBF"/>
    <w:rsid w:val="004B7ECF"/>
    <w:rsid w:val="004C0275"/>
    <w:rsid w:val="004C046C"/>
    <w:rsid w:val="004C04CB"/>
    <w:rsid w:val="004C0923"/>
    <w:rsid w:val="004C23B9"/>
    <w:rsid w:val="004C2479"/>
    <w:rsid w:val="004C27F1"/>
    <w:rsid w:val="004C4033"/>
    <w:rsid w:val="004D1EF3"/>
    <w:rsid w:val="004D4695"/>
    <w:rsid w:val="004D5F7E"/>
    <w:rsid w:val="004D6171"/>
    <w:rsid w:val="004D6FD2"/>
    <w:rsid w:val="004D7559"/>
    <w:rsid w:val="004E0AE6"/>
    <w:rsid w:val="004E11C5"/>
    <w:rsid w:val="004E12A8"/>
    <w:rsid w:val="004E1789"/>
    <w:rsid w:val="004E1A33"/>
    <w:rsid w:val="004E2782"/>
    <w:rsid w:val="004E2887"/>
    <w:rsid w:val="004E31F6"/>
    <w:rsid w:val="004E3836"/>
    <w:rsid w:val="004E3A93"/>
    <w:rsid w:val="004E45A1"/>
    <w:rsid w:val="004E64DB"/>
    <w:rsid w:val="004E7582"/>
    <w:rsid w:val="004E7B3E"/>
    <w:rsid w:val="004F0B06"/>
    <w:rsid w:val="004F0FC0"/>
    <w:rsid w:val="004F125E"/>
    <w:rsid w:val="004F4C90"/>
    <w:rsid w:val="004F5F34"/>
    <w:rsid w:val="005008DD"/>
    <w:rsid w:val="00501CD6"/>
    <w:rsid w:val="00503695"/>
    <w:rsid w:val="00503C75"/>
    <w:rsid w:val="00503CC1"/>
    <w:rsid w:val="00504054"/>
    <w:rsid w:val="00505085"/>
    <w:rsid w:val="0050587B"/>
    <w:rsid w:val="00505AC8"/>
    <w:rsid w:val="0050631F"/>
    <w:rsid w:val="00506EC3"/>
    <w:rsid w:val="0051054D"/>
    <w:rsid w:val="0051263F"/>
    <w:rsid w:val="0051494E"/>
    <w:rsid w:val="00514DEF"/>
    <w:rsid w:val="00514E78"/>
    <w:rsid w:val="00515E8F"/>
    <w:rsid w:val="005169B2"/>
    <w:rsid w:val="00517014"/>
    <w:rsid w:val="005207A7"/>
    <w:rsid w:val="0052106B"/>
    <w:rsid w:val="005210CA"/>
    <w:rsid w:val="00521416"/>
    <w:rsid w:val="0052385C"/>
    <w:rsid w:val="00523A16"/>
    <w:rsid w:val="005242FE"/>
    <w:rsid w:val="005247B7"/>
    <w:rsid w:val="0052721A"/>
    <w:rsid w:val="005275FC"/>
    <w:rsid w:val="005300FD"/>
    <w:rsid w:val="00533DDA"/>
    <w:rsid w:val="00534AAF"/>
    <w:rsid w:val="005353CD"/>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34A"/>
    <w:rsid w:val="005507CB"/>
    <w:rsid w:val="00551058"/>
    <w:rsid w:val="0055153C"/>
    <w:rsid w:val="00553007"/>
    <w:rsid w:val="00553635"/>
    <w:rsid w:val="00554E1D"/>
    <w:rsid w:val="0055608C"/>
    <w:rsid w:val="00556595"/>
    <w:rsid w:val="00556A8C"/>
    <w:rsid w:val="00556B41"/>
    <w:rsid w:val="00557237"/>
    <w:rsid w:val="005578A7"/>
    <w:rsid w:val="00557B2A"/>
    <w:rsid w:val="005602D5"/>
    <w:rsid w:val="0056268B"/>
    <w:rsid w:val="00563F35"/>
    <w:rsid w:val="005641B8"/>
    <w:rsid w:val="005651D7"/>
    <w:rsid w:val="0056596D"/>
    <w:rsid w:val="00566223"/>
    <w:rsid w:val="00566A9F"/>
    <w:rsid w:val="00566C4B"/>
    <w:rsid w:val="00567DF7"/>
    <w:rsid w:val="005722FC"/>
    <w:rsid w:val="00572CC7"/>
    <w:rsid w:val="0057575D"/>
    <w:rsid w:val="005764B2"/>
    <w:rsid w:val="00576DA2"/>
    <w:rsid w:val="0057796C"/>
    <w:rsid w:val="0058053B"/>
    <w:rsid w:val="005815B1"/>
    <w:rsid w:val="005826E8"/>
    <w:rsid w:val="00582F17"/>
    <w:rsid w:val="00582FB6"/>
    <w:rsid w:val="00583076"/>
    <w:rsid w:val="00583A1F"/>
    <w:rsid w:val="00583B2D"/>
    <w:rsid w:val="0058515D"/>
    <w:rsid w:val="005874D7"/>
    <w:rsid w:val="00587E7B"/>
    <w:rsid w:val="00591008"/>
    <w:rsid w:val="005922E0"/>
    <w:rsid w:val="00592AD8"/>
    <w:rsid w:val="00592B00"/>
    <w:rsid w:val="00593391"/>
    <w:rsid w:val="00594C77"/>
    <w:rsid w:val="005957E0"/>
    <w:rsid w:val="00596300"/>
    <w:rsid w:val="00597A68"/>
    <w:rsid w:val="005A2F9D"/>
    <w:rsid w:val="005A407F"/>
    <w:rsid w:val="005A52B5"/>
    <w:rsid w:val="005A64C4"/>
    <w:rsid w:val="005A6668"/>
    <w:rsid w:val="005A7354"/>
    <w:rsid w:val="005A7B36"/>
    <w:rsid w:val="005A7C55"/>
    <w:rsid w:val="005B10D7"/>
    <w:rsid w:val="005B1AA8"/>
    <w:rsid w:val="005B2A74"/>
    <w:rsid w:val="005B32AA"/>
    <w:rsid w:val="005B368A"/>
    <w:rsid w:val="005B4A79"/>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6192"/>
    <w:rsid w:val="005D69DD"/>
    <w:rsid w:val="005D7F7F"/>
    <w:rsid w:val="005E050E"/>
    <w:rsid w:val="005E1867"/>
    <w:rsid w:val="005E318A"/>
    <w:rsid w:val="005E37F0"/>
    <w:rsid w:val="005E39EA"/>
    <w:rsid w:val="005E521D"/>
    <w:rsid w:val="005E52A7"/>
    <w:rsid w:val="005E5317"/>
    <w:rsid w:val="005E5F43"/>
    <w:rsid w:val="005E633F"/>
    <w:rsid w:val="005E6E9E"/>
    <w:rsid w:val="005E7594"/>
    <w:rsid w:val="005F099F"/>
    <w:rsid w:val="005F0C6B"/>
    <w:rsid w:val="005F110B"/>
    <w:rsid w:val="005F1C9C"/>
    <w:rsid w:val="005F22C2"/>
    <w:rsid w:val="005F2A4A"/>
    <w:rsid w:val="005F38EE"/>
    <w:rsid w:val="005F3B84"/>
    <w:rsid w:val="005F4056"/>
    <w:rsid w:val="005F5651"/>
    <w:rsid w:val="005F5A22"/>
    <w:rsid w:val="005F745A"/>
    <w:rsid w:val="00600DF7"/>
    <w:rsid w:val="00601076"/>
    <w:rsid w:val="00601A2F"/>
    <w:rsid w:val="006042B8"/>
    <w:rsid w:val="006044E9"/>
    <w:rsid w:val="00606402"/>
    <w:rsid w:val="00606F5F"/>
    <w:rsid w:val="00607FD5"/>
    <w:rsid w:val="0061007F"/>
    <w:rsid w:val="006116A1"/>
    <w:rsid w:val="00612000"/>
    <w:rsid w:val="00612375"/>
    <w:rsid w:val="00612681"/>
    <w:rsid w:val="00614160"/>
    <w:rsid w:val="00614CC8"/>
    <w:rsid w:val="00614CFA"/>
    <w:rsid w:val="00616292"/>
    <w:rsid w:val="0061715A"/>
    <w:rsid w:val="006179F5"/>
    <w:rsid w:val="00622C5C"/>
    <w:rsid w:val="00624355"/>
    <w:rsid w:val="006244B7"/>
    <w:rsid w:val="00624638"/>
    <w:rsid w:val="00624FA9"/>
    <w:rsid w:val="00627D11"/>
    <w:rsid w:val="00630129"/>
    <w:rsid w:val="00630434"/>
    <w:rsid w:val="0063090B"/>
    <w:rsid w:val="00630D0A"/>
    <w:rsid w:val="00632593"/>
    <w:rsid w:val="00632675"/>
    <w:rsid w:val="006329E7"/>
    <w:rsid w:val="0063439D"/>
    <w:rsid w:val="00634C81"/>
    <w:rsid w:val="00635C2B"/>
    <w:rsid w:val="006402FA"/>
    <w:rsid w:val="006404AF"/>
    <w:rsid w:val="006407FC"/>
    <w:rsid w:val="00640AE4"/>
    <w:rsid w:val="00640BA6"/>
    <w:rsid w:val="00640FF0"/>
    <w:rsid w:val="0064113E"/>
    <w:rsid w:val="00643A45"/>
    <w:rsid w:val="0064440D"/>
    <w:rsid w:val="00645994"/>
    <w:rsid w:val="0064608F"/>
    <w:rsid w:val="0064688B"/>
    <w:rsid w:val="0064770F"/>
    <w:rsid w:val="006478C3"/>
    <w:rsid w:val="00650061"/>
    <w:rsid w:val="00650BA3"/>
    <w:rsid w:val="00651903"/>
    <w:rsid w:val="0065331A"/>
    <w:rsid w:val="00653F33"/>
    <w:rsid w:val="0065407A"/>
    <w:rsid w:val="00654517"/>
    <w:rsid w:val="00654CB1"/>
    <w:rsid w:val="0065538B"/>
    <w:rsid w:val="00655FBB"/>
    <w:rsid w:val="00660130"/>
    <w:rsid w:val="00661508"/>
    <w:rsid w:val="00662241"/>
    <w:rsid w:val="00662286"/>
    <w:rsid w:val="00662FCE"/>
    <w:rsid w:val="00663B36"/>
    <w:rsid w:val="00665342"/>
    <w:rsid w:val="00665B97"/>
    <w:rsid w:val="00666079"/>
    <w:rsid w:val="00666FE5"/>
    <w:rsid w:val="00667691"/>
    <w:rsid w:val="00667B90"/>
    <w:rsid w:val="00667F98"/>
    <w:rsid w:val="0067015D"/>
    <w:rsid w:val="00671B91"/>
    <w:rsid w:val="0067312A"/>
    <w:rsid w:val="006758FA"/>
    <w:rsid w:val="0067601A"/>
    <w:rsid w:val="00676E11"/>
    <w:rsid w:val="0067721F"/>
    <w:rsid w:val="006776D4"/>
    <w:rsid w:val="00677828"/>
    <w:rsid w:val="006813C6"/>
    <w:rsid w:val="006819D7"/>
    <w:rsid w:val="00682788"/>
    <w:rsid w:val="0068317C"/>
    <w:rsid w:val="00684ADA"/>
    <w:rsid w:val="00685378"/>
    <w:rsid w:val="00685C81"/>
    <w:rsid w:val="0068642A"/>
    <w:rsid w:val="00686437"/>
    <w:rsid w:val="00686CBD"/>
    <w:rsid w:val="00687DCF"/>
    <w:rsid w:val="00687FBA"/>
    <w:rsid w:val="0069227D"/>
    <w:rsid w:val="006941CA"/>
    <w:rsid w:val="00695570"/>
    <w:rsid w:val="0069575E"/>
    <w:rsid w:val="00695DA0"/>
    <w:rsid w:val="00696996"/>
    <w:rsid w:val="006A0A07"/>
    <w:rsid w:val="006A0D75"/>
    <w:rsid w:val="006A2E24"/>
    <w:rsid w:val="006A3A02"/>
    <w:rsid w:val="006A571E"/>
    <w:rsid w:val="006A57EA"/>
    <w:rsid w:val="006A6135"/>
    <w:rsid w:val="006A6B04"/>
    <w:rsid w:val="006A6B95"/>
    <w:rsid w:val="006A750A"/>
    <w:rsid w:val="006A77C0"/>
    <w:rsid w:val="006A7954"/>
    <w:rsid w:val="006A7EBB"/>
    <w:rsid w:val="006B014E"/>
    <w:rsid w:val="006B06CA"/>
    <w:rsid w:val="006B0717"/>
    <w:rsid w:val="006B0BB5"/>
    <w:rsid w:val="006B0C19"/>
    <w:rsid w:val="006B101D"/>
    <w:rsid w:val="006B1D20"/>
    <w:rsid w:val="006B4AD6"/>
    <w:rsid w:val="006B4B3C"/>
    <w:rsid w:val="006C0481"/>
    <w:rsid w:val="006C14A0"/>
    <w:rsid w:val="006C1772"/>
    <w:rsid w:val="006C17CE"/>
    <w:rsid w:val="006C1FC4"/>
    <w:rsid w:val="006C2048"/>
    <w:rsid w:val="006C2173"/>
    <w:rsid w:val="006C240A"/>
    <w:rsid w:val="006C2475"/>
    <w:rsid w:val="006C2FE1"/>
    <w:rsid w:val="006C3EB1"/>
    <w:rsid w:val="006C5D13"/>
    <w:rsid w:val="006C5F24"/>
    <w:rsid w:val="006C60AC"/>
    <w:rsid w:val="006D0155"/>
    <w:rsid w:val="006D1071"/>
    <w:rsid w:val="006D11DF"/>
    <w:rsid w:val="006D314F"/>
    <w:rsid w:val="006D4D27"/>
    <w:rsid w:val="006D4FB0"/>
    <w:rsid w:val="006D58E6"/>
    <w:rsid w:val="006D5B25"/>
    <w:rsid w:val="006D62AD"/>
    <w:rsid w:val="006D7C07"/>
    <w:rsid w:val="006E0E47"/>
    <w:rsid w:val="006E13BA"/>
    <w:rsid w:val="006E1825"/>
    <w:rsid w:val="006E1914"/>
    <w:rsid w:val="006E33C7"/>
    <w:rsid w:val="006E3B58"/>
    <w:rsid w:val="006E3DE3"/>
    <w:rsid w:val="006E4B0B"/>
    <w:rsid w:val="006E5911"/>
    <w:rsid w:val="006E59FD"/>
    <w:rsid w:val="006E5B04"/>
    <w:rsid w:val="006E7B77"/>
    <w:rsid w:val="006F0917"/>
    <w:rsid w:val="006F0C64"/>
    <w:rsid w:val="006F1C31"/>
    <w:rsid w:val="006F1E8B"/>
    <w:rsid w:val="006F2E59"/>
    <w:rsid w:val="006F385A"/>
    <w:rsid w:val="006F410A"/>
    <w:rsid w:val="006F49E6"/>
    <w:rsid w:val="006F4FDF"/>
    <w:rsid w:val="006F551A"/>
    <w:rsid w:val="006F7189"/>
    <w:rsid w:val="007021D8"/>
    <w:rsid w:val="00702A9F"/>
    <w:rsid w:val="007032BB"/>
    <w:rsid w:val="00704004"/>
    <w:rsid w:val="007048D3"/>
    <w:rsid w:val="007069AC"/>
    <w:rsid w:val="00710904"/>
    <w:rsid w:val="007115B9"/>
    <w:rsid w:val="007123C7"/>
    <w:rsid w:val="007125BA"/>
    <w:rsid w:val="00712DB0"/>
    <w:rsid w:val="00712F5B"/>
    <w:rsid w:val="00712FC6"/>
    <w:rsid w:val="00714FA7"/>
    <w:rsid w:val="00715328"/>
    <w:rsid w:val="00715E9D"/>
    <w:rsid w:val="007164AB"/>
    <w:rsid w:val="007169C4"/>
    <w:rsid w:val="00716E29"/>
    <w:rsid w:val="0071706B"/>
    <w:rsid w:val="00717EE5"/>
    <w:rsid w:val="007212ED"/>
    <w:rsid w:val="00722317"/>
    <w:rsid w:val="007230FF"/>
    <w:rsid w:val="00724EF7"/>
    <w:rsid w:val="00725311"/>
    <w:rsid w:val="00725C2F"/>
    <w:rsid w:val="0072669A"/>
    <w:rsid w:val="0073058E"/>
    <w:rsid w:val="007309C0"/>
    <w:rsid w:val="00730F30"/>
    <w:rsid w:val="007321B4"/>
    <w:rsid w:val="00732F2E"/>
    <w:rsid w:val="007334C3"/>
    <w:rsid w:val="00733F7E"/>
    <w:rsid w:val="00734A3A"/>
    <w:rsid w:val="00735679"/>
    <w:rsid w:val="00740339"/>
    <w:rsid w:val="00742665"/>
    <w:rsid w:val="00742930"/>
    <w:rsid w:val="00743202"/>
    <w:rsid w:val="00743F77"/>
    <w:rsid w:val="0074546E"/>
    <w:rsid w:val="0074547A"/>
    <w:rsid w:val="00745868"/>
    <w:rsid w:val="0074649D"/>
    <w:rsid w:val="007533D9"/>
    <w:rsid w:val="0075353E"/>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540A"/>
    <w:rsid w:val="007655D8"/>
    <w:rsid w:val="00766235"/>
    <w:rsid w:val="00766289"/>
    <w:rsid w:val="0076776F"/>
    <w:rsid w:val="00767A88"/>
    <w:rsid w:val="00767C58"/>
    <w:rsid w:val="00767E21"/>
    <w:rsid w:val="00767E66"/>
    <w:rsid w:val="00770941"/>
    <w:rsid w:val="00770F1D"/>
    <w:rsid w:val="00771BF6"/>
    <w:rsid w:val="007727DA"/>
    <w:rsid w:val="00773344"/>
    <w:rsid w:val="0077409E"/>
    <w:rsid w:val="00774A53"/>
    <w:rsid w:val="00774C38"/>
    <w:rsid w:val="007776FD"/>
    <w:rsid w:val="0078071D"/>
    <w:rsid w:val="007811B6"/>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93C"/>
    <w:rsid w:val="00791112"/>
    <w:rsid w:val="00791594"/>
    <w:rsid w:val="0079192F"/>
    <w:rsid w:val="00791ED1"/>
    <w:rsid w:val="00791F89"/>
    <w:rsid w:val="00792658"/>
    <w:rsid w:val="007932ED"/>
    <w:rsid w:val="007940D7"/>
    <w:rsid w:val="00795AB6"/>
    <w:rsid w:val="00795B9A"/>
    <w:rsid w:val="00795BE1"/>
    <w:rsid w:val="007A0FF1"/>
    <w:rsid w:val="007A109A"/>
    <w:rsid w:val="007A1DC1"/>
    <w:rsid w:val="007A22E6"/>
    <w:rsid w:val="007A246D"/>
    <w:rsid w:val="007A2714"/>
    <w:rsid w:val="007A3193"/>
    <w:rsid w:val="007A3D70"/>
    <w:rsid w:val="007A41E0"/>
    <w:rsid w:val="007A5322"/>
    <w:rsid w:val="007A6CF2"/>
    <w:rsid w:val="007A7156"/>
    <w:rsid w:val="007A73CF"/>
    <w:rsid w:val="007A7617"/>
    <w:rsid w:val="007B1AEA"/>
    <w:rsid w:val="007B211B"/>
    <w:rsid w:val="007B2CB7"/>
    <w:rsid w:val="007B336D"/>
    <w:rsid w:val="007B4889"/>
    <w:rsid w:val="007B7303"/>
    <w:rsid w:val="007B7458"/>
    <w:rsid w:val="007B7C4A"/>
    <w:rsid w:val="007B7E90"/>
    <w:rsid w:val="007C115B"/>
    <w:rsid w:val="007C1984"/>
    <w:rsid w:val="007C35E2"/>
    <w:rsid w:val="007C4281"/>
    <w:rsid w:val="007C4C51"/>
    <w:rsid w:val="007C5027"/>
    <w:rsid w:val="007C5671"/>
    <w:rsid w:val="007C5E63"/>
    <w:rsid w:val="007C6E1E"/>
    <w:rsid w:val="007D0FE7"/>
    <w:rsid w:val="007D4B4F"/>
    <w:rsid w:val="007D5AC1"/>
    <w:rsid w:val="007D62DC"/>
    <w:rsid w:val="007D6A53"/>
    <w:rsid w:val="007D7BFA"/>
    <w:rsid w:val="007E281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800637"/>
    <w:rsid w:val="0080064B"/>
    <w:rsid w:val="008013C3"/>
    <w:rsid w:val="00803DC4"/>
    <w:rsid w:val="00804ED9"/>
    <w:rsid w:val="0080605A"/>
    <w:rsid w:val="0080629B"/>
    <w:rsid w:val="00806730"/>
    <w:rsid w:val="00807677"/>
    <w:rsid w:val="00807DA0"/>
    <w:rsid w:val="008103EA"/>
    <w:rsid w:val="00810598"/>
    <w:rsid w:val="00810AEE"/>
    <w:rsid w:val="00812A06"/>
    <w:rsid w:val="00812D5B"/>
    <w:rsid w:val="00813619"/>
    <w:rsid w:val="00813834"/>
    <w:rsid w:val="00814CD5"/>
    <w:rsid w:val="0081515D"/>
    <w:rsid w:val="0081591F"/>
    <w:rsid w:val="0081737B"/>
    <w:rsid w:val="00817449"/>
    <w:rsid w:val="008179E7"/>
    <w:rsid w:val="00820630"/>
    <w:rsid w:val="00820CC2"/>
    <w:rsid w:val="008224E6"/>
    <w:rsid w:val="008227A6"/>
    <w:rsid w:val="00824080"/>
    <w:rsid w:val="00824152"/>
    <w:rsid w:val="00825207"/>
    <w:rsid w:val="008259AD"/>
    <w:rsid w:val="00826711"/>
    <w:rsid w:val="00830A5F"/>
    <w:rsid w:val="008319F7"/>
    <w:rsid w:val="00834B97"/>
    <w:rsid w:val="008355B0"/>
    <w:rsid w:val="00836CC7"/>
    <w:rsid w:val="008374B8"/>
    <w:rsid w:val="00837A80"/>
    <w:rsid w:val="00840819"/>
    <w:rsid w:val="00840F95"/>
    <w:rsid w:val="00841618"/>
    <w:rsid w:val="00842B46"/>
    <w:rsid w:val="00842C6B"/>
    <w:rsid w:val="00843BD4"/>
    <w:rsid w:val="0084584D"/>
    <w:rsid w:val="008471B7"/>
    <w:rsid w:val="00850DDA"/>
    <w:rsid w:val="00850E66"/>
    <w:rsid w:val="0085183E"/>
    <w:rsid w:val="00851F1C"/>
    <w:rsid w:val="00852499"/>
    <w:rsid w:val="00852E45"/>
    <w:rsid w:val="00853050"/>
    <w:rsid w:val="0085332D"/>
    <w:rsid w:val="008545FE"/>
    <w:rsid w:val="00855019"/>
    <w:rsid w:val="00856F1E"/>
    <w:rsid w:val="00857600"/>
    <w:rsid w:val="00862D36"/>
    <w:rsid w:val="00863171"/>
    <w:rsid w:val="0086458A"/>
    <w:rsid w:val="008650FC"/>
    <w:rsid w:val="00865DA4"/>
    <w:rsid w:val="0086612E"/>
    <w:rsid w:val="0086676B"/>
    <w:rsid w:val="00872F12"/>
    <w:rsid w:val="00873799"/>
    <w:rsid w:val="00874CD1"/>
    <w:rsid w:val="00875A53"/>
    <w:rsid w:val="0087668A"/>
    <w:rsid w:val="00876BF1"/>
    <w:rsid w:val="008773C6"/>
    <w:rsid w:val="00877494"/>
    <w:rsid w:val="00877612"/>
    <w:rsid w:val="0087762C"/>
    <w:rsid w:val="00880666"/>
    <w:rsid w:val="0088218A"/>
    <w:rsid w:val="00884341"/>
    <w:rsid w:val="00884D26"/>
    <w:rsid w:val="00884E6D"/>
    <w:rsid w:val="008863D9"/>
    <w:rsid w:val="00887F82"/>
    <w:rsid w:val="008911A1"/>
    <w:rsid w:val="00891D3D"/>
    <w:rsid w:val="00891DC7"/>
    <w:rsid w:val="00892D78"/>
    <w:rsid w:val="00892EAF"/>
    <w:rsid w:val="008937F8"/>
    <w:rsid w:val="00893DD5"/>
    <w:rsid w:val="0089499A"/>
    <w:rsid w:val="00895331"/>
    <w:rsid w:val="0089606D"/>
    <w:rsid w:val="00896BAB"/>
    <w:rsid w:val="00896BFA"/>
    <w:rsid w:val="008975D1"/>
    <w:rsid w:val="008A0A4A"/>
    <w:rsid w:val="008A0FC1"/>
    <w:rsid w:val="008A21B3"/>
    <w:rsid w:val="008A25D3"/>
    <w:rsid w:val="008A285E"/>
    <w:rsid w:val="008A2B37"/>
    <w:rsid w:val="008A38F3"/>
    <w:rsid w:val="008A3D9C"/>
    <w:rsid w:val="008A5F2B"/>
    <w:rsid w:val="008A675E"/>
    <w:rsid w:val="008A778E"/>
    <w:rsid w:val="008B034E"/>
    <w:rsid w:val="008B0C7A"/>
    <w:rsid w:val="008B1F6A"/>
    <w:rsid w:val="008B317F"/>
    <w:rsid w:val="008B381B"/>
    <w:rsid w:val="008B4C84"/>
    <w:rsid w:val="008B590D"/>
    <w:rsid w:val="008B6917"/>
    <w:rsid w:val="008B7337"/>
    <w:rsid w:val="008C0AFC"/>
    <w:rsid w:val="008C285D"/>
    <w:rsid w:val="008C2ADE"/>
    <w:rsid w:val="008C30AE"/>
    <w:rsid w:val="008C315B"/>
    <w:rsid w:val="008C33C2"/>
    <w:rsid w:val="008C3721"/>
    <w:rsid w:val="008C4426"/>
    <w:rsid w:val="008C5A9F"/>
    <w:rsid w:val="008C5F5F"/>
    <w:rsid w:val="008C659D"/>
    <w:rsid w:val="008D0291"/>
    <w:rsid w:val="008D2904"/>
    <w:rsid w:val="008D3C99"/>
    <w:rsid w:val="008D3ECE"/>
    <w:rsid w:val="008D46CE"/>
    <w:rsid w:val="008E005A"/>
    <w:rsid w:val="008E0ED1"/>
    <w:rsid w:val="008E1075"/>
    <w:rsid w:val="008E18DD"/>
    <w:rsid w:val="008E2274"/>
    <w:rsid w:val="008E2363"/>
    <w:rsid w:val="008E2EDD"/>
    <w:rsid w:val="008E4462"/>
    <w:rsid w:val="008E6B18"/>
    <w:rsid w:val="008E7511"/>
    <w:rsid w:val="008E7EE9"/>
    <w:rsid w:val="008F1C56"/>
    <w:rsid w:val="008F1D32"/>
    <w:rsid w:val="008F29AD"/>
    <w:rsid w:val="008F37FD"/>
    <w:rsid w:val="008F4240"/>
    <w:rsid w:val="008F4E72"/>
    <w:rsid w:val="008F6020"/>
    <w:rsid w:val="008F6140"/>
    <w:rsid w:val="008F6333"/>
    <w:rsid w:val="008F7C8A"/>
    <w:rsid w:val="009002E0"/>
    <w:rsid w:val="00900A03"/>
    <w:rsid w:val="00900A13"/>
    <w:rsid w:val="00900E5E"/>
    <w:rsid w:val="00903151"/>
    <w:rsid w:val="00904951"/>
    <w:rsid w:val="0090604C"/>
    <w:rsid w:val="00907127"/>
    <w:rsid w:val="009077D2"/>
    <w:rsid w:val="00910214"/>
    <w:rsid w:val="0091086C"/>
    <w:rsid w:val="009111AB"/>
    <w:rsid w:val="0091187B"/>
    <w:rsid w:val="009133E6"/>
    <w:rsid w:val="00913B2C"/>
    <w:rsid w:val="00913F8E"/>
    <w:rsid w:val="00914261"/>
    <w:rsid w:val="009156D4"/>
    <w:rsid w:val="00915CD0"/>
    <w:rsid w:val="00915D99"/>
    <w:rsid w:val="0091658D"/>
    <w:rsid w:val="00916731"/>
    <w:rsid w:val="009177D2"/>
    <w:rsid w:val="00917D76"/>
    <w:rsid w:val="009203B0"/>
    <w:rsid w:val="00921E24"/>
    <w:rsid w:val="00922580"/>
    <w:rsid w:val="00923904"/>
    <w:rsid w:val="00924167"/>
    <w:rsid w:val="00924DF0"/>
    <w:rsid w:val="00927081"/>
    <w:rsid w:val="00927AA5"/>
    <w:rsid w:val="00931FE0"/>
    <w:rsid w:val="00932F45"/>
    <w:rsid w:val="00933126"/>
    <w:rsid w:val="00934C2C"/>
    <w:rsid w:val="009352E1"/>
    <w:rsid w:val="00936AFE"/>
    <w:rsid w:val="009410C1"/>
    <w:rsid w:val="009430B2"/>
    <w:rsid w:val="00943230"/>
    <w:rsid w:val="009435C8"/>
    <w:rsid w:val="00944093"/>
    <w:rsid w:val="00944882"/>
    <w:rsid w:val="00945965"/>
    <w:rsid w:val="00945F2D"/>
    <w:rsid w:val="00952904"/>
    <w:rsid w:val="00953299"/>
    <w:rsid w:val="009533EA"/>
    <w:rsid w:val="009544CC"/>
    <w:rsid w:val="009547EC"/>
    <w:rsid w:val="009550A5"/>
    <w:rsid w:val="00955290"/>
    <w:rsid w:val="00955B75"/>
    <w:rsid w:val="00955F0E"/>
    <w:rsid w:val="00956081"/>
    <w:rsid w:val="00956A92"/>
    <w:rsid w:val="0096160D"/>
    <w:rsid w:val="0096366C"/>
    <w:rsid w:val="0096622C"/>
    <w:rsid w:val="00966C59"/>
    <w:rsid w:val="009676F8"/>
    <w:rsid w:val="009679C2"/>
    <w:rsid w:val="009701D3"/>
    <w:rsid w:val="00970397"/>
    <w:rsid w:val="0097225F"/>
    <w:rsid w:val="0097597F"/>
    <w:rsid w:val="00976411"/>
    <w:rsid w:val="00976CEF"/>
    <w:rsid w:val="009772EB"/>
    <w:rsid w:val="009774CE"/>
    <w:rsid w:val="009774E9"/>
    <w:rsid w:val="009776A3"/>
    <w:rsid w:val="00977818"/>
    <w:rsid w:val="00977BAB"/>
    <w:rsid w:val="00977CEF"/>
    <w:rsid w:val="00980AA9"/>
    <w:rsid w:val="00980BF6"/>
    <w:rsid w:val="00980ED4"/>
    <w:rsid w:val="0098119F"/>
    <w:rsid w:val="009819B7"/>
    <w:rsid w:val="00981CF9"/>
    <w:rsid w:val="009841F0"/>
    <w:rsid w:val="00984DB5"/>
    <w:rsid w:val="0098611E"/>
    <w:rsid w:val="009870E1"/>
    <w:rsid w:val="00987D82"/>
    <w:rsid w:val="00987E61"/>
    <w:rsid w:val="00990596"/>
    <w:rsid w:val="00990867"/>
    <w:rsid w:val="00991F86"/>
    <w:rsid w:val="009933E2"/>
    <w:rsid w:val="009945F0"/>
    <w:rsid w:val="00995764"/>
    <w:rsid w:val="00995A7C"/>
    <w:rsid w:val="009962DF"/>
    <w:rsid w:val="00996B36"/>
    <w:rsid w:val="00996CCF"/>
    <w:rsid w:val="00997189"/>
    <w:rsid w:val="009A0F15"/>
    <w:rsid w:val="009A1FDC"/>
    <w:rsid w:val="009A293D"/>
    <w:rsid w:val="009A29A9"/>
    <w:rsid w:val="009A2B05"/>
    <w:rsid w:val="009A2F0E"/>
    <w:rsid w:val="009A35F1"/>
    <w:rsid w:val="009A6801"/>
    <w:rsid w:val="009A775B"/>
    <w:rsid w:val="009B03A9"/>
    <w:rsid w:val="009B06DB"/>
    <w:rsid w:val="009B0F1D"/>
    <w:rsid w:val="009B17B0"/>
    <w:rsid w:val="009B1C54"/>
    <w:rsid w:val="009B1EA2"/>
    <w:rsid w:val="009B23D6"/>
    <w:rsid w:val="009B293E"/>
    <w:rsid w:val="009B2ABD"/>
    <w:rsid w:val="009B44A1"/>
    <w:rsid w:val="009B496D"/>
    <w:rsid w:val="009B58A9"/>
    <w:rsid w:val="009B650A"/>
    <w:rsid w:val="009C107C"/>
    <w:rsid w:val="009C2060"/>
    <w:rsid w:val="009C3C78"/>
    <w:rsid w:val="009C48AB"/>
    <w:rsid w:val="009C550B"/>
    <w:rsid w:val="009C7480"/>
    <w:rsid w:val="009C74C7"/>
    <w:rsid w:val="009D0D2C"/>
    <w:rsid w:val="009D0D57"/>
    <w:rsid w:val="009D161A"/>
    <w:rsid w:val="009D1B3D"/>
    <w:rsid w:val="009D2AA2"/>
    <w:rsid w:val="009D302B"/>
    <w:rsid w:val="009D3546"/>
    <w:rsid w:val="009D3917"/>
    <w:rsid w:val="009D462F"/>
    <w:rsid w:val="009D466C"/>
    <w:rsid w:val="009D7E18"/>
    <w:rsid w:val="009E0162"/>
    <w:rsid w:val="009E25C2"/>
    <w:rsid w:val="009E2F0C"/>
    <w:rsid w:val="009E31BE"/>
    <w:rsid w:val="009E36A8"/>
    <w:rsid w:val="009E41DC"/>
    <w:rsid w:val="009E5CE7"/>
    <w:rsid w:val="009E5DF4"/>
    <w:rsid w:val="009E6064"/>
    <w:rsid w:val="009E75B5"/>
    <w:rsid w:val="009F0C3A"/>
    <w:rsid w:val="009F143F"/>
    <w:rsid w:val="009F152E"/>
    <w:rsid w:val="009F1A1B"/>
    <w:rsid w:val="009F1FCB"/>
    <w:rsid w:val="009F2894"/>
    <w:rsid w:val="009F28AE"/>
    <w:rsid w:val="009F3277"/>
    <w:rsid w:val="009F3F3B"/>
    <w:rsid w:val="009F5C4A"/>
    <w:rsid w:val="009F649D"/>
    <w:rsid w:val="009F6F3E"/>
    <w:rsid w:val="009F7435"/>
    <w:rsid w:val="009F761F"/>
    <w:rsid w:val="009F7A8C"/>
    <w:rsid w:val="009F7C13"/>
    <w:rsid w:val="00A01397"/>
    <w:rsid w:val="00A02067"/>
    <w:rsid w:val="00A0299A"/>
    <w:rsid w:val="00A03A62"/>
    <w:rsid w:val="00A04464"/>
    <w:rsid w:val="00A07772"/>
    <w:rsid w:val="00A07F01"/>
    <w:rsid w:val="00A104FF"/>
    <w:rsid w:val="00A106F7"/>
    <w:rsid w:val="00A11BF7"/>
    <w:rsid w:val="00A12F53"/>
    <w:rsid w:val="00A13062"/>
    <w:rsid w:val="00A13C9E"/>
    <w:rsid w:val="00A1407A"/>
    <w:rsid w:val="00A1660C"/>
    <w:rsid w:val="00A1685E"/>
    <w:rsid w:val="00A178D0"/>
    <w:rsid w:val="00A24374"/>
    <w:rsid w:val="00A24C2D"/>
    <w:rsid w:val="00A24E75"/>
    <w:rsid w:val="00A27A2C"/>
    <w:rsid w:val="00A302B3"/>
    <w:rsid w:val="00A306FA"/>
    <w:rsid w:val="00A313E5"/>
    <w:rsid w:val="00A318DD"/>
    <w:rsid w:val="00A31EC4"/>
    <w:rsid w:val="00A321D3"/>
    <w:rsid w:val="00A32927"/>
    <w:rsid w:val="00A32DA4"/>
    <w:rsid w:val="00A334FE"/>
    <w:rsid w:val="00A339A5"/>
    <w:rsid w:val="00A33A97"/>
    <w:rsid w:val="00A33F2C"/>
    <w:rsid w:val="00A34346"/>
    <w:rsid w:val="00A34CCB"/>
    <w:rsid w:val="00A35C66"/>
    <w:rsid w:val="00A3780F"/>
    <w:rsid w:val="00A37E3F"/>
    <w:rsid w:val="00A4009E"/>
    <w:rsid w:val="00A40346"/>
    <w:rsid w:val="00A41A8D"/>
    <w:rsid w:val="00A42CA4"/>
    <w:rsid w:val="00A4314D"/>
    <w:rsid w:val="00A44BEA"/>
    <w:rsid w:val="00A45132"/>
    <w:rsid w:val="00A46710"/>
    <w:rsid w:val="00A47C78"/>
    <w:rsid w:val="00A5007F"/>
    <w:rsid w:val="00A51424"/>
    <w:rsid w:val="00A51C1C"/>
    <w:rsid w:val="00A52035"/>
    <w:rsid w:val="00A52122"/>
    <w:rsid w:val="00A522AE"/>
    <w:rsid w:val="00A52E98"/>
    <w:rsid w:val="00A5364D"/>
    <w:rsid w:val="00A5459F"/>
    <w:rsid w:val="00A54B2D"/>
    <w:rsid w:val="00A55B66"/>
    <w:rsid w:val="00A56572"/>
    <w:rsid w:val="00A60442"/>
    <w:rsid w:val="00A604FF"/>
    <w:rsid w:val="00A612E4"/>
    <w:rsid w:val="00A61AC0"/>
    <w:rsid w:val="00A62763"/>
    <w:rsid w:val="00A6302A"/>
    <w:rsid w:val="00A6349C"/>
    <w:rsid w:val="00A63861"/>
    <w:rsid w:val="00A64429"/>
    <w:rsid w:val="00A6455A"/>
    <w:rsid w:val="00A65830"/>
    <w:rsid w:val="00A660CF"/>
    <w:rsid w:val="00A662CA"/>
    <w:rsid w:val="00A66409"/>
    <w:rsid w:val="00A7270F"/>
    <w:rsid w:val="00A727A4"/>
    <w:rsid w:val="00A73990"/>
    <w:rsid w:val="00A74469"/>
    <w:rsid w:val="00A764CF"/>
    <w:rsid w:val="00A776C7"/>
    <w:rsid w:val="00A77920"/>
    <w:rsid w:val="00A803F2"/>
    <w:rsid w:val="00A8105F"/>
    <w:rsid w:val="00A82DDD"/>
    <w:rsid w:val="00A84352"/>
    <w:rsid w:val="00A84F99"/>
    <w:rsid w:val="00A84FB6"/>
    <w:rsid w:val="00A86328"/>
    <w:rsid w:val="00A865C8"/>
    <w:rsid w:val="00A868BC"/>
    <w:rsid w:val="00A86F8F"/>
    <w:rsid w:val="00A90695"/>
    <w:rsid w:val="00A90D66"/>
    <w:rsid w:val="00A91436"/>
    <w:rsid w:val="00A91EDF"/>
    <w:rsid w:val="00A9205D"/>
    <w:rsid w:val="00A923A1"/>
    <w:rsid w:val="00A92576"/>
    <w:rsid w:val="00A9286B"/>
    <w:rsid w:val="00A93FE7"/>
    <w:rsid w:val="00A94099"/>
    <w:rsid w:val="00A94F0A"/>
    <w:rsid w:val="00A95C6E"/>
    <w:rsid w:val="00A95E18"/>
    <w:rsid w:val="00A96319"/>
    <w:rsid w:val="00A96335"/>
    <w:rsid w:val="00A96555"/>
    <w:rsid w:val="00AA1108"/>
    <w:rsid w:val="00AA27B4"/>
    <w:rsid w:val="00AA2A02"/>
    <w:rsid w:val="00AA2B64"/>
    <w:rsid w:val="00AA3782"/>
    <w:rsid w:val="00AA5C3E"/>
    <w:rsid w:val="00AA5C65"/>
    <w:rsid w:val="00AA6BF3"/>
    <w:rsid w:val="00AA727D"/>
    <w:rsid w:val="00AA7C27"/>
    <w:rsid w:val="00AB1972"/>
    <w:rsid w:val="00AB2A0E"/>
    <w:rsid w:val="00AB3997"/>
    <w:rsid w:val="00AB58F9"/>
    <w:rsid w:val="00AB5C94"/>
    <w:rsid w:val="00AB72EA"/>
    <w:rsid w:val="00AB755E"/>
    <w:rsid w:val="00AB7DE4"/>
    <w:rsid w:val="00AC03F9"/>
    <w:rsid w:val="00AC15BB"/>
    <w:rsid w:val="00AC1CAB"/>
    <w:rsid w:val="00AC1F16"/>
    <w:rsid w:val="00AC2905"/>
    <w:rsid w:val="00AC37B8"/>
    <w:rsid w:val="00AC384E"/>
    <w:rsid w:val="00AC4DB3"/>
    <w:rsid w:val="00AC552D"/>
    <w:rsid w:val="00AC7124"/>
    <w:rsid w:val="00AD1321"/>
    <w:rsid w:val="00AD1852"/>
    <w:rsid w:val="00AD18D6"/>
    <w:rsid w:val="00AD1C8F"/>
    <w:rsid w:val="00AD1DE4"/>
    <w:rsid w:val="00AD355C"/>
    <w:rsid w:val="00AD3988"/>
    <w:rsid w:val="00AD3B14"/>
    <w:rsid w:val="00AD4474"/>
    <w:rsid w:val="00AD4BEA"/>
    <w:rsid w:val="00AD7DE9"/>
    <w:rsid w:val="00AE057C"/>
    <w:rsid w:val="00AE0D56"/>
    <w:rsid w:val="00AE12C0"/>
    <w:rsid w:val="00AE1FF1"/>
    <w:rsid w:val="00AE2CD8"/>
    <w:rsid w:val="00AE2E55"/>
    <w:rsid w:val="00AE3031"/>
    <w:rsid w:val="00AE3A35"/>
    <w:rsid w:val="00AE4849"/>
    <w:rsid w:val="00AE4CCB"/>
    <w:rsid w:val="00AE5335"/>
    <w:rsid w:val="00AE6994"/>
    <w:rsid w:val="00AE6DF3"/>
    <w:rsid w:val="00AE72DB"/>
    <w:rsid w:val="00AE730D"/>
    <w:rsid w:val="00AE7326"/>
    <w:rsid w:val="00AF050F"/>
    <w:rsid w:val="00AF08DE"/>
    <w:rsid w:val="00AF1FAA"/>
    <w:rsid w:val="00AF3748"/>
    <w:rsid w:val="00AF4120"/>
    <w:rsid w:val="00AF4202"/>
    <w:rsid w:val="00AF44A2"/>
    <w:rsid w:val="00AF5243"/>
    <w:rsid w:val="00B003D7"/>
    <w:rsid w:val="00B0064B"/>
    <w:rsid w:val="00B01224"/>
    <w:rsid w:val="00B01F4E"/>
    <w:rsid w:val="00B025A1"/>
    <w:rsid w:val="00B02AC8"/>
    <w:rsid w:val="00B02E1E"/>
    <w:rsid w:val="00B03943"/>
    <w:rsid w:val="00B03AE4"/>
    <w:rsid w:val="00B040A1"/>
    <w:rsid w:val="00B0421D"/>
    <w:rsid w:val="00B058A5"/>
    <w:rsid w:val="00B05EB4"/>
    <w:rsid w:val="00B12225"/>
    <w:rsid w:val="00B129D0"/>
    <w:rsid w:val="00B12C3D"/>
    <w:rsid w:val="00B13E3F"/>
    <w:rsid w:val="00B14548"/>
    <w:rsid w:val="00B150A7"/>
    <w:rsid w:val="00B15D42"/>
    <w:rsid w:val="00B16935"/>
    <w:rsid w:val="00B16B5D"/>
    <w:rsid w:val="00B23C21"/>
    <w:rsid w:val="00B23EDC"/>
    <w:rsid w:val="00B243F0"/>
    <w:rsid w:val="00B24975"/>
    <w:rsid w:val="00B24DE4"/>
    <w:rsid w:val="00B252F7"/>
    <w:rsid w:val="00B26232"/>
    <w:rsid w:val="00B27BE3"/>
    <w:rsid w:val="00B27E77"/>
    <w:rsid w:val="00B31EAB"/>
    <w:rsid w:val="00B35331"/>
    <w:rsid w:val="00B35354"/>
    <w:rsid w:val="00B37699"/>
    <w:rsid w:val="00B377F6"/>
    <w:rsid w:val="00B37979"/>
    <w:rsid w:val="00B404AC"/>
    <w:rsid w:val="00B40727"/>
    <w:rsid w:val="00B41104"/>
    <w:rsid w:val="00B41A05"/>
    <w:rsid w:val="00B42F70"/>
    <w:rsid w:val="00B43A50"/>
    <w:rsid w:val="00B44276"/>
    <w:rsid w:val="00B44D02"/>
    <w:rsid w:val="00B45018"/>
    <w:rsid w:val="00B46B5C"/>
    <w:rsid w:val="00B4766A"/>
    <w:rsid w:val="00B50532"/>
    <w:rsid w:val="00B50B15"/>
    <w:rsid w:val="00B51DD2"/>
    <w:rsid w:val="00B51FE3"/>
    <w:rsid w:val="00B52205"/>
    <w:rsid w:val="00B5289C"/>
    <w:rsid w:val="00B52B42"/>
    <w:rsid w:val="00B53CF8"/>
    <w:rsid w:val="00B5443A"/>
    <w:rsid w:val="00B54DC1"/>
    <w:rsid w:val="00B5545D"/>
    <w:rsid w:val="00B5573E"/>
    <w:rsid w:val="00B559E5"/>
    <w:rsid w:val="00B55BFB"/>
    <w:rsid w:val="00B5655E"/>
    <w:rsid w:val="00B56BFF"/>
    <w:rsid w:val="00B570C0"/>
    <w:rsid w:val="00B61039"/>
    <w:rsid w:val="00B61BB4"/>
    <w:rsid w:val="00B62881"/>
    <w:rsid w:val="00B62BA0"/>
    <w:rsid w:val="00B639F9"/>
    <w:rsid w:val="00B63BBF"/>
    <w:rsid w:val="00B63D4B"/>
    <w:rsid w:val="00B64BB8"/>
    <w:rsid w:val="00B6633E"/>
    <w:rsid w:val="00B67798"/>
    <w:rsid w:val="00B70686"/>
    <w:rsid w:val="00B70F53"/>
    <w:rsid w:val="00B7156D"/>
    <w:rsid w:val="00B71639"/>
    <w:rsid w:val="00B7311D"/>
    <w:rsid w:val="00B73BD3"/>
    <w:rsid w:val="00B753B5"/>
    <w:rsid w:val="00B77E7E"/>
    <w:rsid w:val="00B77F05"/>
    <w:rsid w:val="00B8012C"/>
    <w:rsid w:val="00B80BF7"/>
    <w:rsid w:val="00B81D56"/>
    <w:rsid w:val="00B82048"/>
    <w:rsid w:val="00B828DB"/>
    <w:rsid w:val="00B8314E"/>
    <w:rsid w:val="00B83F58"/>
    <w:rsid w:val="00B8501A"/>
    <w:rsid w:val="00B85C8A"/>
    <w:rsid w:val="00B85EE0"/>
    <w:rsid w:val="00B868F0"/>
    <w:rsid w:val="00B869E4"/>
    <w:rsid w:val="00B90947"/>
    <w:rsid w:val="00B9099F"/>
    <w:rsid w:val="00B91DBE"/>
    <w:rsid w:val="00B9324B"/>
    <w:rsid w:val="00B94F08"/>
    <w:rsid w:val="00B94FBC"/>
    <w:rsid w:val="00B9535D"/>
    <w:rsid w:val="00B95A66"/>
    <w:rsid w:val="00B95AA2"/>
    <w:rsid w:val="00B95B62"/>
    <w:rsid w:val="00B95C52"/>
    <w:rsid w:val="00B96025"/>
    <w:rsid w:val="00B9765C"/>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C05A5"/>
    <w:rsid w:val="00BC21E1"/>
    <w:rsid w:val="00BC320D"/>
    <w:rsid w:val="00BC4161"/>
    <w:rsid w:val="00BC55AE"/>
    <w:rsid w:val="00BC71D8"/>
    <w:rsid w:val="00BD0394"/>
    <w:rsid w:val="00BD1B05"/>
    <w:rsid w:val="00BD28BC"/>
    <w:rsid w:val="00BD30C7"/>
    <w:rsid w:val="00BD3874"/>
    <w:rsid w:val="00BD7072"/>
    <w:rsid w:val="00BD7DD0"/>
    <w:rsid w:val="00BE03DC"/>
    <w:rsid w:val="00BE138C"/>
    <w:rsid w:val="00BE1DA0"/>
    <w:rsid w:val="00BE230E"/>
    <w:rsid w:val="00BE2C95"/>
    <w:rsid w:val="00BE6193"/>
    <w:rsid w:val="00BE73A0"/>
    <w:rsid w:val="00BE746D"/>
    <w:rsid w:val="00BE79B7"/>
    <w:rsid w:val="00BF02B8"/>
    <w:rsid w:val="00BF03DC"/>
    <w:rsid w:val="00BF0FCB"/>
    <w:rsid w:val="00BF2081"/>
    <w:rsid w:val="00BF345A"/>
    <w:rsid w:val="00BF4CC6"/>
    <w:rsid w:val="00BF5A85"/>
    <w:rsid w:val="00BF6796"/>
    <w:rsid w:val="00BF718A"/>
    <w:rsid w:val="00BF7B74"/>
    <w:rsid w:val="00C00B46"/>
    <w:rsid w:val="00C01291"/>
    <w:rsid w:val="00C01B87"/>
    <w:rsid w:val="00C01F24"/>
    <w:rsid w:val="00C02428"/>
    <w:rsid w:val="00C030D7"/>
    <w:rsid w:val="00C034CE"/>
    <w:rsid w:val="00C0421A"/>
    <w:rsid w:val="00C04B4E"/>
    <w:rsid w:val="00C05FF9"/>
    <w:rsid w:val="00C0617E"/>
    <w:rsid w:val="00C062FC"/>
    <w:rsid w:val="00C06D1D"/>
    <w:rsid w:val="00C0756E"/>
    <w:rsid w:val="00C105FF"/>
    <w:rsid w:val="00C1061D"/>
    <w:rsid w:val="00C10797"/>
    <w:rsid w:val="00C10C29"/>
    <w:rsid w:val="00C14A17"/>
    <w:rsid w:val="00C14D53"/>
    <w:rsid w:val="00C15B2F"/>
    <w:rsid w:val="00C15D66"/>
    <w:rsid w:val="00C16188"/>
    <w:rsid w:val="00C16AEC"/>
    <w:rsid w:val="00C17984"/>
    <w:rsid w:val="00C20161"/>
    <w:rsid w:val="00C2034A"/>
    <w:rsid w:val="00C21451"/>
    <w:rsid w:val="00C24D7D"/>
    <w:rsid w:val="00C24DA1"/>
    <w:rsid w:val="00C27070"/>
    <w:rsid w:val="00C270E9"/>
    <w:rsid w:val="00C273E3"/>
    <w:rsid w:val="00C27C3D"/>
    <w:rsid w:val="00C27E38"/>
    <w:rsid w:val="00C3036A"/>
    <w:rsid w:val="00C3036C"/>
    <w:rsid w:val="00C3096D"/>
    <w:rsid w:val="00C3233C"/>
    <w:rsid w:val="00C33065"/>
    <w:rsid w:val="00C33BD2"/>
    <w:rsid w:val="00C34B53"/>
    <w:rsid w:val="00C35037"/>
    <w:rsid w:val="00C37A93"/>
    <w:rsid w:val="00C412C3"/>
    <w:rsid w:val="00C41873"/>
    <w:rsid w:val="00C418E8"/>
    <w:rsid w:val="00C42308"/>
    <w:rsid w:val="00C446D7"/>
    <w:rsid w:val="00C51587"/>
    <w:rsid w:val="00C5272D"/>
    <w:rsid w:val="00C52A47"/>
    <w:rsid w:val="00C5325C"/>
    <w:rsid w:val="00C5342B"/>
    <w:rsid w:val="00C53434"/>
    <w:rsid w:val="00C540B5"/>
    <w:rsid w:val="00C54A4F"/>
    <w:rsid w:val="00C54AEC"/>
    <w:rsid w:val="00C54DAD"/>
    <w:rsid w:val="00C54E91"/>
    <w:rsid w:val="00C55813"/>
    <w:rsid w:val="00C558FE"/>
    <w:rsid w:val="00C57B25"/>
    <w:rsid w:val="00C60CAE"/>
    <w:rsid w:val="00C612FA"/>
    <w:rsid w:val="00C62AAE"/>
    <w:rsid w:val="00C63A08"/>
    <w:rsid w:val="00C64C4F"/>
    <w:rsid w:val="00C65985"/>
    <w:rsid w:val="00C67808"/>
    <w:rsid w:val="00C71100"/>
    <w:rsid w:val="00C722F2"/>
    <w:rsid w:val="00C73EC4"/>
    <w:rsid w:val="00C74360"/>
    <w:rsid w:val="00C75570"/>
    <w:rsid w:val="00C75FE8"/>
    <w:rsid w:val="00C7648D"/>
    <w:rsid w:val="00C76957"/>
    <w:rsid w:val="00C76C19"/>
    <w:rsid w:val="00C76DCB"/>
    <w:rsid w:val="00C7793A"/>
    <w:rsid w:val="00C802FA"/>
    <w:rsid w:val="00C80C04"/>
    <w:rsid w:val="00C80E18"/>
    <w:rsid w:val="00C8111F"/>
    <w:rsid w:val="00C81147"/>
    <w:rsid w:val="00C814CE"/>
    <w:rsid w:val="00C81770"/>
    <w:rsid w:val="00C826DB"/>
    <w:rsid w:val="00C83876"/>
    <w:rsid w:val="00C85A9D"/>
    <w:rsid w:val="00C8678E"/>
    <w:rsid w:val="00C875B4"/>
    <w:rsid w:val="00C90163"/>
    <w:rsid w:val="00C903FF"/>
    <w:rsid w:val="00C90824"/>
    <w:rsid w:val="00C912D9"/>
    <w:rsid w:val="00C968C3"/>
    <w:rsid w:val="00C970DC"/>
    <w:rsid w:val="00C97103"/>
    <w:rsid w:val="00C97E18"/>
    <w:rsid w:val="00CA09D3"/>
    <w:rsid w:val="00CA12FF"/>
    <w:rsid w:val="00CA1788"/>
    <w:rsid w:val="00CA1E69"/>
    <w:rsid w:val="00CA2A8B"/>
    <w:rsid w:val="00CA2C7A"/>
    <w:rsid w:val="00CA2DFD"/>
    <w:rsid w:val="00CA3D6F"/>
    <w:rsid w:val="00CA3DAE"/>
    <w:rsid w:val="00CA3E42"/>
    <w:rsid w:val="00CA5307"/>
    <w:rsid w:val="00CA5C9B"/>
    <w:rsid w:val="00CA6209"/>
    <w:rsid w:val="00CA7347"/>
    <w:rsid w:val="00CB06C6"/>
    <w:rsid w:val="00CB112F"/>
    <w:rsid w:val="00CB139F"/>
    <w:rsid w:val="00CB14F6"/>
    <w:rsid w:val="00CB28EA"/>
    <w:rsid w:val="00CB6CF9"/>
    <w:rsid w:val="00CB6DD9"/>
    <w:rsid w:val="00CB7B20"/>
    <w:rsid w:val="00CB7C62"/>
    <w:rsid w:val="00CC0CB4"/>
    <w:rsid w:val="00CC200D"/>
    <w:rsid w:val="00CC3CEF"/>
    <w:rsid w:val="00CC4CA8"/>
    <w:rsid w:val="00CC4CD6"/>
    <w:rsid w:val="00CC4DFE"/>
    <w:rsid w:val="00CC5284"/>
    <w:rsid w:val="00CC5EAF"/>
    <w:rsid w:val="00CC64DA"/>
    <w:rsid w:val="00CC6A79"/>
    <w:rsid w:val="00CC6F21"/>
    <w:rsid w:val="00CC6FEB"/>
    <w:rsid w:val="00CC7F5B"/>
    <w:rsid w:val="00CD0DDF"/>
    <w:rsid w:val="00CD1906"/>
    <w:rsid w:val="00CD2AB4"/>
    <w:rsid w:val="00CD336E"/>
    <w:rsid w:val="00CD381A"/>
    <w:rsid w:val="00CD5B89"/>
    <w:rsid w:val="00CD5BE2"/>
    <w:rsid w:val="00CD6A30"/>
    <w:rsid w:val="00CD6C68"/>
    <w:rsid w:val="00CD7FEA"/>
    <w:rsid w:val="00CE4474"/>
    <w:rsid w:val="00CE5278"/>
    <w:rsid w:val="00CE7379"/>
    <w:rsid w:val="00CF0EDF"/>
    <w:rsid w:val="00CF12B7"/>
    <w:rsid w:val="00CF1AA9"/>
    <w:rsid w:val="00CF3694"/>
    <w:rsid w:val="00CF3904"/>
    <w:rsid w:val="00CF4B90"/>
    <w:rsid w:val="00CF52A2"/>
    <w:rsid w:val="00CF7148"/>
    <w:rsid w:val="00CF74C5"/>
    <w:rsid w:val="00D01B04"/>
    <w:rsid w:val="00D032DC"/>
    <w:rsid w:val="00D03817"/>
    <w:rsid w:val="00D03B05"/>
    <w:rsid w:val="00D053F4"/>
    <w:rsid w:val="00D06EE4"/>
    <w:rsid w:val="00D07140"/>
    <w:rsid w:val="00D075DB"/>
    <w:rsid w:val="00D07939"/>
    <w:rsid w:val="00D10683"/>
    <w:rsid w:val="00D1116E"/>
    <w:rsid w:val="00D11527"/>
    <w:rsid w:val="00D11FDB"/>
    <w:rsid w:val="00D13116"/>
    <w:rsid w:val="00D139FA"/>
    <w:rsid w:val="00D145F2"/>
    <w:rsid w:val="00D14905"/>
    <w:rsid w:val="00D14C2D"/>
    <w:rsid w:val="00D14C9F"/>
    <w:rsid w:val="00D14DEC"/>
    <w:rsid w:val="00D156D6"/>
    <w:rsid w:val="00D15975"/>
    <w:rsid w:val="00D1679B"/>
    <w:rsid w:val="00D16B82"/>
    <w:rsid w:val="00D16BD0"/>
    <w:rsid w:val="00D171AB"/>
    <w:rsid w:val="00D176FD"/>
    <w:rsid w:val="00D213B6"/>
    <w:rsid w:val="00D213E7"/>
    <w:rsid w:val="00D23A2D"/>
    <w:rsid w:val="00D25C7F"/>
    <w:rsid w:val="00D25E40"/>
    <w:rsid w:val="00D26464"/>
    <w:rsid w:val="00D26737"/>
    <w:rsid w:val="00D26F79"/>
    <w:rsid w:val="00D276EB"/>
    <w:rsid w:val="00D27D04"/>
    <w:rsid w:val="00D31606"/>
    <w:rsid w:val="00D31C40"/>
    <w:rsid w:val="00D32C97"/>
    <w:rsid w:val="00D33E2E"/>
    <w:rsid w:val="00D34174"/>
    <w:rsid w:val="00D3452E"/>
    <w:rsid w:val="00D34596"/>
    <w:rsid w:val="00D34866"/>
    <w:rsid w:val="00D36541"/>
    <w:rsid w:val="00D368B4"/>
    <w:rsid w:val="00D37333"/>
    <w:rsid w:val="00D3778F"/>
    <w:rsid w:val="00D37984"/>
    <w:rsid w:val="00D37D86"/>
    <w:rsid w:val="00D400B7"/>
    <w:rsid w:val="00D40CD8"/>
    <w:rsid w:val="00D40F34"/>
    <w:rsid w:val="00D42217"/>
    <w:rsid w:val="00D42366"/>
    <w:rsid w:val="00D42704"/>
    <w:rsid w:val="00D430FC"/>
    <w:rsid w:val="00D438E1"/>
    <w:rsid w:val="00D43B8D"/>
    <w:rsid w:val="00D445C8"/>
    <w:rsid w:val="00D44E36"/>
    <w:rsid w:val="00D44E79"/>
    <w:rsid w:val="00D4614A"/>
    <w:rsid w:val="00D46EB2"/>
    <w:rsid w:val="00D47084"/>
    <w:rsid w:val="00D474C1"/>
    <w:rsid w:val="00D500B1"/>
    <w:rsid w:val="00D51C08"/>
    <w:rsid w:val="00D523C6"/>
    <w:rsid w:val="00D524E3"/>
    <w:rsid w:val="00D5344D"/>
    <w:rsid w:val="00D54E02"/>
    <w:rsid w:val="00D5596F"/>
    <w:rsid w:val="00D55BCB"/>
    <w:rsid w:val="00D5618B"/>
    <w:rsid w:val="00D56CCB"/>
    <w:rsid w:val="00D56DF2"/>
    <w:rsid w:val="00D57C5F"/>
    <w:rsid w:val="00D60341"/>
    <w:rsid w:val="00D614BA"/>
    <w:rsid w:val="00D62D2C"/>
    <w:rsid w:val="00D64759"/>
    <w:rsid w:val="00D655C4"/>
    <w:rsid w:val="00D66293"/>
    <w:rsid w:val="00D670F7"/>
    <w:rsid w:val="00D675A7"/>
    <w:rsid w:val="00D70CE5"/>
    <w:rsid w:val="00D70F74"/>
    <w:rsid w:val="00D7102E"/>
    <w:rsid w:val="00D72B83"/>
    <w:rsid w:val="00D731AC"/>
    <w:rsid w:val="00D74DA9"/>
    <w:rsid w:val="00D74F9A"/>
    <w:rsid w:val="00D752B5"/>
    <w:rsid w:val="00D754AF"/>
    <w:rsid w:val="00D75AFD"/>
    <w:rsid w:val="00D76B6F"/>
    <w:rsid w:val="00D76C3F"/>
    <w:rsid w:val="00D777CB"/>
    <w:rsid w:val="00D804AB"/>
    <w:rsid w:val="00D81178"/>
    <w:rsid w:val="00D815A0"/>
    <w:rsid w:val="00D818D3"/>
    <w:rsid w:val="00D81CC3"/>
    <w:rsid w:val="00D824EC"/>
    <w:rsid w:val="00D82ED2"/>
    <w:rsid w:val="00D83375"/>
    <w:rsid w:val="00D83504"/>
    <w:rsid w:val="00D83850"/>
    <w:rsid w:val="00D84E95"/>
    <w:rsid w:val="00D85EA0"/>
    <w:rsid w:val="00D86854"/>
    <w:rsid w:val="00D86DD0"/>
    <w:rsid w:val="00D87A91"/>
    <w:rsid w:val="00D87F67"/>
    <w:rsid w:val="00D87FD3"/>
    <w:rsid w:val="00D909D1"/>
    <w:rsid w:val="00D91899"/>
    <w:rsid w:val="00D92677"/>
    <w:rsid w:val="00D9319D"/>
    <w:rsid w:val="00D937BB"/>
    <w:rsid w:val="00D93E96"/>
    <w:rsid w:val="00D94FDF"/>
    <w:rsid w:val="00D95072"/>
    <w:rsid w:val="00DA12BE"/>
    <w:rsid w:val="00DA1B17"/>
    <w:rsid w:val="00DA1D05"/>
    <w:rsid w:val="00DA1FF3"/>
    <w:rsid w:val="00DA2791"/>
    <w:rsid w:val="00DA279D"/>
    <w:rsid w:val="00DA6320"/>
    <w:rsid w:val="00DA670D"/>
    <w:rsid w:val="00DA7E07"/>
    <w:rsid w:val="00DB0112"/>
    <w:rsid w:val="00DB0148"/>
    <w:rsid w:val="00DB0FBC"/>
    <w:rsid w:val="00DB2EE7"/>
    <w:rsid w:val="00DB3D1A"/>
    <w:rsid w:val="00DB3E15"/>
    <w:rsid w:val="00DB3EFD"/>
    <w:rsid w:val="00DB4702"/>
    <w:rsid w:val="00DB50DC"/>
    <w:rsid w:val="00DB56B3"/>
    <w:rsid w:val="00DB6337"/>
    <w:rsid w:val="00DB73EB"/>
    <w:rsid w:val="00DB79E3"/>
    <w:rsid w:val="00DC0331"/>
    <w:rsid w:val="00DC09AA"/>
    <w:rsid w:val="00DC1A67"/>
    <w:rsid w:val="00DC1B67"/>
    <w:rsid w:val="00DC26C8"/>
    <w:rsid w:val="00DC2E0B"/>
    <w:rsid w:val="00DC3ED9"/>
    <w:rsid w:val="00DC426E"/>
    <w:rsid w:val="00DC4369"/>
    <w:rsid w:val="00DC4529"/>
    <w:rsid w:val="00DC4DB1"/>
    <w:rsid w:val="00DC4E5F"/>
    <w:rsid w:val="00DC73B7"/>
    <w:rsid w:val="00DD0139"/>
    <w:rsid w:val="00DD1A79"/>
    <w:rsid w:val="00DD28AB"/>
    <w:rsid w:val="00DD2E3C"/>
    <w:rsid w:val="00DD2FD2"/>
    <w:rsid w:val="00DD327E"/>
    <w:rsid w:val="00DD34BD"/>
    <w:rsid w:val="00DD44C1"/>
    <w:rsid w:val="00DE0658"/>
    <w:rsid w:val="00DE08D6"/>
    <w:rsid w:val="00DE106C"/>
    <w:rsid w:val="00DE3F0D"/>
    <w:rsid w:val="00DE44D0"/>
    <w:rsid w:val="00DE4E86"/>
    <w:rsid w:val="00DE5070"/>
    <w:rsid w:val="00DE5345"/>
    <w:rsid w:val="00DE610B"/>
    <w:rsid w:val="00DE6CB8"/>
    <w:rsid w:val="00DE7C88"/>
    <w:rsid w:val="00DE7E7B"/>
    <w:rsid w:val="00DF1742"/>
    <w:rsid w:val="00DF2226"/>
    <w:rsid w:val="00DF23F3"/>
    <w:rsid w:val="00DF2520"/>
    <w:rsid w:val="00DF3952"/>
    <w:rsid w:val="00DF466D"/>
    <w:rsid w:val="00DF5ADF"/>
    <w:rsid w:val="00DF6BCF"/>
    <w:rsid w:val="00E000BE"/>
    <w:rsid w:val="00E0038F"/>
    <w:rsid w:val="00E00658"/>
    <w:rsid w:val="00E00721"/>
    <w:rsid w:val="00E00BA8"/>
    <w:rsid w:val="00E01421"/>
    <w:rsid w:val="00E0452F"/>
    <w:rsid w:val="00E05302"/>
    <w:rsid w:val="00E06471"/>
    <w:rsid w:val="00E07300"/>
    <w:rsid w:val="00E0799A"/>
    <w:rsid w:val="00E1001F"/>
    <w:rsid w:val="00E10DA8"/>
    <w:rsid w:val="00E118C2"/>
    <w:rsid w:val="00E11B1D"/>
    <w:rsid w:val="00E11E75"/>
    <w:rsid w:val="00E135D6"/>
    <w:rsid w:val="00E15630"/>
    <w:rsid w:val="00E156E3"/>
    <w:rsid w:val="00E15854"/>
    <w:rsid w:val="00E20149"/>
    <w:rsid w:val="00E20511"/>
    <w:rsid w:val="00E217DA"/>
    <w:rsid w:val="00E22060"/>
    <w:rsid w:val="00E220BC"/>
    <w:rsid w:val="00E224CB"/>
    <w:rsid w:val="00E230CB"/>
    <w:rsid w:val="00E25C12"/>
    <w:rsid w:val="00E25FBE"/>
    <w:rsid w:val="00E2633E"/>
    <w:rsid w:val="00E30033"/>
    <w:rsid w:val="00E30B39"/>
    <w:rsid w:val="00E32048"/>
    <w:rsid w:val="00E328B7"/>
    <w:rsid w:val="00E32A94"/>
    <w:rsid w:val="00E335AE"/>
    <w:rsid w:val="00E339AB"/>
    <w:rsid w:val="00E339C1"/>
    <w:rsid w:val="00E34565"/>
    <w:rsid w:val="00E34FCB"/>
    <w:rsid w:val="00E35749"/>
    <w:rsid w:val="00E36C08"/>
    <w:rsid w:val="00E41CB2"/>
    <w:rsid w:val="00E4297D"/>
    <w:rsid w:val="00E44955"/>
    <w:rsid w:val="00E4513A"/>
    <w:rsid w:val="00E45549"/>
    <w:rsid w:val="00E45B0A"/>
    <w:rsid w:val="00E45DA8"/>
    <w:rsid w:val="00E476E7"/>
    <w:rsid w:val="00E47B37"/>
    <w:rsid w:val="00E47BE2"/>
    <w:rsid w:val="00E500D6"/>
    <w:rsid w:val="00E50D4D"/>
    <w:rsid w:val="00E51564"/>
    <w:rsid w:val="00E51B9F"/>
    <w:rsid w:val="00E523D2"/>
    <w:rsid w:val="00E5284E"/>
    <w:rsid w:val="00E549C1"/>
    <w:rsid w:val="00E54ECB"/>
    <w:rsid w:val="00E555F4"/>
    <w:rsid w:val="00E5561E"/>
    <w:rsid w:val="00E568AD"/>
    <w:rsid w:val="00E57DDB"/>
    <w:rsid w:val="00E603DC"/>
    <w:rsid w:val="00E60651"/>
    <w:rsid w:val="00E614D5"/>
    <w:rsid w:val="00E61C89"/>
    <w:rsid w:val="00E62682"/>
    <w:rsid w:val="00E64CCF"/>
    <w:rsid w:val="00E676CD"/>
    <w:rsid w:val="00E679F0"/>
    <w:rsid w:val="00E67DD5"/>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877E7"/>
    <w:rsid w:val="00E9087D"/>
    <w:rsid w:val="00E9211C"/>
    <w:rsid w:val="00E9286E"/>
    <w:rsid w:val="00E92937"/>
    <w:rsid w:val="00E931C3"/>
    <w:rsid w:val="00E93EF7"/>
    <w:rsid w:val="00E94174"/>
    <w:rsid w:val="00E95DE9"/>
    <w:rsid w:val="00E96141"/>
    <w:rsid w:val="00E96623"/>
    <w:rsid w:val="00E97224"/>
    <w:rsid w:val="00EA0371"/>
    <w:rsid w:val="00EA08BC"/>
    <w:rsid w:val="00EA399C"/>
    <w:rsid w:val="00EA4DBD"/>
    <w:rsid w:val="00EA51B1"/>
    <w:rsid w:val="00EA53C6"/>
    <w:rsid w:val="00EA6E84"/>
    <w:rsid w:val="00EB1BF8"/>
    <w:rsid w:val="00EB2CEE"/>
    <w:rsid w:val="00EB5E58"/>
    <w:rsid w:val="00EB60B3"/>
    <w:rsid w:val="00EC0B15"/>
    <w:rsid w:val="00EC11EB"/>
    <w:rsid w:val="00EC1F64"/>
    <w:rsid w:val="00EC2B1A"/>
    <w:rsid w:val="00EC4D82"/>
    <w:rsid w:val="00EC508A"/>
    <w:rsid w:val="00EC50F1"/>
    <w:rsid w:val="00EC5B92"/>
    <w:rsid w:val="00EC736A"/>
    <w:rsid w:val="00EC7654"/>
    <w:rsid w:val="00EC7734"/>
    <w:rsid w:val="00ED15DC"/>
    <w:rsid w:val="00ED3A27"/>
    <w:rsid w:val="00ED5A9D"/>
    <w:rsid w:val="00ED6F55"/>
    <w:rsid w:val="00ED7F11"/>
    <w:rsid w:val="00ED7F4E"/>
    <w:rsid w:val="00EE124F"/>
    <w:rsid w:val="00EE29FA"/>
    <w:rsid w:val="00EE2A2A"/>
    <w:rsid w:val="00EE2DF8"/>
    <w:rsid w:val="00EE47CF"/>
    <w:rsid w:val="00EE4810"/>
    <w:rsid w:val="00EE4A57"/>
    <w:rsid w:val="00EE5413"/>
    <w:rsid w:val="00EE55D5"/>
    <w:rsid w:val="00EE5772"/>
    <w:rsid w:val="00EE5E2C"/>
    <w:rsid w:val="00EE61B3"/>
    <w:rsid w:val="00EE63BF"/>
    <w:rsid w:val="00EE7FAB"/>
    <w:rsid w:val="00EF0C99"/>
    <w:rsid w:val="00EF219B"/>
    <w:rsid w:val="00EF2D2C"/>
    <w:rsid w:val="00EF37D8"/>
    <w:rsid w:val="00EF3C96"/>
    <w:rsid w:val="00EF5250"/>
    <w:rsid w:val="00EF53CE"/>
    <w:rsid w:val="00EF6409"/>
    <w:rsid w:val="00EF7910"/>
    <w:rsid w:val="00F00492"/>
    <w:rsid w:val="00F00A69"/>
    <w:rsid w:val="00F02315"/>
    <w:rsid w:val="00F03718"/>
    <w:rsid w:val="00F037B5"/>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369A"/>
    <w:rsid w:val="00F13A56"/>
    <w:rsid w:val="00F13F71"/>
    <w:rsid w:val="00F15050"/>
    <w:rsid w:val="00F15189"/>
    <w:rsid w:val="00F15A84"/>
    <w:rsid w:val="00F15AF3"/>
    <w:rsid w:val="00F1685B"/>
    <w:rsid w:val="00F174DE"/>
    <w:rsid w:val="00F2055D"/>
    <w:rsid w:val="00F20637"/>
    <w:rsid w:val="00F20F7A"/>
    <w:rsid w:val="00F2241E"/>
    <w:rsid w:val="00F2373A"/>
    <w:rsid w:val="00F2458E"/>
    <w:rsid w:val="00F2504A"/>
    <w:rsid w:val="00F26206"/>
    <w:rsid w:val="00F26737"/>
    <w:rsid w:val="00F277DF"/>
    <w:rsid w:val="00F3020D"/>
    <w:rsid w:val="00F30268"/>
    <w:rsid w:val="00F308A5"/>
    <w:rsid w:val="00F309E9"/>
    <w:rsid w:val="00F30FC5"/>
    <w:rsid w:val="00F31A95"/>
    <w:rsid w:val="00F31AC5"/>
    <w:rsid w:val="00F33148"/>
    <w:rsid w:val="00F3604A"/>
    <w:rsid w:val="00F3711D"/>
    <w:rsid w:val="00F37C3A"/>
    <w:rsid w:val="00F37FBB"/>
    <w:rsid w:val="00F4197B"/>
    <w:rsid w:val="00F429AD"/>
    <w:rsid w:val="00F42A4F"/>
    <w:rsid w:val="00F42ED1"/>
    <w:rsid w:val="00F43279"/>
    <w:rsid w:val="00F4443D"/>
    <w:rsid w:val="00F454F8"/>
    <w:rsid w:val="00F45734"/>
    <w:rsid w:val="00F45B42"/>
    <w:rsid w:val="00F465F1"/>
    <w:rsid w:val="00F46BFD"/>
    <w:rsid w:val="00F47146"/>
    <w:rsid w:val="00F506B6"/>
    <w:rsid w:val="00F513E4"/>
    <w:rsid w:val="00F51421"/>
    <w:rsid w:val="00F515B8"/>
    <w:rsid w:val="00F516CA"/>
    <w:rsid w:val="00F539A0"/>
    <w:rsid w:val="00F549B5"/>
    <w:rsid w:val="00F5634A"/>
    <w:rsid w:val="00F56817"/>
    <w:rsid w:val="00F57131"/>
    <w:rsid w:val="00F571DC"/>
    <w:rsid w:val="00F60383"/>
    <w:rsid w:val="00F616F3"/>
    <w:rsid w:val="00F61970"/>
    <w:rsid w:val="00F61EB9"/>
    <w:rsid w:val="00F621F6"/>
    <w:rsid w:val="00F62A97"/>
    <w:rsid w:val="00F63266"/>
    <w:rsid w:val="00F64AF2"/>
    <w:rsid w:val="00F65E70"/>
    <w:rsid w:val="00F665F9"/>
    <w:rsid w:val="00F66940"/>
    <w:rsid w:val="00F66AB3"/>
    <w:rsid w:val="00F66C3F"/>
    <w:rsid w:val="00F70206"/>
    <w:rsid w:val="00F710CE"/>
    <w:rsid w:val="00F722EE"/>
    <w:rsid w:val="00F73144"/>
    <w:rsid w:val="00F75557"/>
    <w:rsid w:val="00F759A9"/>
    <w:rsid w:val="00F75BE9"/>
    <w:rsid w:val="00F80305"/>
    <w:rsid w:val="00F805A6"/>
    <w:rsid w:val="00F80D9A"/>
    <w:rsid w:val="00F81C46"/>
    <w:rsid w:val="00F8211A"/>
    <w:rsid w:val="00F8345F"/>
    <w:rsid w:val="00F83561"/>
    <w:rsid w:val="00F83D08"/>
    <w:rsid w:val="00F85587"/>
    <w:rsid w:val="00F85A4B"/>
    <w:rsid w:val="00F85A94"/>
    <w:rsid w:val="00F872D0"/>
    <w:rsid w:val="00F87ABB"/>
    <w:rsid w:val="00F87C60"/>
    <w:rsid w:val="00F87E82"/>
    <w:rsid w:val="00F87EC0"/>
    <w:rsid w:val="00F9056D"/>
    <w:rsid w:val="00F91174"/>
    <w:rsid w:val="00F9133B"/>
    <w:rsid w:val="00F91635"/>
    <w:rsid w:val="00F92B7E"/>
    <w:rsid w:val="00F92D57"/>
    <w:rsid w:val="00F94ACF"/>
    <w:rsid w:val="00FA11B5"/>
    <w:rsid w:val="00FA2022"/>
    <w:rsid w:val="00FA2467"/>
    <w:rsid w:val="00FA272D"/>
    <w:rsid w:val="00FA290B"/>
    <w:rsid w:val="00FA2EF8"/>
    <w:rsid w:val="00FA335D"/>
    <w:rsid w:val="00FA37B7"/>
    <w:rsid w:val="00FA42FC"/>
    <w:rsid w:val="00FA448E"/>
    <w:rsid w:val="00FA4DA0"/>
    <w:rsid w:val="00FA5E38"/>
    <w:rsid w:val="00FB0617"/>
    <w:rsid w:val="00FB1093"/>
    <w:rsid w:val="00FB1461"/>
    <w:rsid w:val="00FB2D0D"/>
    <w:rsid w:val="00FB32A7"/>
    <w:rsid w:val="00FB4417"/>
    <w:rsid w:val="00FB47FD"/>
    <w:rsid w:val="00FB6A19"/>
    <w:rsid w:val="00FB7893"/>
    <w:rsid w:val="00FC277D"/>
    <w:rsid w:val="00FC3D54"/>
    <w:rsid w:val="00FC41D7"/>
    <w:rsid w:val="00FC4A0B"/>
    <w:rsid w:val="00FC5481"/>
    <w:rsid w:val="00FC65E0"/>
    <w:rsid w:val="00FC70D2"/>
    <w:rsid w:val="00FC74EF"/>
    <w:rsid w:val="00FD0B14"/>
    <w:rsid w:val="00FD0EC8"/>
    <w:rsid w:val="00FD1ED7"/>
    <w:rsid w:val="00FD2E6D"/>
    <w:rsid w:val="00FD2FFB"/>
    <w:rsid w:val="00FD319A"/>
    <w:rsid w:val="00FD3C10"/>
    <w:rsid w:val="00FD4236"/>
    <w:rsid w:val="00FD498D"/>
    <w:rsid w:val="00FD5421"/>
    <w:rsid w:val="00FD5625"/>
    <w:rsid w:val="00FD5B4B"/>
    <w:rsid w:val="00FD5CA0"/>
    <w:rsid w:val="00FD7062"/>
    <w:rsid w:val="00FE1196"/>
    <w:rsid w:val="00FE2388"/>
    <w:rsid w:val="00FE30E0"/>
    <w:rsid w:val="00FE3C1E"/>
    <w:rsid w:val="00FE49AC"/>
    <w:rsid w:val="00FE5626"/>
    <w:rsid w:val="00FE5630"/>
    <w:rsid w:val="00FE5FD4"/>
    <w:rsid w:val="00FF0D78"/>
    <w:rsid w:val="00FF0EE9"/>
    <w:rsid w:val="00FF0EEE"/>
    <w:rsid w:val="00FF0F7F"/>
    <w:rsid w:val="00FF123E"/>
    <w:rsid w:val="00FF2793"/>
    <w:rsid w:val="00FF3815"/>
    <w:rsid w:val="00FF3A7D"/>
    <w:rsid w:val="00FF3EA9"/>
    <w:rsid w:val="00FF4950"/>
    <w:rsid w:val="00FF510D"/>
    <w:rsid w:val="00FF5B92"/>
    <w:rsid w:val="00FF5D78"/>
    <w:rsid w:val="00FF7034"/>
    <w:rsid w:val="012F7807"/>
    <w:rsid w:val="01F37E94"/>
    <w:rsid w:val="020970CA"/>
    <w:rsid w:val="028E1852"/>
    <w:rsid w:val="029D63F1"/>
    <w:rsid w:val="02B43CF5"/>
    <w:rsid w:val="05F87CBE"/>
    <w:rsid w:val="06644BE5"/>
    <w:rsid w:val="066575D6"/>
    <w:rsid w:val="0769686A"/>
    <w:rsid w:val="07C74150"/>
    <w:rsid w:val="082E1ADB"/>
    <w:rsid w:val="0978727E"/>
    <w:rsid w:val="09F8192D"/>
    <w:rsid w:val="0BB9314C"/>
    <w:rsid w:val="0C0B1BDA"/>
    <w:rsid w:val="0CDB2C1D"/>
    <w:rsid w:val="0ED465F1"/>
    <w:rsid w:val="117F4DC6"/>
    <w:rsid w:val="1196714A"/>
    <w:rsid w:val="12E83AF4"/>
    <w:rsid w:val="136F46B5"/>
    <w:rsid w:val="14683F64"/>
    <w:rsid w:val="14CF26FC"/>
    <w:rsid w:val="1510571C"/>
    <w:rsid w:val="1A8670A6"/>
    <w:rsid w:val="1B00542F"/>
    <w:rsid w:val="1B3F3E40"/>
    <w:rsid w:val="1BF509C2"/>
    <w:rsid w:val="1BF95FEE"/>
    <w:rsid w:val="1D867707"/>
    <w:rsid w:val="1E241D04"/>
    <w:rsid w:val="1F1E2C9D"/>
    <w:rsid w:val="213C14BC"/>
    <w:rsid w:val="21E07AC4"/>
    <w:rsid w:val="235E2230"/>
    <w:rsid w:val="2410624A"/>
    <w:rsid w:val="254E0ABD"/>
    <w:rsid w:val="25A10883"/>
    <w:rsid w:val="286E51F1"/>
    <w:rsid w:val="2A0B48CC"/>
    <w:rsid w:val="2ABD6FAE"/>
    <w:rsid w:val="2B9062C6"/>
    <w:rsid w:val="2C6E17E7"/>
    <w:rsid w:val="2D6065C3"/>
    <w:rsid w:val="2EC25B4D"/>
    <w:rsid w:val="2FCB6344"/>
    <w:rsid w:val="2FD51B98"/>
    <w:rsid w:val="30607843"/>
    <w:rsid w:val="32EC20FB"/>
    <w:rsid w:val="3444606B"/>
    <w:rsid w:val="35390346"/>
    <w:rsid w:val="35457D57"/>
    <w:rsid w:val="372459EC"/>
    <w:rsid w:val="37726C9D"/>
    <w:rsid w:val="377E1F8B"/>
    <w:rsid w:val="389C77AA"/>
    <w:rsid w:val="39AE2A18"/>
    <w:rsid w:val="39EA7767"/>
    <w:rsid w:val="3A257EA8"/>
    <w:rsid w:val="3A436689"/>
    <w:rsid w:val="3B5A37A8"/>
    <w:rsid w:val="3D7E1CC9"/>
    <w:rsid w:val="406348D3"/>
    <w:rsid w:val="410113A2"/>
    <w:rsid w:val="412326AA"/>
    <w:rsid w:val="43F11B33"/>
    <w:rsid w:val="44565A46"/>
    <w:rsid w:val="450F48DA"/>
    <w:rsid w:val="45830A1B"/>
    <w:rsid w:val="46F20680"/>
    <w:rsid w:val="495C4EE9"/>
    <w:rsid w:val="495D290C"/>
    <w:rsid w:val="4B0A17EC"/>
    <w:rsid w:val="4BF0527D"/>
    <w:rsid w:val="4C3D4FA2"/>
    <w:rsid w:val="4CA0760A"/>
    <w:rsid w:val="4D68767A"/>
    <w:rsid w:val="4D9E102D"/>
    <w:rsid w:val="4E31673F"/>
    <w:rsid w:val="4FB879D1"/>
    <w:rsid w:val="509636E2"/>
    <w:rsid w:val="516D3625"/>
    <w:rsid w:val="52FC46EA"/>
    <w:rsid w:val="530E091A"/>
    <w:rsid w:val="5377792F"/>
    <w:rsid w:val="5403314B"/>
    <w:rsid w:val="55DA13A8"/>
    <w:rsid w:val="570E1967"/>
    <w:rsid w:val="575B3FCB"/>
    <w:rsid w:val="58023B87"/>
    <w:rsid w:val="5B0C6777"/>
    <w:rsid w:val="5BBC5F74"/>
    <w:rsid w:val="5BBD01B3"/>
    <w:rsid w:val="5C4C5F90"/>
    <w:rsid w:val="5D851C35"/>
    <w:rsid w:val="5E3C0BD1"/>
    <w:rsid w:val="5FDC7E75"/>
    <w:rsid w:val="60A0557B"/>
    <w:rsid w:val="60D7218A"/>
    <w:rsid w:val="629077A9"/>
    <w:rsid w:val="63220033"/>
    <w:rsid w:val="638D40EF"/>
    <w:rsid w:val="63A64403"/>
    <w:rsid w:val="649A3110"/>
    <w:rsid w:val="64E77007"/>
    <w:rsid w:val="64F87534"/>
    <w:rsid w:val="65014AC3"/>
    <w:rsid w:val="6566621E"/>
    <w:rsid w:val="65CB53AA"/>
    <w:rsid w:val="676D0D90"/>
    <w:rsid w:val="67A9335C"/>
    <w:rsid w:val="6A531841"/>
    <w:rsid w:val="6C88441D"/>
    <w:rsid w:val="6F4B45B0"/>
    <w:rsid w:val="73CC19D5"/>
    <w:rsid w:val="76261B75"/>
    <w:rsid w:val="78992A4A"/>
    <w:rsid w:val="78B9366E"/>
    <w:rsid w:val="7AE52660"/>
    <w:rsid w:val="7B8A2D69"/>
    <w:rsid w:val="7BC80470"/>
    <w:rsid w:val="7D320274"/>
    <w:rsid w:val="7E485365"/>
    <w:rsid w:val="7F23352A"/>
    <w:rsid w:val="7F830CA4"/>
    <w:rsid w:val="7FC150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2"/>
    <w:basedOn w:val="1"/>
    <w:next w:val="1"/>
    <w:link w:val="4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44"/>
    <w:unhideWhenUsed/>
    <w:qFormat/>
    <w:uiPriority w:val="9"/>
    <w:pPr>
      <w:keepNext/>
      <w:keepLines/>
      <w:spacing w:before="260" w:after="260" w:line="416" w:lineRule="auto"/>
      <w:outlineLvl w:val="2"/>
    </w:pPr>
    <w:rPr>
      <w:b/>
      <w:bCs/>
      <w:sz w:val="32"/>
      <w:szCs w:val="32"/>
    </w:rPr>
  </w:style>
  <w:style w:type="paragraph" w:styleId="4">
    <w:name w:val="heading 5"/>
    <w:basedOn w:val="1"/>
    <w:next w:val="1"/>
    <w:link w:val="48"/>
    <w:semiHidden/>
    <w:unhideWhenUsed/>
    <w:qFormat/>
    <w:uiPriority w:val="9"/>
    <w:pPr>
      <w:keepNext/>
      <w:keepLines/>
      <w:spacing w:before="280" w:after="290" w:line="376" w:lineRule="auto"/>
      <w:outlineLvl w:val="4"/>
    </w:pPr>
    <w:rPr>
      <w:b/>
      <w:bCs/>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link w:val="38"/>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6">
    <w:name w:val="Document Map"/>
    <w:basedOn w:val="1"/>
    <w:link w:val="37"/>
    <w:semiHidden/>
    <w:unhideWhenUsed/>
    <w:qFormat/>
    <w:uiPriority w:val="99"/>
    <w:rPr>
      <w:rFonts w:ascii="宋体"/>
      <w:sz w:val="18"/>
      <w:szCs w:val="18"/>
    </w:rPr>
  </w:style>
  <w:style w:type="paragraph" w:styleId="7">
    <w:name w:val="annotation text"/>
    <w:basedOn w:val="1"/>
    <w:link w:val="35"/>
    <w:unhideWhenUsed/>
    <w:qFormat/>
    <w:uiPriority w:val="0"/>
    <w:pPr>
      <w:jc w:val="left"/>
    </w:pPr>
  </w:style>
  <w:style w:type="paragraph" w:styleId="8">
    <w:name w:val="Balloon Text"/>
    <w:basedOn w:val="1"/>
    <w:link w:val="33"/>
    <w:semiHidden/>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List"/>
    <w:basedOn w:val="1"/>
    <w:semiHidden/>
    <w:unhideWhenUsed/>
    <w:qFormat/>
    <w:uiPriority w:val="99"/>
    <w:pPr>
      <w:ind w:left="200" w:hanging="200" w:hangingChars="200"/>
      <w:contextualSpacing/>
    </w:pPr>
  </w:style>
  <w:style w:type="paragraph" w:styleId="12">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3">
    <w:name w:val="annotation subject"/>
    <w:basedOn w:val="7"/>
    <w:next w:val="7"/>
    <w:link w:val="36"/>
    <w:semiHidden/>
    <w:unhideWhenUsed/>
    <w:qFormat/>
    <w:uiPriority w:val="99"/>
    <w:rPr>
      <w:b/>
      <w:bCs/>
    </w:rPr>
  </w:style>
  <w:style w:type="table" w:styleId="15">
    <w:name w:val="Table Grid"/>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unhideWhenUsed/>
    <w:qFormat/>
    <w:uiPriority w:val="99"/>
    <w:rPr>
      <w:color w:val="0000FF"/>
      <w:u w:val="single"/>
    </w:rPr>
  </w:style>
  <w:style w:type="character" w:styleId="18">
    <w:name w:val="annotation reference"/>
    <w:basedOn w:val="16"/>
    <w:unhideWhenUsed/>
    <w:qFormat/>
    <w:uiPriority w:val="99"/>
    <w:rPr>
      <w:sz w:val="21"/>
      <w:szCs w:val="21"/>
    </w:rPr>
  </w:style>
  <w:style w:type="character" w:customStyle="1" w:styleId="19">
    <w:name w:val="Header Char"/>
    <w:basedOn w:val="16"/>
    <w:link w:val="10"/>
    <w:qFormat/>
    <w:uiPriority w:val="99"/>
    <w:rPr>
      <w:sz w:val="18"/>
      <w:szCs w:val="18"/>
    </w:rPr>
  </w:style>
  <w:style w:type="character" w:customStyle="1" w:styleId="20">
    <w:name w:val="Footer Char"/>
    <w:basedOn w:val="16"/>
    <w:link w:val="9"/>
    <w:qFormat/>
    <w:uiPriority w:val="99"/>
    <w:rPr>
      <w:sz w:val="18"/>
      <w:szCs w:val="18"/>
    </w:rPr>
  </w:style>
  <w:style w:type="character" w:customStyle="1" w:styleId="21">
    <w:name w:val="Char Char"/>
    <w:link w:val="22"/>
    <w:qFormat/>
    <w:uiPriority w:val="0"/>
    <w:rPr>
      <w:rFonts w:ascii="Arial" w:hAnsi="Arial"/>
      <w:sz w:val="32"/>
      <w:szCs w:val="36"/>
    </w:rPr>
  </w:style>
  <w:style w:type="paragraph" w:customStyle="1" w:styleId="22">
    <w:name w:val="Char"/>
    <w:basedOn w:val="23"/>
    <w:link w:val="21"/>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3">
    <w:name w:val="List Paragraph"/>
    <w:basedOn w:val="1"/>
    <w:link w:val="39"/>
    <w:qFormat/>
    <w:uiPriority w:val="34"/>
    <w:pPr>
      <w:ind w:firstLine="420" w:firstLineChars="200"/>
    </w:pPr>
  </w:style>
  <w:style w:type="character" w:customStyle="1" w:styleId="24">
    <w:name w:val="TAH Car"/>
    <w:link w:val="25"/>
    <w:qFormat/>
    <w:uiPriority w:val="0"/>
    <w:rPr>
      <w:rFonts w:ascii="Arial" w:hAnsi="Arial" w:eastAsia="Times New Roman" w:cs="Times New Roman"/>
      <w:b/>
      <w:kern w:val="0"/>
      <w:sz w:val="18"/>
      <w:szCs w:val="20"/>
      <w:lang w:val="en-GB" w:eastAsia="ja-JP"/>
    </w:rPr>
  </w:style>
  <w:style w:type="paragraph" w:customStyle="1" w:styleId="25">
    <w:name w:val="TAH"/>
    <w:basedOn w:val="26"/>
    <w:link w:val="24"/>
    <w:qFormat/>
    <w:uiPriority w:val="0"/>
    <w:rPr>
      <w:b/>
    </w:rPr>
  </w:style>
  <w:style w:type="paragraph" w:customStyle="1" w:styleId="26">
    <w:name w:val="TAC"/>
    <w:basedOn w:val="27"/>
    <w:link w:val="30"/>
    <w:qFormat/>
    <w:uiPriority w:val="0"/>
    <w:pPr>
      <w:overflowPunct w:val="0"/>
      <w:autoSpaceDE w:val="0"/>
      <w:autoSpaceDN w:val="0"/>
      <w:adjustRightInd w:val="0"/>
      <w:jc w:val="center"/>
      <w:textAlignment w:val="baseline"/>
    </w:pPr>
    <w:rPr>
      <w:lang w:eastAsia="ja-JP"/>
    </w:rPr>
  </w:style>
  <w:style w:type="paragraph" w:customStyle="1" w:styleId="27">
    <w:name w:val="TAL"/>
    <w:basedOn w:val="1"/>
    <w:link w:val="34"/>
    <w:qFormat/>
    <w:uiPriority w:val="0"/>
    <w:pPr>
      <w:keepNext/>
      <w:keepLines/>
      <w:widowControl/>
      <w:jc w:val="left"/>
    </w:pPr>
    <w:rPr>
      <w:rFonts w:ascii="Arial" w:hAnsi="Arial" w:eastAsia="Times New Roman"/>
      <w:kern w:val="0"/>
      <w:sz w:val="18"/>
      <w:szCs w:val="20"/>
      <w:lang w:val="en-GB" w:eastAsia="en-US"/>
    </w:rPr>
  </w:style>
  <w:style w:type="character" w:customStyle="1" w:styleId="28">
    <w:name w:val="B1 Char"/>
    <w:link w:val="29"/>
    <w:qFormat/>
    <w:uiPriority w:val="0"/>
    <w:rPr>
      <w:rFonts w:ascii="Times New Roman" w:hAnsi="Times New Roman" w:eastAsia="MS Mincho"/>
      <w:lang w:val="en-GB" w:eastAsia="de-DE"/>
    </w:rPr>
  </w:style>
  <w:style w:type="paragraph" w:customStyle="1" w:styleId="29">
    <w:name w:val="B1"/>
    <w:basedOn w:val="11"/>
    <w:link w:val="28"/>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0">
    <w:name w:val="TAC Char"/>
    <w:link w:val="26"/>
    <w:qFormat/>
    <w:uiPriority w:val="0"/>
    <w:rPr>
      <w:rFonts w:ascii="Arial" w:hAnsi="Arial" w:eastAsia="Times New Roman" w:cs="Times New Roman"/>
      <w:kern w:val="0"/>
      <w:sz w:val="18"/>
      <w:szCs w:val="20"/>
      <w:lang w:val="en-GB" w:eastAsia="ja-JP"/>
    </w:rPr>
  </w:style>
  <w:style w:type="paragraph" w:styleId="31">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2">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3">
    <w:name w:val="Balloon Text Char"/>
    <w:basedOn w:val="16"/>
    <w:link w:val="8"/>
    <w:semiHidden/>
    <w:qFormat/>
    <w:uiPriority w:val="99"/>
    <w:rPr>
      <w:rFonts w:ascii="CG Times (WN)" w:hAnsi="CG Times (WN)" w:eastAsia="宋体" w:cs="Times New Roman"/>
      <w:sz w:val="18"/>
      <w:szCs w:val="18"/>
    </w:rPr>
  </w:style>
  <w:style w:type="character" w:customStyle="1" w:styleId="34">
    <w:name w:val="TAL Char"/>
    <w:link w:val="27"/>
    <w:qFormat/>
    <w:uiPriority w:val="0"/>
    <w:rPr>
      <w:rFonts w:ascii="Arial" w:hAnsi="Arial" w:eastAsia="Times New Roman" w:cs="Times New Roman"/>
      <w:kern w:val="0"/>
      <w:sz w:val="18"/>
      <w:szCs w:val="20"/>
      <w:lang w:val="en-GB" w:eastAsia="en-US"/>
    </w:rPr>
  </w:style>
  <w:style w:type="character" w:customStyle="1" w:styleId="35">
    <w:name w:val="Comment Text Char"/>
    <w:basedOn w:val="16"/>
    <w:link w:val="7"/>
    <w:qFormat/>
    <w:uiPriority w:val="0"/>
    <w:rPr>
      <w:rFonts w:ascii="CG Times (WN)" w:hAnsi="CG Times (WN)" w:eastAsia="宋体" w:cs="Times New Roman"/>
    </w:rPr>
  </w:style>
  <w:style w:type="character" w:customStyle="1" w:styleId="36">
    <w:name w:val="Comment Subject Char"/>
    <w:basedOn w:val="35"/>
    <w:link w:val="13"/>
    <w:semiHidden/>
    <w:qFormat/>
    <w:uiPriority w:val="99"/>
    <w:rPr>
      <w:rFonts w:ascii="CG Times (WN)" w:hAnsi="CG Times (WN)" w:eastAsia="宋体" w:cs="Times New Roman"/>
      <w:b/>
      <w:bCs/>
    </w:rPr>
  </w:style>
  <w:style w:type="character" w:customStyle="1" w:styleId="37">
    <w:name w:val="Document Map Char"/>
    <w:basedOn w:val="16"/>
    <w:link w:val="6"/>
    <w:semiHidden/>
    <w:qFormat/>
    <w:uiPriority w:val="99"/>
    <w:rPr>
      <w:rFonts w:ascii="宋体" w:hAnsi="CG Times (WN)" w:eastAsia="宋体" w:cs="Times New Roman"/>
      <w:sz w:val="18"/>
      <w:szCs w:val="18"/>
    </w:rPr>
  </w:style>
  <w:style w:type="character" w:customStyle="1" w:styleId="38">
    <w:name w:val="Caption Char"/>
    <w:link w:val="5"/>
    <w:qFormat/>
    <w:uiPriority w:val="35"/>
    <w:rPr>
      <w:rFonts w:ascii="Times New Roman" w:hAnsi="Times New Roman" w:eastAsia="MS Mincho" w:cs="Times New Roman"/>
      <w:b/>
      <w:kern w:val="0"/>
      <w:sz w:val="20"/>
      <w:szCs w:val="20"/>
      <w:lang w:val="en-GB" w:eastAsia="en-US"/>
    </w:rPr>
  </w:style>
  <w:style w:type="character" w:customStyle="1" w:styleId="39">
    <w:name w:val="List Paragraph Char"/>
    <w:link w:val="23"/>
    <w:qFormat/>
    <w:uiPriority w:val="34"/>
    <w:rPr>
      <w:rFonts w:ascii="CG Times (WN)" w:hAnsi="CG Times (WN)" w:eastAsia="宋体" w:cs="Times New Roma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1">
    <w:name w:val="Heading 2 Char"/>
    <w:basedOn w:val="16"/>
    <w:link w:val="2"/>
    <w:qFormat/>
    <w:uiPriority w:val="9"/>
    <w:rPr>
      <w:rFonts w:asciiTheme="majorHAnsi" w:hAnsiTheme="majorHAnsi" w:eastAsiaTheme="majorEastAsia" w:cstheme="majorBidi"/>
      <w:b/>
      <w:bCs/>
      <w:sz w:val="32"/>
      <w:szCs w:val="32"/>
    </w:rPr>
  </w:style>
  <w:style w:type="table" w:customStyle="1" w:styleId="42">
    <w:name w:val="网格型1"/>
    <w:basedOn w:val="14"/>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
    <w:name w:val="网格型2"/>
    <w:basedOn w:val="14"/>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
    <w:name w:val="Heading 3 Char"/>
    <w:basedOn w:val="16"/>
    <w:link w:val="3"/>
    <w:qFormat/>
    <w:uiPriority w:val="9"/>
    <w:rPr>
      <w:rFonts w:ascii="CG Times (WN)" w:hAnsi="CG Times (WN)" w:eastAsia="宋体" w:cs="Times New Roman"/>
      <w:b/>
      <w:bCs/>
      <w:sz w:val="32"/>
      <w:szCs w:val="32"/>
    </w:rPr>
  </w:style>
  <w:style w:type="table" w:customStyle="1" w:styleId="45">
    <w:name w:val="网格型3"/>
    <w:basedOn w:val="14"/>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laceholder Text"/>
    <w:basedOn w:val="16"/>
    <w:semiHidden/>
    <w:qFormat/>
    <w:uiPriority w:val="99"/>
    <w:rPr>
      <w:color w:val="808080"/>
    </w:rPr>
  </w:style>
  <w:style w:type="table" w:customStyle="1" w:styleId="47">
    <w:name w:val="Table Grid1"/>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8">
    <w:name w:val="Heading 5 Char"/>
    <w:basedOn w:val="16"/>
    <w:link w:val="4"/>
    <w:semiHidden/>
    <w:qFormat/>
    <w:uiPriority w:val="9"/>
    <w:rPr>
      <w:rFonts w:ascii="CG Times (WN)" w:hAnsi="CG Times (WN)" w:eastAsia="宋体" w:cs="Times New Roman"/>
      <w:b/>
      <w:bCs/>
      <w:sz w:val="28"/>
      <w:szCs w:val="28"/>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EQ"/>
    <w:basedOn w:val="1"/>
    <w:next w:val="1"/>
    <w:qFormat/>
    <w:uiPriority w:val="0"/>
    <w:pPr>
      <w:keepLines/>
      <w:tabs>
        <w:tab w:val="center" w:pos="4536"/>
        <w:tab w:val="right" w:pos="9072"/>
      </w:tabs>
    </w:pPr>
  </w:style>
  <w:style w:type="paragraph" w:customStyle="1" w:styleId="51">
    <w:name w:val="Revision"/>
    <w:hidden/>
    <w:semiHidden/>
    <w:qFormat/>
    <w:uiPriority w:val="99"/>
    <w:rPr>
      <w:rFonts w:ascii="CG Times (WN)" w:hAnsi="CG Times (WN)" w:eastAsia="宋体" w:cs="Times New Roman"/>
      <w:kern w:val="2"/>
      <w:sz w:val="21"/>
      <w:szCs w:val="22"/>
      <w:lang w:val="en-US" w:eastAsia="zh-CN" w:bidi="ar-SA"/>
    </w:rPr>
  </w:style>
  <w:style w:type="table" w:customStyle="1" w:styleId="52">
    <w:name w:val="TableGrid1"/>
    <w:basedOn w:val="14"/>
    <w:qFormat/>
    <w:uiPriority w:val="39"/>
    <w:rPr>
      <w:rFonts w:ascii="Times New Roman" w:hAnsi="Times New Roman" w:eastAsia="Times New Roman"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Table Grid7"/>
    <w:basedOn w:val="14"/>
    <w:qFormat/>
    <w:uiPriority w:val="39"/>
    <w:rPr>
      <w:rFonts w:ascii="Calibri" w:hAnsi="Calibri" w:eastAsia="等线" w:cs="Times New Roman"/>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4">
    <w:name w:val="TAN"/>
    <w:basedOn w:val="27"/>
    <w:qFormat/>
    <w:uiPriority w:val="0"/>
    <w:pPr>
      <w:ind w:left="851" w:hanging="851"/>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1049</Words>
  <Characters>5983</Characters>
  <Lines>49</Lines>
  <Paragraphs>14</Paragraphs>
  <TotalTime>0</TotalTime>
  <ScaleCrop>false</ScaleCrop>
  <LinksUpToDate>false</LinksUpToDate>
  <CharactersWithSpaces>7018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2023-04-06T06:47:00Z</dcterms:created>
  <dc:creator>cmcc</dc:creator>
  <cp:lastModifiedBy>cmcc-chunxia Guo</cp:lastModifiedBy>
  <dcterms:modified xsi:type="dcterms:W3CDTF">2023-08-11T08:29:52Z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B374D5B9F7F24E08B35AC1741D24F3FE</vt:lpwstr>
  </property>
</Properties>
</file>