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宋体"/>
          <w:b/>
          <w:sz w:val="24"/>
          <w:szCs w:val="24"/>
          <w:lang w:val="en-US" w:eastAsia="zh-CN"/>
        </w:rPr>
      </w:pPr>
      <w:r>
        <w:rPr>
          <w:b/>
          <w:sz w:val="24"/>
        </w:rPr>
        <w:t>3GPP TSG-RAN4 Meeting #10</w:t>
      </w:r>
      <w:r>
        <w:rPr>
          <w:rFonts w:hint="eastAsia" w:eastAsia="宋体"/>
          <w:b/>
          <w:sz w:val="24"/>
          <w:lang w:val="en-US" w:eastAsia="zh-CN"/>
        </w:rPr>
        <w:t>8</w:t>
      </w:r>
      <w:r>
        <w:rPr>
          <w:b/>
          <w:i/>
          <w:sz w:val="28"/>
        </w:rPr>
        <w:tab/>
      </w:r>
      <w:bookmarkStart w:id="0" w:name="_Hlk127173459"/>
      <w:r>
        <w:rPr>
          <w:b/>
          <w:sz w:val="24"/>
          <w:szCs w:val="24"/>
        </w:rPr>
        <w:t>R4-</w:t>
      </w:r>
      <w:r>
        <w:rPr>
          <w:rFonts w:hint="eastAsia"/>
          <w:b/>
          <w:sz w:val="24"/>
          <w:szCs w:val="24"/>
        </w:rPr>
        <w:t>2311803</w:t>
      </w:r>
    </w:p>
    <w:bookmarkEnd w:id="0"/>
    <w:p>
      <w:pPr>
        <w:pStyle w:val="130"/>
        <w:tabs>
          <w:tab w:val="right" w:pos="9639"/>
        </w:tabs>
        <w:spacing w:after="0"/>
        <w:rPr>
          <w:rFonts w:eastAsia="MS Mincho" w:cs="Arial"/>
          <w:b/>
          <w:sz w:val="24"/>
          <w:szCs w:val="24"/>
        </w:rPr>
      </w:pPr>
      <w:r>
        <w:rPr>
          <w:rFonts w:ascii="Arial" w:hAnsi="Arial" w:eastAsia="宋体" w:cs="Arial"/>
          <w:b/>
          <w:sz w:val="24"/>
          <w:szCs w:val="24"/>
          <w:lang w:eastAsia="zh-CN"/>
        </w:rPr>
        <w:t>Toulouse, France, August 21 – August 25, 2023</w:t>
      </w:r>
    </w:p>
    <w:p>
      <w:pPr>
        <w:pStyle w:val="130"/>
        <w:tabs>
          <w:tab w:val="right" w:pos="9639"/>
        </w:tabs>
        <w:spacing w:after="0"/>
        <w:rPr>
          <w:rFonts w:eastAsia="MS Mincho" w:cs="Arial"/>
          <w:b/>
          <w:sz w:val="24"/>
          <w:szCs w:val="24"/>
        </w:rPr>
      </w:pP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bookmarkStart w:id="1" w:name="_Hlk101797639"/>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bookmarkStart w:id="2" w:name="_Hlk101796995"/>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right"/>
              <w:rPr>
                <w:rFonts w:ascii="Arial" w:hAnsi="Arial" w:eastAsia="宋体"/>
                <w:b/>
                <w:sz w:val="28"/>
              </w:rPr>
            </w:pPr>
            <w:r>
              <w:rPr>
                <w:rFonts w:ascii="Arial" w:hAnsi="Arial"/>
                <w:b/>
                <w:bCs/>
                <w:sz w:val="28"/>
                <w:szCs w:val="28"/>
              </w:rPr>
              <w:t>38.104</w:t>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rPr>
                <w:rFonts w:ascii="Arial" w:hAnsi="Arial" w:eastAsia="宋体"/>
                <w:b/>
                <w:bCs/>
              </w:rPr>
            </w:pPr>
            <w:r>
              <w:rPr>
                <w:rFonts w:ascii="Arial" w:hAnsi="Arial" w:eastAsia="宋体"/>
                <w:b/>
                <w:bCs/>
              </w:rPr>
              <w:t>-</w:t>
            </w:r>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ascii="Arial" w:hAnsi="Arial" w:eastAsia="宋体"/>
                <w:b/>
                <w:bCs/>
              </w:rPr>
            </w:pPr>
            <w:r>
              <w:rPr>
                <w:rFonts w:ascii="Arial" w:hAnsi="Arial" w:eastAsia="宋体"/>
                <w:b/>
                <w:bCs/>
              </w:rPr>
              <w:t>-</w:t>
            </w: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b/>
                <w:bCs/>
                <w:sz w:val="28"/>
              </w:rPr>
            </w:pPr>
            <w:r>
              <w:rPr>
                <w:rFonts w:ascii="Arial" w:hAnsi="Arial"/>
                <w:b/>
                <w:bCs/>
                <w:sz w:val="28"/>
                <w:szCs w:val="28"/>
              </w:rPr>
              <w:t>18.</w:t>
            </w:r>
            <w:r>
              <w:rPr>
                <w:rFonts w:hint="eastAsia" w:ascii="Arial" w:hAnsi="Arial"/>
                <w:b/>
                <w:bCs/>
                <w:sz w:val="28"/>
                <w:szCs w:val="28"/>
                <w:lang w:val="en-US" w:eastAsia="zh-CN"/>
              </w:rPr>
              <w:t>2</w:t>
            </w:r>
            <w:r>
              <w:rPr>
                <w:rFonts w:ascii="Arial" w:hAnsi="Arial"/>
                <w:b/>
                <w:bCs/>
                <w:sz w:val="28"/>
                <w:szCs w:val="28"/>
              </w:rPr>
              <w:t>.0</w:t>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bookmarkEnd w:id="1"/>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HELP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bookmarkStart w:id="3" w:name="_Hlk101796628"/>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hint="eastAsia" w:ascii="Arial" w:hAnsi="Arial" w:eastAsia="宋体"/>
                <w:b/>
                <w:caps/>
                <w:lang w:eastAsia="zh-CN"/>
              </w:rPr>
            </w:pPr>
            <w:r>
              <w:rPr>
                <w:rFonts w:hint="eastAsia" w:ascii="Arial" w:hAnsi="Arial" w:eastAsia="宋体"/>
                <w:b/>
                <w:caps/>
                <w:lang w:eastAsia="zh-CN"/>
              </w:rPr>
              <w:t>X</w:t>
            </w: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rPr>
            </w:pP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62"/>
        <w:tblW w:w="9640" w:type="dxa"/>
        <w:tblInd w:w="4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shd w:val="pct30" w:color="FFFF00" w:fill="auto"/>
          </w:tcPr>
          <w:p>
            <w:pPr>
              <w:spacing w:after="0"/>
              <w:ind w:left="100"/>
              <w:rPr>
                <w:rFonts w:ascii="Arial" w:hAnsi="Arial" w:eastAsia="宋体"/>
              </w:rPr>
            </w:pPr>
            <w:bookmarkStart w:id="4" w:name="OLE_LINK8"/>
            <w:r>
              <w:rPr>
                <w:rFonts w:hint="eastAsia" w:ascii="Arial" w:hAnsi="Arial" w:eastAsia="宋体"/>
              </w:rPr>
              <w:t xml:space="preserve">Draft CR </w:t>
            </w:r>
            <w:r>
              <w:rPr>
                <w:rFonts w:hint="eastAsia" w:ascii="Arial" w:hAnsi="Arial" w:eastAsia="宋体"/>
                <w:lang w:val="en-US" w:eastAsia="zh-CN"/>
              </w:rPr>
              <w:t>for</w:t>
            </w:r>
            <w:r>
              <w:rPr>
                <w:rFonts w:hint="eastAsia" w:ascii="Arial" w:hAnsi="Arial" w:eastAsia="宋体"/>
              </w:rPr>
              <w:t xml:space="preserve"> TS 38.10</w:t>
            </w:r>
            <w:r>
              <w:rPr>
                <w:rFonts w:hint="eastAsia" w:ascii="Arial" w:hAnsi="Arial" w:eastAsia="宋体"/>
                <w:lang w:val="en-US" w:eastAsia="zh-CN"/>
              </w:rPr>
              <w:t>4</w:t>
            </w:r>
            <w:r>
              <w:rPr>
                <w:rFonts w:hint="eastAsia" w:ascii="Arial" w:hAnsi="Arial" w:eastAsia="宋体"/>
              </w:rPr>
              <w:t xml:space="preserve"> </w:t>
            </w:r>
            <w:r>
              <w:rPr>
                <w:rFonts w:hint="eastAsia" w:ascii="Arial" w:hAnsi="Arial" w:eastAsia="宋体"/>
                <w:lang w:val="en-US" w:eastAsia="zh-CN"/>
              </w:rPr>
              <w:t>on adding</w:t>
            </w:r>
            <w:r>
              <w:rPr>
                <w:rFonts w:hint="eastAsia" w:ascii="Arial" w:hAnsi="Arial" w:eastAsia="宋体"/>
              </w:rPr>
              <w:t xml:space="preserve"> </w:t>
            </w:r>
            <w:r>
              <w:rPr>
                <w:rFonts w:hint="eastAsia" w:ascii="Arial" w:hAnsi="Arial" w:eastAsia="宋体"/>
                <w:lang w:val="en-US" w:eastAsia="zh-CN"/>
              </w:rPr>
              <w:t>RF</w:t>
            </w:r>
            <w:r>
              <w:rPr>
                <w:rFonts w:hint="eastAsia" w:ascii="Arial" w:hAnsi="Arial" w:eastAsia="宋体"/>
              </w:rPr>
              <w:t xml:space="preserve"> requirements for </w:t>
            </w:r>
            <w:r>
              <w:rPr>
                <w:rFonts w:hint="eastAsia" w:ascii="Arial" w:hAnsi="Arial" w:eastAsia="宋体"/>
                <w:lang w:val="en-US" w:eastAsia="zh-CN"/>
              </w:rPr>
              <w:t>ATG BS</w:t>
            </w:r>
            <w:bookmarkEnd w:id="4"/>
            <w:r>
              <w:rPr>
                <w:rFonts w:ascii="Arial" w:hAnsi="Arial" w:eastAsia="宋体"/>
              </w:rPr>
              <w:tab/>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shd w:val="pct30" w:color="FFFF00" w:fill="auto"/>
          </w:tcPr>
          <w:p>
            <w:pPr>
              <w:spacing w:after="0"/>
              <w:ind w:left="100"/>
              <w:rPr>
                <w:rFonts w:ascii="Arial" w:hAnsi="Arial" w:eastAsia="宋体"/>
              </w:rPr>
            </w:pPr>
            <w:r>
              <w:rPr>
                <w:rFonts w:ascii="Arial" w:hAnsi="Arial" w:eastAsia="宋体"/>
              </w:rPr>
              <w:t>CMCC</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shd w:val="pct30" w:color="FFFF00" w:fill="auto"/>
          </w:tcPr>
          <w:p>
            <w:pPr>
              <w:spacing w:after="0"/>
              <w:ind w:left="100"/>
              <w:rPr>
                <w:rFonts w:ascii="Arial" w:hAnsi="Arial" w:eastAsia="宋体"/>
              </w:rPr>
            </w:pPr>
            <w:r>
              <w:rPr>
                <w:rFonts w:ascii="Arial" w:hAnsi="Arial" w:eastAsia="宋体"/>
              </w:rPr>
              <w:t>R4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hint="default" w:ascii="Arial" w:hAnsi="Arial" w:eastAsia="宋体"/>
                <w:lang w:val="en-US" w:eastAsia="zh-CN"/>
              </w:rPr>
            </w:pPr>
            <w:r>
              <w:rPr>
                <w:rFonts w:hint="eastAsia" w:ascii="Arial" w:hAnsi="Arial" w:eastAsia="宋体"/>
              </w:rPr>
              <w:t>NR_ATG-Core</w:t>
            </w:r>
          </w:p>
        </w:tc>
        <w:tc>
          <w:tcPr>
            <w:tcW w:w="567" w:type="dxa"/>
          </w:tcPr>
          <w:p>
            <w:pPr>
              <w:spacing w:after="0"/>
              <w:ind w:right="100"/>
              <w:rPr>
                <w:rFonts w:ascii="Arial" w:hAnsi="Arial" w:eastAsia="宋体"/>
              </w:rPr>
            </w:pPr>
          </w:p>
        </w:tc>
        <w:tc>
          <w:tcPr>
            <w:tcW w:w="1417" w:type="dxa"/>
            <w:gridSpan w:val="3"/>
          </w:tcPr>
          <w:p>
            <w:pPr>
              <w:spacing w:after="0"/>
              <w:jc w:val="right"/>
              <w:rPr>
                <w:rFonts w:ascii="Arial" w:hAnsi="Arial" w:eastAsia="宋体"/>
              </w:rPr>
            </w:pPr>
            <w:r>
              <w:rPr>
                <w:rFonts w:ascii="Arial" w:hAnsi="Arial" w:eastAsia="宋体"/>
                <w:b/>
                <w:i/>
              </w:rPr>
              <w:t>Date:</w:t>
            </w:r>
          </w:p>
        </w:tc>
        <w:tc>
          <w:tcPr>
            <w:tcW w:w="2127" w:type="dxa"/>
            <w:shd w:val="pct30" w:color="FFFF00" w:fill="auto"/>
          </w:tcPr>
          <w:p>
            <w:pPr>
              <w:spacing w:after="0"/>
              <w:ind w:left="100"/>
              <w:rPr>
                <w:rFonts w:hint="default" w:ascii="Arial" w:hAnsi="Arial" w:eastAsia="宋体"/>
                <w:lang w:val="en-US" w:eastAsia="zh-CN"/>
              </w:rPr>
            </w:pPr>
            <w:r>
              <w:rPr>
                <w:rFonts w:ascii="Arial" w:hAnsi="Arial" w:eastAsia="宋体"/>
              </w:rPr>
              <w:t>2023-0</w:t>
            </w:r>
            <w:r>
              <w:rPr>
                <w:rFonts w:hint="eastAsia" w:ascii="Arial" w:hAnsi="Arial" w:eastAsia="宋体"/>
                <w:lang w:val="en-US" w:eastAsia="zh-CN"/>
              </w:rPr>
              <w:t>8-06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cantSplit/>
        </w:trPr>
        <w:tc>
          <w:tcPr>
            <w:tcW w:w="1843" w:type="dxa"/>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ascii="Arial" w:hAnsi="Arial" w:eastAsia="宋体"/>
                <w:b/>
              </w:rPr>
            </w:pPr>
            <w:r>
              <w:rPr>
                <w:rFonts w:ascii="Arial" w:hAnsi="Arial" w:eastAsia="宋体"/>
              </w:rPr>
              <w:t>B</w:t>
            </w:r>
          </w:p>
        </w:tc>
        <w:tc>
          <w:tcPr>
            <w:tcW w:w="3402" w:type="dxa"/>
            <w:gridSpan w:val="5"/>
          </w:tcPr>
          <w:p>
            <w:pPr>
              <w:spacing w:after="0"/>
              <w:rPr>
                <w:rFonts w:ascii="Arial" w:hAnsi="Arial" w:eastAsia="宋体"/>
              </w:rPr>
            </w:pPr>
          </w:p>
        </w:tc>
        <w:tc>
          <w:tcPr>
            <w:tcW w:w="1417" w:type="dxa"/>
            <w:gridSpan w:val="3"/>
          </w:tcPr>
          <w:p>
            <w:pPr>
              <w:spacing w:after="0"/>
              <w:jc w:val="right"/>
              <w:rPr>
                <w:rFonts w:ascii="Arial" w:hAnsi="Arial" w:eastAsia="宋体"/>
                <w:b/>
                <w:i/>
              </w:rPr>
            </w:pPr>
            <w:r>
              <w:rPr>
                <w:rFonts w:ascii="Arial" w:hAnsi="Arial" w:eastAsia="宋体"/>
                <w:b/>
                <w:i/>
              </w:rPr>
              <w:t>Release:</w:t>
            </w:r>
          </w:p>
        </w:tc>
        <w:tc>
          <w:tcPr>
            <w:tcW w:w="2127" w:type="dxa"/>
            <w:shd w:val="pct30" w:color="FFFF00" w:fill="auto"/>
          </w:tcPr>
          <w:p>
            <w:pPr>
              <w:spacing w:after="0"/>
              <w:ind w:left="100"/>
              <w:rPr>
                <w:rFonts w:ascii="Arial" w:hAnsi="Arial" w:eastAsia="宋体"/>
              </w:rPr>
            </w:pPr>
            <w:r>
              <w:rPr>
                <w:rFonts w:ascii="Arial" w:hAnsi="Arial" w:eastAsia="宋体"/>
              </w:rPr>
              <w:t>Rel-18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rPr>
            </w:pPr>
          </w:p>
        </w:tc>
        <w:tc>
          <w:tcPr>
            <w:tcW w:w="4677" w:type="dxa"/>
            <w:gridSpan w:val="8"/>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469" w:hRule="atLeast"/>
        </w:trPr>
        <w:tc>
          <w:tcPr>
            <w:tcW w:w="2694" w:type="dxa"/>
            <w:gridSpan w:val="2"/>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This draft CR is based on the agreements on R18 NR ATG BS RF requirements made in RAN4 meetings, which are missing TS 38.104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shd w:val="pct30" w:color="FFFF00" w:fill="auto"/>
          </w:tcPr>
          <w:p>
            <w:pPr>
              <w:numPr>
                <w:ilvl w:val="0"/>
                <w:numId w:val="12"/>
              </w:numPr>
              <w:spacing w:after="0"/>
              <w:ind w:left="100"/>
              <w:rPr>
                <w:rFonts w:hint="default" w:ascii="Arial" w:hAnsi="Arial" w:eastAsia="宋体"/>
                <w:lang w:val="en-US" w:eastAsia="zh-CN"/>
              </w:rPr>
            </w:pPr>
            <w:r>
              <w:rPr>
                <w:rFonts w:hint="eastAsia" w:ascii="Arial" w:hAnsi="Arial" w:eastAsia="宋体"/>
                <w:lang w:val="en-US" w:eastAsia="zh-CN"/>
              </w:rPr>
              <w:t>Add a</w:t>
            </w:r>
            <w:r>
              <w:rPr>
                <w:rFonts w:hint="default" w:ascii="Arial" w:hAnsi="Arial" w:eastAsia="宋体"/>
                <w:lang w:val="en-US" w:eastAsia="zh-CN"/>
              </w:rPr>
              <w:t>bbreviation</w:t>
            </w:r>
            <w:r>
              <w:rPr>
                <w:rFonts w:hint="eastAsia" w:ascii="Arial" w:hAnsi="Arial" w:eastAsia="宋体"/>
                <w:lang w:val="en-US" w:eastAsia="zh-CN"/>
              </w:rPr>
              <w:t xml:space="preserve"> of ATG;</w:t>
            </w:r>
          </w:p>
          <w:p>
            <w:pPr>
              <w:numPr>
                <w:ilvl w:val="0"/>
                <w:numId w:val="12"/>
              </w:numPr>
              <w:spacing w:after="0"/>
              <w:ind w:left="100"/>
              <w:rPr>
                <w:rFonts w:hint="default" w:ascii="Arial" w:hAnsi="Arial" w:eastAsia="宋体"/>
                <w:lang w:val="en-US" w:eastAsia="zh-CN"/>
              </w:rPr>
            </w:pPr>
            <w:r>
              <w:rPr>
                <w:rFonts w:hint="eastAsia" w:ascii="Arial" w:hAnsi="Arial" w:eastAsia="宋体"/>
                <w:lang w:val="en-US" w:eastAsia="zh-CN"/>
              </w:rPr>
              <w:t>Add d</w:t>
            </w:r>
            <w:r>
              <w:rPr>
                <w:rFonts w:hint="default" w:ascii="Arial" w:hAnsi="Arial" w:eastAsia="宋体"/>
                <w:lang w:val="en-US" w:eastAsia="zh-CN"/>
              </w:rPr>
              <w:t>efinition</w:t>
            </w:r>
            <w:r>
              <w:rPr>
                <w:rFonts w:hint="eastAsia" w:ascii="Arial" w:hAnsi="Arial" w:eastAsia="宋体"/>
                <w:lang w:val="en-US" w:eastAsia="zh-CN"/>
              </w:rPr>
              <w:t xml:space="preserve"> of ATG base station classes</w:t>
            </w:r>
            <w:bookmarkStart w:id="370" w:name="_GoBack"/>
            <w:bookmarkEnd w:id="370"/>
            <w:r>
              <w:rPr>
                <w:rFonts w:hint="eastAsia" w:ascii="Arial" w:hAnsi="Arial" w:eastAsia="宋体"/>
                <w:lang w:val="en-US" w:eastAsia="zh-CN"/>
              </w:rPr>
              <w:t>;</w:t>
            </w:r>
          </w:p>
          <w:p>
            <w:pPr>
              <w:numPr>
                <w:ilvl w:val="0"/>
                <w:numId w:val="12"/>
              </w:numPr>
              <w:spacing w:after="0"/>
              <w:ind w:left="100"/>
              <w:rPr>
                <w:rFonts w:hint="default" w:ascii="Arial" w:hAnsi="Arial" w:eastAsia="宋体"/>
                <w:lang w:val="en-US" w:eastAsia="zh-CN"/>
              </w:rPr>
            </w:pPr>
            <w:r>
              <w:rPr>
                <w:rFonts w:hint="eastAsia" w:ascii="Arial" w:hAnsi="Arial" w:eastAsia="宋体"/>
                <w:lang w:val="en-US" w:eastAsia="zh-CN"/>
              </w:rPr>
              <w:t>Clarify there is no r</w:t>
            </w:r>
            <w:r>
              <w:rPr>
                <w:rFonts w:hint="default" w:ascii="Arial" w:hAnsi="Arial" w:eastAsia="宋体"/>
                <w:lang w:val="en-US" w:eastAsia="zh-CN"/>
              </w:rPr>
              <w:t xml:space="preserve">equirements for </w:t>
            </w:r>
            <w:r>
              <w:rPr>
                <w:rFonts w:hint="eastAsia" w:ascii="Arial" w:hAnsi="Arial" w:eastAsia="宋体"/>
                <w:lang w:val="en-US" w:eastAsia="zh-CN"/>
              </w:rPr>
              <w:t xml:space="preserve">ATG </w:t>
            </w:r>
            <w:r>
              <w:rPr>
                <w:rFonts w:hint="default" w:ascii="Arial" w:hAnsi="Arial" w:eastAsia="宋体"/>
                <w:lang w:val="en-US" w:eastAsia="zh-CN"/>
              </w:rPr>
              <w:t>BS capable of multi-band operation</w:t>
            </w:r>
            <w:r>
              <w:rPr>
                <w:rFonts w:hint="eastAsia" w:ascii="Arial" w:hAnsi="Arial" w:eastAsia="宋体"/>
                <w:lang w:val="en-US" w:eastAsia="zh-CN"/>
              </w:rPr>
              <w:t>;</w:t>
            </w:r>
          </w:p>
          <w:p>
            <w:pPr>
              <w:numPr>
                <w:ilvl w:val="0"/>
                <w:numId w:val="12"/>
              </w:numPr>
              <w:spacing w:after="0"/>
              <w:ind w:left="100"/>
              <w:rPr>
                <w:rFonts w:hint="default" w:ascii="Arial" w:hAnsi="Arial" w:eastAsia="宋体"/>
                <w:lang w:val="en-US" w:eastAsia="zh-CN"/>
              </w:rPr>
            </w:pPr>
            <w:r>
              <w:rPr>
                <w:rFonts w:hint="eastAsia" w:ascii="Arial" w:hAnsi="Arial" w:eastAsia="宋体"/>
                <w:lang w:val="en-US" w:eastAsia="zh-CN"/>
              </w:rPr>
              <w:t>Add operation bands of ATG;</w:t>
            </w:r>
          </w:p>
          <w:p>
            <w:pPr>
              <w:numPr>
                <w:ilvl w:val="0"/>
                <w:numId w:val="12"/>
              </w:numPr>
              <w:spacing w:after="0"/>
              <w:ind w:left="100"/>
              <w:rPr>
                <w:rFonts w:hint="default" w:ascii="Arial" w:hAnsi="Arial" w:eastAsia="宋体"/>
                <w:lang w:val="en-US" w:eastAsia="zh-CN"/>
              </w:rPr>
            </w:pPr>
            <w:r>
              <w:rPr>
                <w:rFonts w:hint="eastAsia" w:ascii="Arial" w:hAnsi="Arial" w:eastAsia="宋体"/>
                <w:lang w:val="en-US" w:eastAsia="zh-CN"/>
              </w:rPr>
              <w:t>Clarify there is no TAE requirements for ATG BS.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0" w:hRule="atLeast"/>
        </w:trPr>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NR ATG BS RF requirements are missing.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3.3, 4.4, 4.8, 5.2, 6.5.3, 9.6.3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p>
        </w:tc>
        <w:tc>
          <w:tcPr>
            <w:tcW w:w="284" w:type="dxa"/>
          </w:tcPr>
          <w:p>
            <w:pPr>
              <w:spacing w:after="0"/>
              <w:jc w:val="center"/>
              <w:rPr>
                <w:rFonts w:ascii="Arial" w:hAnsi="Arial" w:eastAsia="宋体"/>
                <w:b/>
                <w:caps/>
              </w:rPr>
            </w:pPr>
            <w:r>
              <w:rPr>
                <w:rFonts w:ascii="Arial" w:hAnsi="Arial" w:eastAsia="宋体"/>
                <w:b/>
                <w:caps/>
              </w:rPr>
              <w:t>Y</w:t>
            </w:r>
          </w:p>
        </w:tc>
        <w:tc>
          <w:tcPr>
            <w:tcW w:w="284" w:type="dxa"/>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shd w:val="clear" w:color="FFFF00" w:fill="auto"/>
          </w:tcPr>
          <w:p>
            <w:pPr>
              <w:spacing w:after="0"/>
              <w:ind w:left="99"/>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specs</w:t>
            </w:r>
          </w:p>
        </w:tc>
        <w:tc>
          <w:tcPr>
            <w:tcW w:w="284" w:type="dxa"/>
            <w:shd w:val="pct25" w:color="FFFF00" w:fill="auto"/>
          </w:tcPr>
          <w:p>
            <w:pPr>
              <w:spacing w:after="0"/>
              <w:jc w:val="center"/>
              <w:rPr>
                <w:rFonts w:ascii="Arial" w:hAnsi="Arial" w:eastAsia="宋体"/>
                <w:b/>
                <w:caps/>
                <w:lang w:eastAsia="zh-CN"/>
              </w:rPr>
            </w:pPr>
          </w:p>
        </w:tc>
        <w:tc>
          <w:tcPr>
            <w:tcW w:w="284" w:type="dxa"/>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shd w:val="pct30" w:color="FFFF00" w:fill="auto"/>
          </w:tcPr>
          <w:p>
            <w:pPr>
              <w:spacing w:after="0"/>
              <w:ind w:left="99"/>
              <w:rPr>
                <w:rFonts w:ascii="Arial" w:hAnsi="Arial" w:eastAsia="宋体"/>
              </w:rPr>
            </w:pPr>
            <w:bookmarkStart w:id="5" w:name="OLE_LINK1"/>
            <w:r>
              <w:rPr>
                <w:rFonts w:ascii="Arial" w:hAnsi="Arial" w:eastAsia="宋体"/>
              </w:rPr>
              <w:t xml:space="preserve">TS/TR ... CR ... </w:t>
            </w:r>
            <w:bookmarkEnd w:id="5"/>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affected:</w:t>
            </w:r>
          </w:p>
        </w:tc>
        <w:tc>
          <w:tcPr>
            <w:tcW w:w="284" w:type="dxa"/>
            <w:shd w:val="pct25" w:color="FFFF00" w:fill="auto"/>
          </w:tcPr>
          <w:p>
            <w:pPr>
              <w:spacing w:after="0"/>
              <w:jc w:val="center"/>
              <w:rPr>
                <w:rFonts w:hint="eastAsia" w:ascii="Arial" w:hAnsi="Arial" w:eastAsia="宋体"/>
                <w:b/>
                <w:caps/>
                <w:lang w:eastAsia="zh-CN"/>
              </w:rPr>
            </w:pPr>
          </w:p>
        </w:tc>
        <w:tc>
          <w:tcPr>
            <w:tcW w:w="284" w:type="dxa"/>
            <w:shd w:val="pct30" w:color="FFFF00" w:fill="auto"/>
          </w:tcPr>
          <w:p>
            <w:pPr>
              <w:spacing w:after="0"/>
              <w:jc w:val="center"/>
              <w:rPr>
                <w:rFonts w:hint="default"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shd w:val="pct30" w:color="FFFF00" w:fill="auto"/>
          </w:tcPr>
          <w:p>
            <w:pPr>
              <w:spacing w:after="0"/>
              <w:ind w:left="99"/>
              <w:rPr>
                <w:rFonts w:ascii="Arial" w:hAnsi="Arial" w:eastAsia="宋体"/>
              </w:rPr>
            </w:pPr>
            <w:r>
              <w:rPr>
                <w:rFonts w:ascii="Arial" w:hAnsi="Arial" w:eastAsia="宋体"/>
              </w:rPr>
              <w:t xml:space="preserve">TS/TR ... CR ...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(show related CRs)</w:t>
            </w:r>
          </w:p>
        </w:tc>
        <w:tc>
          <w:tcPr>
            <w:tcW w:w="284" w:type="dxa"/>
            <w:shd w:val="pct25" w:color="FFFF00" w:fill="auto"/>
          </w:tcPr>
          <w:p>
            <w:pPr>
              <w:spacing w:after="0"/>
              <w:jc w:val="center"/>
              <w:rPr>
                <w:rFonts w:ascii="Arial" w:hAnsi="Arial" w:eastAsia="宋体"/>
                <w:b/>
                <w:caps/>
              </w:rPr>
            </w:pPr>
          </w:p>
        </w:tc>
        <w:tc>
          <w:tcPr>
            <w:tcW w:w="284" w:type="dxa"/>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shd w:val="pct30" w:color="FFFF00" w:fill="auto"/>
          </w:tcPr>
          <w:p>
            <w:pPr>
              <w:spacing w:after="0"/>
              <w:ind w:left="99"/>
              <w:rPr>
                <w:rFonts w:ascii="Arial" w:hAnsi="Arial" w:eastAsia="宋体"/>
              </w:rPr>
            </w:pPr>
            <w:r>
              <w:rPr>
                <w:rFonts w:ascii="Arial" w:hAnsi="Arial" w:eastAsia="宋体"/>
              </w:rPr>
              <w:t xml:space="preserve">TS/TR ... CR ...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p>
        </w:tc>
        <w:tc>
          <w:tcPr>
            <w:tcW w:w="6946" w:type="dxa"/>
            <w:gridSpan w:val="9"/>
          </w:tcPr>
          <w:p>
            <w:pPr>
              <w:spacing w:after="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shd w:val="pct30" w:color="FFFF00" w:fill="auto"/>
          </w:tcPr>
          <w:p>
            <w:pPr>
              <w:spacing w:after="0"/>
              <w:ind w:left="10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sz w:val="8"/>
                <w:szCs w:val="8"/>
              </w:rPr>
            </w:pPr>
          </w:p>
        </w:tc>
        <w:tc>
          <w:tcPr>
            <w:tcW w:w="6946" w:type="dxa"/>
            <w:gridSpan w:val="9"/>
            <w:shd w:val="solid" w:color="FFFFFF" w:fill="auto"/>
          </w:tcPr>
          <w:p>
            <w:pPr>
              <w:spacing w:after="0"/>
              <w:ind w:left="10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shd w:val="pct30" w:color="FFFF00" w:fill="auto"/>
          </w:tcPr>
          <w:p>
            <w:pPr>
              <w:spacing w:after="0"/>
              <w:ind w:left="100"/>
              <w:rPr>
                <w:rFonts w:ascii="Arial" w:hAnsi="Arial" w:eastAsia="宋体"/>
              </w:rPr>
            </w:pPr>
          </w:p>
        </w:tc>
      </w:tr>
      <w:bookmarkEnd w:id="2"/>
      <w:bookmarkEnd w:id="3"/>
    </w:tbl>
    <w:p>
      <w:pPr>
        <w:spacing w:after="120"/>
        <w:outlineLvl w:val="0"/>
        <w:rPr>
          <w:rFonts w:ascii="Arial" w:hAnsi="Arial"/>
          <w:b/>
          <w:sz w:val="24"/>
        </w:rPr>
      </w:pPr>
    </w:p>
    <w:p>
      <w:pPr>
        <w:spacing w:after="0"/>
        <w:rPr>
          <w:rFonts w:eastAsia="Yu Mincho"/>
        </w:rPr>
      </w:pPr>
      <w:r>
        <w:rPr>
          <w:rFonts w:eastAsia="Yu Mincho"/>
        </w:rPr>
        <w:br w:type="page"/>
      </w:r>
    </w:p>
    <w:p>
      <w:pPr>
        <w:pStyle w:val="3"/>
        <w:rPr>
          <w:rFonts w:eastAsia="??"/>
          <w:color w:val="FF0000"/>
          <w:szCs w:val="32"/>
        </w:rPr>
      </w:pPr>
      <w:bookmarkStart w:id="6" w:name="_Toc124266414"/>
      <w:bookmarkStart w:id="7" w:name="_Toc107311647"/>
      <w:bookmarkStart w:id="8" w:name="_Toc123717434"/>
      <w:bookmarkStart w:id="9" w:name="_Toc106782756"/>
      <w:bookmarkStart w:id="10" w:name="_Toc115186131"/>
      <w:bookmarkStart w:id="11" w:name="_Toc123051864"/>
      <w:bookmarkStart w:id="12" w:name="_Toc123048945"/>
      <w:bookmarkStart w:id="13" w:name="_Toc107419231"/>
      <w:bookmarkStart w:id="14" w:name="_Toc124157010"/>
      <w:bookmarkStart w:id="15" w:name="_Toc114255451"/>
      <w:bookmarkStart w:id="16" w:name="_Toc107474858"/>
      <w:bookmarkStart w:id="17" w:name="_Toc123054333"/>
      <w:r>
        <w:rPr>
          <w:rFonts w:eastAsia="??"/>
          <w:color w:val="FF0000"/>
          <w:szCs w:val="32"/>
        </w:rPr>
        <w:t>&lt;&lt; Start of change &gt;&gt;</w:t>
      </w:r>
    </w:p>
    <w:bookmarkEnd w:id="6"/>
    <w:bookmarkEnd w:id="7"/>
    <w:bookmarkEnd w:id="8"/>
    <w:bookmarkEnd w:id="9"/>
    <w:bookmarkEnd w:id="10"/>
    <w:bookmarkEnd w:id="11"/>
    <w:bookmarkEnd w:id="12"/>
    <w:bookmarkEnd w:id="13"/>
    <w:bookmarkEnd w:id="14"/>
    <w:bookmarkEnd w:id="15"/>
    <w:bookmarkEnd w:id="16"/>
    <w:bookmarkEnd w:id="17"/>
    <w:p>
      <w:pPr>
        <w:pStyle w:val="3"/>
      </w:pPr>
      <w:bookmarkStart w:id="18" w:name="_Toc45893386"/>
      <w:bookmarkStart w:id="19" w:name="_Toc114255429"/>
      <w:bookmarkStart w:id="20" w:name="_Toc123048923"/>
      <w:bookmarkStart w:id="21" w:name="_Toc21127409"/>
      <w:bookmarkStart w:id="22" w:name="_Toc131595750"/>
      <w:bookmarkStart w:id="23" w:name="_Toc90422541"/>
      <w:bookmarkStart w:id="24" w:name="_Toc124156988"/>
      <w:bookmarkStart w:id="25" w:name="_Toc131766282"/>
      <w:bookmarkStart w:id="26" w:name="_Toc74663154"/>
      <w:bookmarkStart w:id="27" w:name="_Toc123717412"/>
      <w:bookmarkStart w:id="28" w:name="_Toc123051842"/>
      <w:bookmarkStart w:id="29" w:name="_Toc106782734"/>
      <w:bookmarkStart w:id="30" w:name="_Toc37267471"/>
      <w:bookmarkStart w:id="31" w:name="_Toc107311625"/>
      <w:bookmarkStart w:id="32" w:name="_Toc123054311"/>
      <w:bookmarkStart w:id="33" w:name="_Toc107474836"/>
      <w:bookmarkStart w:id="34" w:name="_Toc138837504"/>
      <w:bookmarkStart w:id="35" w:name="_Toc61178790"/>
      <w:bookmarkStart w:id="36" w:name="_Toc37260083"/>
      <w:bookmarkStart w:id="37" w:name="_Toc67916556"/>
      <w:bookmarkStart w:id="38" w:name="_Toc131740748"/>
      <w:bookmarkStart w:id="39" w:name="_Toc44712073"/>
      <w:bookmarkStart w:id="40" w:name="_Toc115186109"/>
      <w:bookmarkStart w:id="41" w:name="_Toc53178564"/>
      <w:bookmarkStart w:id="42" w:name="_Toc36817167"/>
      <w:bookmarkStart w:id="43" w:name="_Toc53178113"/>
      <w:bookmarkStart w:id="44" w:name="_Toc29811615"/>
      <w:bookmarkStart w:id="45" w:name="_Toc82621694"/>
      <w:bookmarkStart w:id="46" w:name="_Toc107419209"/>
      <w:bookmarkStart w:id="47" w:name="_Toc124266392"/>
      <w:bookmarkStart w:id="48" w:name="_Toc61179260"/>
      <w:bookmarkStart w:id="49" w:name="_Toc138934590"/>
      <w:r>
        <w:t>3.3</w:t>
      </w:r>
      <w:r>
        <w:tab/>
      </w:r>
      <w:bookmarkStart w:id="50" w:name="OLE_LINK9"/>
      <w:r>
        <w:t>Abbreviations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2"/>
      </w:pPr>
      <w:bookmarkStart w:id="51" w:name="_Hlk494631454"/>
      <w:r>
        <w:rPr>
          <w:lang w:eastAsia="zh-CN"/>
        </w:rPr>
        <w:t>AA</w:t>
      </w:r>
      <w:r>
        <w:rPr>
          <w:lang w:eastAsia="zh-CN"/>
        </w:rPr>
        <w:tab/>
      </w:r>
      <w:r>
        <w:rPr>
          <w:lang w:eastAsia="zh-CN"/>
        </w:rPr>
        <w:t>Antenna Array</w:t>
      </w:r>
    </w:p>
    <w:p>
      <w:pPr>
        <w:pStyle w:val="92"/>
      </w:pPr>
      <w:r>
        <w:t>AAS</w:t>
      </w:r>
      <w:r>
        <w:tab/>
      </w:r>
      <w:r>
        <w:t>Active Antenna System</w:t>
      </w:r>
    </w:p>
    <w:p>
      <w:pPr>
        <w:pStyle w:val="92"/>
      </w:pPr>
      <w:r>
        <w:t>ACLR</w:t>
      </w:r>
      <w:r>
        <w:tab/>
      </w:r>
      <w:r>
        <w:t>Adjacent Channel Leakage Ratio</w:t>
      </w:r>
    </w:p>
    <w:p>
      <w:pPr>
        <w:pStyle w:val="92"/>
      </w:pPr>
      <w:r>
        <w:t>ACS</w:t>
      </w:r>
      <w:r>
        <w:tab/>
      </w:r>
      <w:r>
        <w:t>Adjacent Channel Selectivity</w:t>
      </w:r>
    </w:p>
    <w:p>
      <w:pPr>
        <w:pStyle w:val="92"/>
        <w:rPr>
          <w:ins w:id="0" w:author="cmcc [2]" w:date="2023-08-10T14:32:05Z"/>
        </w:rPr>
      </w:pPr>
      <w:r>
        <w:t>AoA</w:t>
      </w:r>
      <w:r>
        <w:tab/>
      </w:r>
      <w:r>
        <w:t>Angle of Arrival</w:t>
      </w:r>
    </w:p>
    <w:p>
      <w:pPr>
        <w:pStyle w:val="92"/>
        <w:rPr>
          <w:rFonts w:hint="default" w:eastAsiaTheme="minorEastAsia"/>
          <w:lang w:val="en-US" w:eastAsia="zh-CN"/>
        </w:rPr>
      </w:pPr>
      <w:ins w:id="1" w:author="cmcc [2]" w:date="2023-08-10T14:32:06Z">
        <w:r>
          <w:rPr>
            <w:rFonts w:hint="eastAsia"/>
            <w:lang w:val="en-US" w:eastAsia="zh-CN"/>
          </w:rPr>
          <w:t>ATG</w:t>
        </w:r>
      </w:ins>
      <w:ins w:id="2" w:author="cmcc [2]" w:date="2023-08-10T14:32:07Z">
        <w:r>
          <w:rPr>
            <w:rFonts w:hint="eastAsia"/>
            <w:lang w:val="en-US" w:eastAsia="zh-CN"/>
          </w:rPr>
          <w:t xml:space="preserve">   </w:t>
        </w:r>
      </w:ins>
      <w:ins w:id="3" w:author="cmcc [2]" w:date="2023-08-10T14:32:08Z">
        <w:r>
          <w:rPr>
            <w:rFonts w:hint="eastAsia"/>
            <w:lang w:val="en-US" w:eastAsia="zh-CN"/>
          </w:rPr>
          <w:t xml:space="preserve">          </w:t>
        </w:r>
      </w:ins>
      <w:ins w:id="4" w:author="cmcc [2]" w:date="2023-08-10T14:32:09Z">
        <w:r>
          <w:rPr>
            <w:rFonts w:hint="eastAsia"/>
            <w:lang w:val="en-US" w:eastAsia="zh-CN"/>
          </w:rPr>
          <w:t xml:space="preserve">      </w:t>
        </w:r>
      </w:ins>
      <w:ins w:id="5" w:author="cmcc [2]" w:date="2023-08-10T14:32:10Z">
        <w:r>
          <w:rPr>
            <w:rFonts w:hint="eastAsia"/>
            <w:lang w:val="en-US" w:eastAsia="zh-CN"/>
          </w:rPr>
          <w:t xml:space="preserve"> </w:t>
        </w:r>
      </w:ins>
      <w:ins w:id="6" w:author="cmcc [2]" w:date="2023-08-10T14:32:12Z">
        <w:r>
          <w:rPr>
            <w:rFonts w:hint="eastAsia"/>
            <w:lang w:val="en-US" w:eastAsia="zh-CN"/>
          </w:rPr>
          <w:t>A</w:t>
        </w:r>
      </w:ins>
      <w:ins w:id="7" w:author="cmcc [2]" w:date="2023-08-10T14:32:13Z">
        <w:r>
          <w:rPr>
            <w:rFonts w:hint="eastAsia"/>
            <w:lang w:val="en-US" w:eastAsia="zh-CN"/>
          </w:rPr>
          <w:t>i</w:t>
        </w:r>
      </w:ins>
      <w:ins w:id="8" w:author="cmcc [2]" w:date="2023-08-10T14:32:14Z">
        <w:r>
          <w:rPr>
            <w:rFonts w:hint="eastAsia"/>
            <w:lang w:val="en-US" w:eastAsia="zh-CN"/>
          </w:rPr>
          <w:t xml:space="preserve">r </w:t>
        </w:r>
      </w:ins>
      <w:ins w:id="9" w:author="cmcc [2]" w:date="2023-08-10T14:33:05Z">
        <w:r>
          <w:rPr>
            <w:rFonts w:hint="eastAsia"/>
            <w:lang w:val="en-US" w:eastAsia="zh-CN"/>
          </w:rPr>
          <w:t>T</w:t>
        </w:r>
      </w:ins>
      <w:ins w:id="10" w:author="cmcc [2]" w:date="2023-08-10T14:32:17Z">
        <w:r>
          <w:rPr>
            <w:rFonts w:hint="eastAsia"/>
            <w:lang w:val="en-US" w:eastAsia="zh-CN"/>
          </w:rPr>
          <w:t>o</w:t>
        </w:r>
      </w:ins>
      <w:ins w:id="11" w:author="cmcc [2]" w:date="2023-08-10T14:32:18Z">
        <w:r>
          <w:rPr>
            <w:rFonts w:hint="eastAsia"/>
            <w:lang w:val="en-US" w:eastAsia="zh-CN"/>
          </w:rPr>
          <w:t xml:space="preserve"> </w:t>
        </w:r>
      </w:ins>
      <w:ins w:id="12" w:author="cmcc [2]" w:date="2023-08-10T14:32:26Z">
        <w:r>
          <w:rPr>
            <w:rFonts w:hint="eastAsia"/>
            <w:lang w:val="en-US" w:eastAsia="zh-CN"/>
          </w:rPr>
          <w:t>G</w:t>
        </w:r>
      </w:ins>
      <w:ins w:id="13" w:author="cmcc [2]" w:date="2023-08-10T14:32:28Z">
        <w:r>
          <w:rPr>
            <w:rFonts w:hint="eastAsia"/>
            <w:lang w:val="en-US" w:eastAsia="zh-CN"/>
          </w:rPr>
          <w:t>ro</w:t>
        </w:r>
      </w:ins>
      <w:ins w:id="14" w:author="cmcc [2]" w:date="2023-08-10T14:32:29Z">
        <w:r>
          <w:rPr>
            <w:rFonts w:hint="eastAsia"/>
            <w:lang w:val="en-US" w:eastAsia="zh-CN"/>
          </w:rPr>
          <w:t>un</w:t>
        </w:r>
      </w:ins>
      <w:ins w:id="15" w:author="cmcc [2]" w:date="2023-08-10T14:32:30Z">
        <w:r>
          <w:rPr>
            <w:rFonts w:hint="eastAsia"/>
            <w:lang w:val="en-US" w:eastAsia="zh-CN"/>
          </w:rPr>
          <w:t>d</w:t>
        </w:r>
      </w:ins>
    </w:p>
    <w:p>
      <w:pPr>
        <w:pStyle w:val="92"/>
        <w:rPr>
          <w:lang w:eastAsia="zh-CN"/>
        </w:rPr>
      </w:pPr>
      <w:r>
        <w:rPr>
          <w:lang w:eastAsia="zh-CN"/>
        </w:rPr>
        <w:t>AWGN</w:t>
      </w:r>
      <w:r>
        <w:rPr>
          <w:lang w:eastAsia="zh-CN"/>
        </w:rPr>
        <w:tab/>
      </w:r>
      <w:r>
        <w:t>Additive White Gaussian Noise</w:t>
      </w:r>
    </w:p>
    <w:p>
      <w:pPr>
        <w:pStyle w:val="92"/>
      </w:pPr>
      <w:r>
        <w:t>BS</w:t>
      </w:r>
      <w:r>
        <w:tab/>
      </w:r>
      <w:r>
        <w:t>Base Station</w:t>
      </w:r>
    </w:p>
    <w:p>
      <w:pPr>
        <w:pStyle w:val="92"/>
      </w:pPr>
      <w:r>
        <w:t>BW</w:t>
      </w:r>
      <w:r>
        <w:tab/>
      </w:r>
      <w:r>
        <w:t>Bandwidth</w:t>
      </w:r>
    </w:p>
    <w:p>
      <w:pPr>
        <w:pStyle w:val="92"/>
      </w:pPr>
      <w:r>
        <w:t>CA</w:t>
      </w:r>
      <w:r>
        <w:tab/>
      </w:r>
      <w:r>
        <w:t>Carrier Aggregation</w:t>
      </w:r>
    </w:p>
    <w:p>
      <w:pPr>
        <w:pStyle w:val="92"/>
      </w:pPr>
      <w:r>
        <w:t>CACLR</w:t>
      </w:r>
      <w:r>
        <w:tab/>
      </w:r>
      <w:r>
        <w:t>Cumulative ACLR</w:t>
      </w:r>
    </w:p>
    <w:p>
      <w:pPr>
        <w:pStyle w:val="92"/>
      </w:pPr>
      <w:r>
        <w:t>CPE</w:t>
      </w:r>
      <w:r>
        <w:tab/>
      </w:r>
      <w:r>
        <w:t>Common Phase Error</w:t>
      </w:r>
    </w:p>
    <w:p>
      <w:pPr>
        <w:pStyle w:val="92"/>
      </w:pPr>
      <w:r>
        <w:t>CP-OFDM</w:t>
      </w:r>
      <w:r>
        <w:tab/>
      </w:r>
      <w:r>
        <w:t>Cyclic Prefix-OFDM</w:t>
      </w:r>
    </w:p>
    <w:p>
      <w:pPr>
        <w:pStyle w:val="92"/>
      </w:pPr>
      <w:r>
        <w:t>CW</w:t>
      </w:r>
      <w:r>
        <w:tab/>
      </w:r>
      <w:r>
        <w:t>Continuous Wave</w:t>
      </w:r>
    </w:p>
    <w:p>
      <w:pPr>
        <w:pStyle w:val="92"/>
      </w:pPr>
      <w:r>
        <w:rPr>
          <w:lang w:eastAsia="zh-CN"/>
        </w:rPr>
        <w:t>DFT-s-OFDM</w:t>
      </w:r>
      <w:r>
        <w:rPr>
          <w:lang w:eastAsia="zh-CN"/>
        </w:rPr>
        <w:tab/>
      </w:r>
      <w:r>
        <w:rPr>
          <w:lang w:eastAsia="zh-CN"/>
        </w:rPr>
        <w:t>Discrete Fourier Transform-spread-OFDM</w:t>
      </w:r>
    </w:p>
    <w:p>
      <w:pPr>
        <w:pStyle w:val="92"/>
      </w:pPr>
      <w:r>
        <w:t>DM-RS</w:t>
      </w:r>
      <w:r>
        <w:tab/>
      </w:r>
      <w:r>
        <w:t>Demodulation Reference Signal</w:t>
      </w:r>
    </w:p>
    <w:p>
      <w:pPr>
        <w:pStyle w:val="92"/>
      </w:pPr>
      <w:r>
        <w:t>EIS</w:t>
      </w:r>
      <w:r>
        <w:tab/>
      </w:r>
      <w:r>
        <w:t>Equivalent Isotropic Sensitivity</w:t>
      </w:r>
    </w:p>
    <w:p>
      <w:pPr>
        <w:pStyle w:val="92"/>
      </w:pPr>
      <w:r>
        <w:t>EIRP</w:t>
      </w:r>
      <w:r>
        <w:tab/>
      </w:r>
      <w:r>
        <w:t>Effective Isotropic Radiated Power</w:t>
      </w:r>
    </w:p>
    <w:p>
      <w:pPr>
        <w:pStyle w:val="92"/>
      </w:pPr>
      <w:r>
        <w:t>E-UTRA</w:t>
      </w:r>
      <w:r>
        <w:tab/>
      </w:r>
      <w:r>
        <w:t>Evolved UTRA</w:t>
      </w:r>
    </w:p>
    <w:p>
      <w:pPr>
        <w:pStyle w:val="92"/>
        <w:rPr>
          <w:rFonts w:cs="v4.2.0"/>
        </w:rPr>
      </w:pPr>
      <w:r>
        <w:rPr>
          <w:rFonts w:cs="v4.2.0"/>
        </w:rPr>
        <w:t>EVM</w:t>
      </w:r>
      <w:r>
        <w:rPr>
          <w:rFonts w:cs="v4.2.0"/>
        </w:rPr>
        <w:tab/>
      </w:r>
      <w:r>
        <w:rPr>
          <w:rFonts w:cs="v4.2.0"/>
        </w:rPr>
        <w:t>Error Vector Magnitude</w:t>
      </w:r>
    </w:p>
    <w:p>
      <w:pPr>
        <w:pStyle w:val="92"/>
      </w:pPr>
      <w:r>
        <w:t>FBW</w:t>
      </w:r>
      <w:r>
        <w:tab/>
      </w:r>
      <w:r>
        <w:t>Fractional Bandwidth</w:t>
      </w:r>
    </w:p>
    <w:p>
      <w:pPr>
        <w:pStyle w:val="92"/>
      </w:pPr>
      <w:r>
        <w:t>FR</w:t>
      </w:r>
      <w:r>
        <w:tab/>
      </w:r>
      <w:r>
        <w:t>Frequency Range</w:t>
      </w:r>
    </w:p>
    <w:p>
      <w:pPr>
        <w:pStyle w:val="92"/>
      </w:pPr>
      <w:r>
        <w:rPr>
          <w:lang w:eastAsia="zh-CN"/>
        </w:rPr>
        <w:t>FRC</w:t>
      </w:r>
      <w:r>
        <w:rPr>
          <w:lang w:eastAsia="zh-CN"/>
        </w:rPr>
        <w:tab/>
      </w:r>
      <w:r>
        <w:rPr>
          <w:lang w:eastAsia="zh-CN"/>
        </w:rPr>
        <w:t>Fixed Reference Channel</w:t>
      </w:r>
    </w:p>
    <w:p>
      <w:pPr>
        <w:pStyle w:val="92"/>
      </w:pPr>
      <w:r>
        <w:t>GSCN</w:t>
      </w:r>
      <w:r>
        <w:tab/>
      </w:r>
      <w:r>
        <w:t>Global Synchronization Channel Number</w:t>
      </w:r>
    </w:p>
    <w:p>
      <w:pPr>
        <w:pStyle w:val="92"/>
      </w:pPr>
      <w:r>
        <w:t>GSM</w:t>
      </w:r>
      <w:r>
        <w:tab/>
      </w:r>
      <w:r>
        <w:t>Global System for Mobile communications</w:t>
      </w:r>
    </w:p>
    <w:p>
      <w:pPr>
        <w:pStyle w:val="92"/>
      </w:pPr>
      <w:r>
        <w:t>HAPS</w:t>
      </w:r>
      <w:r>
        <w:tab/>
      </w:r>
      <w:r>
        <w:t>High Altitude Platform Station</w:t>
      </w:r>
    </w:p>
    <w:p>
      <w:pPr>
        <w:pStyle w:val="92"/>
      </w:pPr>
      <w:r>
        <w:t>ITU</w:t>
      </w:r>
      <w:r>
        <w:noBreakHyphen/>
      </w:r>
      <w:r>
        <w:t>R</w:t>
      </w:r>
      <w:r>
        <w:tab/>
      </w:r>
      <w:r>
        <w:t>Radiocommunication Sector of the International Telecommunication Union</w:t>
      </w:r>
    </w:p>
    <w:p>
      <w:pPr>
        <w:pStyle w:val="92"/>
      </w:pPr>
      <w:r>
        <w:t>ICS</w:t>
      </w:r>
      <w:r>
        <w:tab/>
      </w:r>
      <w:r>
        <w:t>In-Channel Selectivity</w:t>
      </w:r>
    </w:p>
    <w:p>
      <w:pPr>
        <w:pStyle w:val="92"/>
      </w:pPr>
      <w:r>
        <w:t>LA</w:t>
      </w:r>
      <w:r>
        <w:tab/>
      </w:r>
      <w:r>
        <w:t>Local Area</w:t>
      </w:r>
    </w:p>
    <w:p>
      <w:pPr>
        <w:pStyle w:val="92"/>
      </w:pPr>
      <w:r>
        <w:t>LNA</w:t>
      </w:r>
      <w:r>
        <w:tab/>
      </w:r>
      <w:r>
        <w:t>Low Noise Amplifier</w:t>
      </w:r>
    </w:p>
    <w:p>
      <w:pPr>
        <w:pStyle w:val="92"/>
      </w:pPr>
      <w:r>
        <w:t>MCS</w:t>
      </w:r>
      <w:r>
        <w:tab/>
      </w:r>
      <w:r>
        <w:t>Modulation and Coding Scheme</w:t>
      </w:r>
    </w:p>
    <w:p>
      <w:pPr>
        <w:pStyle w:val="92"/>
      </w:pPr>
      <w:r>
        <w:t>MR</w:t>
      </w:r>
      <w:r>
        <w:tab/>
      </w:r>
      <w:r>
        <w:t>Medium Range</w:t>
      </w:r>
    </w:p>
    <w:p>
      <w:pPr>
        <w:pStyle w:val="92"/>
      </w:pPr>
      <w:r>
        <w:rPr>
          <w:lang w:val="en-US" w:eastAsia="zh-CN"/>
        </w:rPr>
        <w:t>NB-IoT</w:t>
      </w:r>
      <w:r>
        <w:rPr>
          <w:lang w:val="en-US" w:eastAsia="zh-CN"/>
        </w:rPr>
        <w:tab/>
      </w:r>
      <w:r>
        <w:rPr>
          <w:lang w:val="en-US" w:eastAsia="zh-CN"/>
        </w:rPr>
        <w:t>Narrowband – Internet of Things</w:t>
      </w:r>
    </w:p>
    <w:p>
      <w:pPr>
        <w:pStyle w:val="92"/>
      </w:pPr>
      <w:r>
        <w:t>NR</w:t>
      </w:r>
      <w:r>
        <w:tab/>
      </w:r>
      <w:r>
        <w:t>New Radio</w:t>
      </w:r>
    </w:p>
    <w:p>
      <w:pPr>
        <w:pStyle w:val="92"/>
      </w:pPr>
      <w:r>
        <w:t>NR-ARFCN</w:t>
      </w:r>
      <w:r>
        <w:tab/>
      </w:r>
      <w:r>
        <w:t>NR Absolute Radio Frequency Channel Number</w:t>
      </w:r>
    </w:p>
    <w:p>
      <w:pPr>
        <w:pStyle w:val="92"/>
      </w:pPr>
      <w:r>
        <w:t>OBUE</w:t>
      </w:r>
      <w:r>
        <w:tab/>
      </w:r>
      <w:r>
        <w:t>Operating Band Unwanted Emissions</w:t>
      </w:r>
    </w:p>
    <w:p>
      <w:pPr>
        <w:pStyle w:val="92"/>
        <w:rPr>
          <w:rFonts w:eastAsia="宋体"/>
          <w:lang w:val="en-US" w:eastAsia="zh-CN"/>
        </w:rPr>
      </w:pPr>
      <w:r>
        <w:t>O</w:t>
      </w:r>
      <w:r>
        <w:rPr>
          <w:rFonts w:hint="eastAsia" w:eastAsia="宋体"/>
          <w:lang w:val="en-US" w:eastAsia="zh-CN"/>
        </w:rPr>
        <w:t>CC</w:t>
      </w:r>
      <w:r>
        <w:tab/>
      </w:r>
      <w:r>
        <w:t>O</w:t>
      </w:r>
      <w:r>
        <w:rPr>
          <w:rFonts w:hint="eastAsia" w:eastAsia="宋体"/>
          <w:lang w:val="en-US" w:eastAsia="zh-CN"/>
        </w:rPr>
        <w:t>rthogonal Covering Code</w:t>
      </w:r>
    </w:p>
    <w:p>
      <w:pPr>
        <w:pStyle w:val="92"/>
        <w:rPr>
          <w:rFonts w:eastAsia="宋体"/>
          <w:lang w:val="en-US" w:eastAsia="zh-CN"/>
        </w:rPr>
      </w:pPr>
      <w:r>
        <w:t>OOB</w:t>
      </w:r>
      <w:r>
        <w:tab/>
      </w:r>
      <w:r>
        <w:t>Out-of-band</w:t>
      </w:r>
    </w:p>
    <w:p>
      <w:pPr>
        <w:pStyle w:val="92"/>
      </w:pPr>
      <w:r>
        <w:t>OSDD</w:t>
      </w:r>
      <w:r>
        <w:tab/>
      </w:r>
      <w:r>
        <w:t>OTA Sensitivity Directions Declaration</w:t>
      </w:r>
    </w:p>
    <w:p>
      <w:pPr>
        <w:pStyle w:val="92"/>
      </w:pPr>
      <w:r>
        <w:t>OTA</w:t>
      </w:r>
      <w:r>
        <w:tab/>
      </w:r>
      <w:r>
        <w:t>Over-The-Air</w:t>
      </w:r>
    </w:p>
    <w:p>
      <w:pPr>
        <w:pStyle w:val="92"/>
      </w:pPr>
      <w:r>
        <w:rPr>
          <w:lang w:eastAsia="zh-CN"/>
        </w:rPr>
        <w:t>PRB</w:t>
      </w:r>
      <w:r>
        <w:rPr>
          <w:lang w:eastAsia="zh-CN"/>
        </w:rPr>
        <w:tab/>
      </w:r>
      <w:r>
        <w:t xml:space="preserve">Physical Resource Block </w:t>
      </w:r>
    </w:p>
    <w:p>
      <w:pPr>
        <w:pStyle w:val="92"/>
      </w:pPr>
      <w:r>
        <w:t>PT-RS</w:t>
      </w:r>
      <w:r>
        <w:tab/>
      </w:r>
      <w:r>
        <w:t>Phase Tracking Reference Signal</w:t>
      </w:r>
    </w:p>
    <w:p>
      <w:pPr>
        <w:pStyle w:val="92"/>
        <w:rPr>
          <w:lang w:val="fr-FR"/>
        </w:rPr>
      </w:pPr>
      <w:r>
        <w:rPr>
          <w:lang w:val="fr-FR"/>
        </w:rPr>
        <w:t>QAM</w:t>
      </w:r>
      <w:r>
        <w:rPr>
          <w:lang w:val="fr-FR"/>
        </w:rPr>
        <w:tab/>
      </w:r>
      <w:r>
        <w:rPr>
          <w:lang w:val="fr-FR"/>
        </w:rPr>
        <w:t>Quadrature Amplitude Modulation</w:t>
      </w:r>
    </w:p>
    <w:p>
      <w:pPr>
        <w:pStyle w:val="92"/>
        <w:rPr>
          <w:rFonts w:eastAsia="宋体"/>
          <w:lang w:val="fr-FR" w:eastAsia="zh-CN"/>
        </w:rPr>
      </w:pPr>
      <w:bookmarkStart w:id="52" w:name="OLE_LINK17"/>
      <w:r>
        <w:rPr>
          <w:lang w:val="fr-FR"/>
        </w:rPr>
        <w:t>RB</w:t>
      </w:r>
      <w:r>
        <w:rPr>
          <w:lang w:val="fr-FR"/>
        </w:rPr>
        <w:tab/>
      </w:r>
      <w:r>
        <w:rPr>
          <w:lang w:val="fr-FR"/>
        </w:rPr>
        <w:t>Resource Bloc</w:t>
      </w:r>
      <w:bookmarkEnd w:id="52"/>
      <w:r>
        <w:rPr>
          <w:rFonts w:hint="eastAsia" w:eastAsia="宋体"/>
          <w:lang w:val="fr-FR" w:eastAsia="zh-CN"/>
        </w:rPr>
        <w:t>k</w:t>
      </w:r>
    </w:p>
    <w:p>
      <w:pPr>
        <w:pStyle w:val="92"/>
      </w:pPr>
      <w:r>
        <w:t>RDN</w:t>
      </w:r>
      <w:r>
        <w:tab/>
      </w:r>
      <w:r>
        <w:t>Radio Distribution Network</w:t>
      </w:r>
    </w:p>
    <w:p>
      <w:pPr>
        <w:pStyle w:val="92"/>
      </w:pPr>
      <w:r>
        <w:t>RE</w:t>
      </w:r>
      <w:r>
        <w:tab/>
      </w:r>
      <w:r>
        <w:t>Resource Element</w:t>
      </w:r>
    </w:p>
    <w:p>
      <w:pPr>
        <w:pStyle w:val="92"/>
      </w:pPr>
      <w:r>
        <w:t>REFSENS</w:t>
      </w:r>
      <w:r>
        <w:tab/>
      </w:r>
      <w:r>
        <w:t>Reference Sensitivity</w:t>
      </w:r>
    </w:p>
    <w:p>
      <w:pPr>
        <w:pStyle w:val="92"/>
        <w:rPr>
          <w:lang w:eastAsia="zh-CN"/>
        </w:rPr>
      </w:pPr>
      <w:r>
        <w:t>RF</w:t>
      </w:r>
      <w:r>
        <w:tab/>
      </w:r>
      <w:r>
        <w:t>Radio Frequency</w:t>
      </w:r>
    </w:p>
    <w:p>
      <w:pPr>
        <w:pStyle w:val="92"/>
      </w:pPr>
      <w:r>
        <w:t>RIB</w:t>
      </w:r>
      <w:r>
        <w:tab/>
      </w:r>
      <w:r>
        <w:t>Radiated Interface Boundary</w:t>
      </w:r>
    </w:p>
    <w:p>
      <w:pPr>
        <w:pStyle w:val="92"/>
      </w:pPr>
      <w:r>
        <w:t>RMS</w:t>
      </w:r>
      <w:r>
        <w:tab/>
      </w:r>
      <w:r>
        <w:t>Root Mean Square (value)</w:t>
      </w:r>
    </w:p>
    <w:p>
      <w:pPr>
        <w:pStyle w:val="92"/>
      </w:pPr>
      <w:r>
        <w:t>RoAoA</w:t>
      </w:r>
      <w:r>
        <w:tab/>
      </w:r>
      <w:r>
        <w:t xml:space="preserve">Range of Angles of Arrival </w:t>
      </w:r>
    </w:p>
    <w:p>
      <w:pPr>
        <w:pStyle w:val="92"/>
        <w:rPr>
          <w:lang w:val="fr-FR"/>
        </w:rPr>
      </w:pPr>
      <w:r>
        <w:rPr>
          <w:lang w:val="fr-FR"/>
        </w:rPr>
        <w:t>QAM</w:t>
      </w:r>
      <w:r>
        <w:rPr>
          <w:lang w:val="fr-FR"/>
        </w:rPr>
        <w:tab/>
      </w:r>
      <w:r>
        <w:rPr>
          <w:lang w:val="fr-FR"/>
        </w:rPr>
        <w:t>Quadrature Amplitude Modulation</w:t>
      </w:r>
    </w:p>
    <w:p>
      <w:pPr>
        <w:pStyle w:val="92"/>
        <w:rPr>
          <w:rFonts w:eastAsia="宋体"/>
          <w:lang w:val="fr-FR" w:eastAsia="zh-CN"/>
        </w:rPr>
      </w:pPr>
      <w:r>
        <w:rPr>
          <w:lang w:val="fr-FR"/>
        </w:rPr>
        <w:t>RB</w:t>
      </w:r>
      <w:r>
        <w:rPr>
          <w:lang w:val="fr-FR"/>
        </w:rPr>
        <w:tab/>
      </w:r>
      <w:r>
        <w:rPr>
          <w:lang w:val="fr-FR"/>
        </w:rPr>
        <w:t>Resource Bloc</w:t>
      </w:r>
      <w:r>
        <w:rPr>
          <w:rFonts w:hint="eastAsia" w:eastAsia="宋体"/>
          <w:lang w:val="fr-FR" w:eastAsia="zh-CN"/>
        </w:rPr>
        <w:t>k</w:t>
      </w:r>
    </w:p>
    <w:p>
      <w:pPr>
        <w:pStyle w:val="92"/>
        <w:rPr>
          <w:lang w:eastAsia="zh-CN"/>
        </w:rPr>
      </w:pPr>
      <w:r>
        <w:t>RX</w:t>
      </w:r>
      <w:r>
        <w:tab/>
      </w:r>
      <w:r>
        <w:t>Receiver</w:t>
      </w:r>
    </w:p>
    <w:p>
      <w:pPr>
        <w:pStyle w:val="92"/>
      </w:pPr>
      <w:r>
        <w:t>SCS</w:t>
      </w:r>
      <w:r>
        <w:tab/>
      </w:r>
      <w:r>
        <w:t>Sub-Carrier Spacing</w:t>
      </w:r>
    </w:p>
    <w:p>
      <w:pPr>
        <w:pStyle w:val="92"/>
      </w:pPr>
      <w:r>
        <w:t>SDL</w:t>
      </w:r>
      <w:r>
        <w:tab/>
      </w:r>
      <w:r>
        <w:t>Supplementary Downlink</w:t>
      </w:r>
    </w:p>
    <w:p>
      <w:pPr>
        <w:pStyle w:val="92"/>
      </w:pPr>
      <w:r>
        <w:t>SS</w:t>
      </w:r>
      <w:r>
        <w:tab/>
      </w:r>
      <w:r>
        <w:t xml:space="preserve">Synchronization Symbol </w:t>
      </w:r>
    </w:p>
    <w:p>
      <w:pPr>
        <w:pStyle w:val="92"/>
      </w:pPr>
      <w:r>
        <w:t>SSB</w:t>
      </w:r>
      <w:r>
        <w:tab/>
      </w:r>
      <w:r>
        <w:t>Synchronization Signal Block</w:t>
      </w:r>
    </w:p>
    <w:p>
      <w:pPr>
        <w:pStyle w:val="92"/>
      </w:pPr>
      <w:r>
        <w:t>SUL</w:t>
      </w:r>
      <w:r>
        <w:tab/>
      </w:r>
      <w:r>
        <w:t>Supplementary Uplink</w:t>
      </w:r>
    </w:p>
    <w:p>
      <w:pPr>
        <w:pStyle w:val="92"/>
      </w:pPr>
      <w:r>
        <w:t>TAB</w:t>
      </w:r>
      <w:r>
        <w:tab/>
      </w:r>
      <w:r>
        <w:t>Transceiver Array Boundary</w:t>
      </w:r>
    </w:p>
    <w:p>
      <w:pPr>
        <w:pStyle w:val="92"/>
      </w:pPr>
      <w:r>
        <w:t>TAE</w:t>
      </w:r>
      <w:r>
        <w:tab/>
      </w:r>
      <w:r>
        <w:t>Time Alignment Error</w:t>
      </w:r>
    </w:p>
    <w:p>
      <w:pPr>
        <w:pStyle w:val="92"/>
        <w:rPr>
          <w:rFonts w:eastAsia="宋体"/>
          <w:lang w:val="en-US" w:eastAsia="zh-CN"/>
        </w:rPr>
      </w:pPr>
      <w:r>
        <w:t>TDL</w:t>
      </w:r>
      <w:r>
        <w:tab/>
      </w:r>
      <w:r>
        <w:t>Tapped Delay Lin</w:t>
      </w:r>
      <w:r>
        <w:rPr>
          <w:rFonts w:hint="eastAsia" w:eastAsia="宋体"/>
          <w:lang w:val="en-US" w:eastAsia="zh-CN"/>
        </w:rPr>
        <w:t>e</w:t>
      </w:r>
    </w:p>
    <w:p>
      <w:pPr>
        <w:pStyle w:val="92"/>
      </w:pPr>
      <w:r>
        <w:t>TX</w:t>
      </w:r>
      <w:r>
        <w:tab/>
      </w:r>
      <w:r>
        <w:t>Transmitter</w:t>
      </w:r>
    </w:p>
    <w:bookmarkEnd w:id="51"/>
    <w:p>
      <w:pPr>
        <w:pStyle w:val="92"/>
      </w:pPr>
      <w:r>
        <w:t>TRP</w:t>
      </w:r>
      <w:r>
        <w:tab/>
      </w:r>
      <w:r>
        <w:t>Total Radiated Power</w:t>
      </w:r>
    </w:p>
    <w:p>
      <w:pPr>
        <w:pStyle w:val="92"/>
        <w:rPr>
          <w:rFonts w:eastAsia="宋体"/>
          <w:lang w:val="en-US" w:eastAsia="zh-CN"/>
        </w:rPr>
      </w:pPr>
      <w:r>
        <w:t>UCI</w:t>
      </w:r>
      <w:r>
        <w:tab/>
      </w:r>
      <w:r>
        <w:t>Uplink Control Informatio</w:t>
      </w:r>
      <w:r>
        <w:rPr>
          <w:rFonts w:hint="eastAsia" w:eastAsia="宋体"/>
          <w:lang w:val="en-US" w:eastAsia="zh-CN"/>
        </w:rPr>
        <w:t>n</w:t>
      </w:r>
    </w:p>
    <w:p>
      <w:pPr>
        <w:pStyle w:val="92"/>
        <w:rPr>
          <w:lang w:eastAsia="zh-CN"/>
        </w:rPr>
      </w:pPr>
      <w:r>
        <w:rPr>
          <w:lang w:eastAsia="zh-CN"/>
        </w:rPr>
        <w:t>UEM</w:t>
      </w:r>
      <w:r>
        <w:rPr>
          <w:lang w:eastAsia="zh-CN"/>
        </w:rPr>
        <w:tab/>
      </w:r>
      <w:r>
        <w:rPr>
          <w:lang w:eastAsia="zh-CN"/>
        </w:rPr>
        <w:t>Unwanted Emissions Mask</w:t>
      </w:r>
    </w:p>
    <w:p>
      <w:pPr>
        <w:pStyle w:val="92"/>
        <w:rPr>
          <w:lang w:eastAsia="zh-CN"/>
        </w:rPr>
      </w:pPr>
      <w:r>
        <w:rPr>
          <w:lang w:eastAsia="zh-CN"/>
        </w:rPr>
        <w:t>UTRA</w:t>
      </w:r>
      <w:r>
        <w:rPr>
          <w:lang w:eastAsia="zh-CN"/>
        </w:rPr>
        <w:tab/>
      </w:r>
      <w:r>
        <w:rPr>
          <w:lang w:eastAsia="zh-CN"/>
        </w:rPr>
        <w:t>Universal Terrestrial Radio Access</w:t>
      </w:r>
    </w:p>
    <w:p>
      <w:pPr>
        <w:pStyle w:val="92"/>
        <w:rPr>
          <w:lang w:eastAsia="zh-CN"/>
        </w:rPr>
      </w:pPr>
      <w:r>
        <w:rPr>
          <w:lang w:eastAsia="zh-CN"/>
        </w:rPr>
        <w:t>WA</w:t>
      </w:r>
      <w:r>
        <w:rPr>
          <w:lang w:eastAsia="zh-CN"/>
        </w:rPr>
        <w:tab/>
      </w:r>
      <w:r>
        <w:rPr>
          <w:lang w:eastAsia="zh-CN"/>
        </w:rPr>
        <w:t>Wide Area</w:t>
      </w:r>
    </w:p>
    <w:p>
      <w:pPr>
        <w:pStyle w:val="92"/>
      </w:pPr>
      <w:r>
        <w:t>ZF</w:t>
      </w:r>
      <w:r>
        <w:tab/>
      </w:r>
      <w:r>
        <w:t>Zero Forcing</w:t>
      </w: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3"/>
      </w:pPr>
      <w:bookmarkStart w:id="53" w:name="_Toc138934598"/>
      <w:bookmarkStart w:id="54" w:name="_Toc61179268"/>
      <w:bookmarkStart w:id="55" w:name="_Toc45893394"/>
      <w:bookmarkStart w:id="56" w:name="_Toc67916564"/>
      <w:bookmarkStart w:id="57" w:name="_Toc36817175"/>
      <w:bookmarkStart w:id="58" w:name="_Toc21127417"/>
      <w:bookmarkStart w:id="59" w:name="_Toc82621702"/>
      <w:bookmarkStart w:id="60" w:name="_Toc138837512"/>
      <w:bookmarkStart w:id="61" w:name="_Toc106782742"/>
      <w:bookmarkStart w:id="62" w:name="_Toc44712081"/>
      <w:bookmarkStart w:id="63" w:name="_Toc37267479"/>
      <w:bookmarkStart w:id="64" w:name="_Toc124156996"/>
      <w:bookmarkStart w:id="65" w:name="_Toc131766290"/>
      <w:bookmarkStart w:id="66" w:name="_Toc107474844"/>
      <w:bookmarkStart w:id="67" w:name="_Toc114255437"/>
      <w:bookmarkStart w:id="68" w:name="_Toc107419217"/>
      <w:bookmarkStart w:id="69" w:name="_Toc131740756"/>
      <w:bookmarkStart w:id="70" w:name="_Toc29811623"/>
      <w:bookmarkStart w:id="71" w:name="_Toc37260091"/>
      <w:bookmarkStart w:id="72" w:name="_Toc115186117"/>
      <w:bookmarkStart w:id="73" w:name="_Toc124266400"/>
      <w:bookmarkStart w:id="74" w:name="_Toc123054319"/>
      <w:bookmarkStart w:id="75" w:name="_Toc74663162"/>
      <w:bookmarkStart w:id="76" w:name="_Toc123717420"/>
      <w:bookmarkStart w:id="77" w:name="_Toc53178121"/>
      <w:bookmarkStart w:id="78" w:name="_Toc123051850"/>
      <w:bookmarkStart w:id="79" w:name="_Toc61178798"/>
      <w:bookmarkStart w:id="80" w:name="_Toc123048931"/>
      <w:bookmarkStart w:id="81" w:name="_Toc131595758"/>
      <w:bookmarkStart w:id="82" w:name="_Toc53178572"/>
      <w:bookmarkStart w:id="83" w:name="_Toc90422549"/>
      <w:bookmarkStart w:id="84" w:name="_Toc107311633"/>
      <w:r>
        <w:t>4.4</w:t>
      </w:r>
      <w:r>
        <w:tab/>
      </w:r>
      <w:r>
        <w:t>Base station classes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bookmarkStart w:id="85" w:name="_Hlk487019015"/>
      <w:bookmarkStart w:id="86" w:name="_Hlk497643052"/>
      <w:r>
        <w:t>The requirements in this specification apply to Wide Area Base Stations, Medium Range Base Stations and Local Area Base Stations unless otherwise stated. The associated deployment scenarios for each class are exactly the same for BS with and without connectors.</w:t>
      </w:r>
    </w:p>
    <w:bookmarkEnd w:id="85"/>
    <w:p>
      <w:r>
        <w:t xml:space="preserve">For BS </w:t>
      </w:r>
      <w:r>
        <w:rPr>
          <w:i/>
        </w:rPr>
        <w:t>type 1-O</w:t>
      </w:r>
      <w:r>
        <w:t xml:space="preserve"> and 2-O</w:t>
      </w:r>
      <w:r>
        <w:rPr>
          <w:lang w:eastAsia="zh-CN"/>
        </w:rPr>
        <w:t>, BS classes</w:t>
      </w:r>
      <w:r>
        <w:t xml:space="preserve"> are defined as indicated below:</w:t>
      </w:r>
    </w:p>
    <w:p>
      <w:pPr>
        <w:pStyle w:val="93"/>
      </w:pPr>
      <w:r>
        <w:t>-</w:t>
      </w:r>
      <w:r>
        <w:tab/>
      </w:r>
      <w:r>
        <w:t>Wide Area Base Stations are characterised by requirements derived from Macro Cell scenarios with a BS to UE minimum distance along the ground equal to 35 m.</w:t>
      </w:r>
    </w:p>
    <w:p>
      <w:pPr>
        <w:pStyle w:val="93"/>
      </w:pPr>
      <w:r>
        <w:t>-</w:t>
      </w:r>
      <w:r>
        <w:tab/>
      </w:r>
      <w:r>
        <w:t>Medium Range Base Stations are characterised by requirements derived from Micro Cell scenarios with a BS to UE minimum distance along the ground equal to 5 m.</w:t>
      </w:r>
    </w:p>
    <w:p>
      <w:pPr>
        <w:pStyle w:val="93"/>
      </w:pPr>
      <w:r>
        <w:t>-</w:t>
      </w:r>
      <w:r>
        <w:tab/>
      </w:r>
      <w:r>
        <w:t>Local Area Base Stations are characterised by requirements derived from Pico Cell scenarios with a BS to UE minimum distance along the ground equal to 2 m.</w:t>
      </w:r>
    </w:p>
    <w:p>
      <w:r>
        <w:t xml:space="preserve">For </w:t>
      </w:r>
      <w:r>
        <w:rPr>
          <w:i/>
        </w:rPr>
        <w:t>BS type 1-C</w:t>
      </w:r>
      <w:r>
        <w:t xml:space="preserve"> and 1-H</w:t>
      </w:r>
      <w:r>
        <w:rPr>
          <w:lang w:eastAsia="zh-CN"/>
        </w:rPr>
        <w:t>, BS classes</w:t>
      </w:r>
      <w:r>
        <w:t xml:space="preserve"> are defined as indicated below:</w:t>
      </w:r>
    </w:p>
    <w:p>
      <w:pPr>
        <w:pStyle w:val="93"/>
      </w:pPr>
      <w:r>
        <w:t>-</w:t>
      </w:r>
      <w:r>
        <w:tab/>
      </w:r>
      <w:r>
        <w:t>Wide Area Base Stations are characterised by requirements derived from Macro Cell scenarios with a BS to UE minimum coupling loss equal to 70 dB.</w:t>
      </w:r>
    </w:p>
    <w:p>
      <w:pPr>
        <w:pStyle w:val="93"/>
      </w:pPr>
      <w:r>
        <w:t>-</w:t>
      </w:r>
      <w:r>
        <w:tab/>
      </w:r>
      <w:r>
        <w:t>Medium Range Base Stations are characterised by requirements derived from Micro Cell scenarios with a BS to UE minimum coupling loss equals to 53 dB.</w:t>
      </w:r>
    </w:p>
    <w:p>
      <w:pPr>
        <w:pStyle w:val="93"/>
        <w:rPr>
          <w:lang w:eastAsia="ja-JP"/>
        </w:rPr>
      </w:pPr>
      <w:r>
        <w:t>-</w:t>
      </w:r>
      <w:r>
        <w:tab/>
      </w:r>
      <w:r>
        <w:t>Local Area Base Stations are characterised by requirements derived from Pico Cell scenarios with a BS to UE minimum coupling loss equal to 45 dB.</w:t>
      </w:r>
      <w:bookmarkEnd w:id="86"/>
      <w:r>
        <w:rPr>
          <w:rFonts w:hint="eastAsia"/>
          <w:lang w:eastAsia="ja-JP"/>
        </w:rPr>
        <w:t xml:space="preserve"> </w:t>
      </w:r>
    </w:p>
    <w:p>
      <w:pPr>
        <w:pStyle w:val="82"/>
      </w:pPr>
      <w:r>
        <w:t>NOTE: Local Are Base stations are applicable also in Femto Cell scenarios.</w:t>
      </w:r>
    </w:p>
    <w:p>
      <w:r>
        <w:rPr>
          <w:rFonts w:hint="eastAsia"/>
          <w:lang w:eastAsia="ja-JP"/>
        </w:rPr>
        <w:t>F</w:t>
      </w:r>
      <w:r>
        <w:rPr>
          <w:lang w:eastAsia="ja-JP"/>
        </w:rPr>
        <w:t xml:space="preserve">or BS </w:t>
      </w:r>
      <w:r>
        <w:rPr>
          <w:i/>
          <w:iCs/>
          <w:lang w:eastAsia="ja-JP"/>
        </w:rPr>
        <w:t xml:space="preserve">type 1-C, 1-H and 1-O, </w:t>
      </w:r>
      <w:r>
        <w:rPr>
          <w:lang w:eastAsia="ja-JP"/>
        </w:rPr>
        <w:t>HAPS BS class is defined as indicated below</w:t>
      </w:r>
      <w:r>
        <w:t>:</w:t>
      </w:r>
    </w:p>
    <w:p>
      <w:pPr>
        <w:ind w:left="567" w:hanging="283"/>
        <w:rPr>
          <w:lang w:eastAsia="ja-JP"/>
        </w:rPr>
      </w:pPr>
      <w:r>
        <w:t>-</w:t>
      </w:r>
      <w:r>
        <w:tab/>
      </w:r>
      <w:r>
        <w:rPr>
          <w:lang w:eastAsia="ja-JP"/>
        </w:rPr>
        <w:t xml:space="preserve">HAPS Base Stations are characterised by requirements derived from High Altitude Platform scenarios with a BS to ground UE minimum distance of </w:t>
      </w:r>
      <w:bookmarkStart w:id="87" w:name="_Hlk95396199"/>
      <w:r>
        <w:rPr>
          <w:lang w:eastAsia="ja-JP"/>
        </w:rPr>
        <w:t>typically</w:t>
      </w:r>
      <w:bookmarkEnd w:id="87"/>
      <w:r>
        <w:rPr>
          <w:lang w:eastAsia="ja-JP"/>
        </w:rPr>
        <w:t xml:space="preserve"> around 20km.</w:t>
      </w:r>
    </w:p>
    <w:p>
      <w:pPr>
        <w:pStyle w:val="93"/>
      </w:pPr>
      <w:r>
        <w:t>-</w:t>
      </w:r>
      <w:r>
        <w:tab/>
      </w:r>
      <w:r>
        <w:rPr>
          <w:lang w:eastAsia="ja-JP"/>
        </w:rPr>
        <w:t>Unless otherwise stated, HAPS BS class would refer to Wide Area BS class, which is specified in clause 4.4.</w:t>
      </w:r>
    </w:p>
    <w:p>
      <w:pPr>
        <w:rPr>
          <w:ins w:id="16" w:author="cmcc [2]" w:date="2023-08-10T14:37:13Z"/>
          <w:lang w:val="en-US"/>
        </w:rPr>
      </w:pPr>
      <w:ins w:id="17" w:author="cmcc [2]" w:date="2023-08-10T14:37:13Z">
        <w:r>
          <w:rPr>
            <w:lang w:val="en-US"/>
          </w:rPr>
          <w:t xml:space="preserve">For </w:t>
        </w:r>
      </w:ins>
      <w:ins w:id="18" w:author="cmcc [2]" w:date="2023-08-10T14:37:13Z">
        <w:r>
          <w:rPr>
            <w:rFonts w:hint="eastAsia"/>
            <w:lang w:val="en-US" w:eastAsia="zh-CN"/>
          </w:rPr>
          <w:t xml:space="preserve">ATG </w:t>
        </w:r>
      </w:ins>
      <w:ins w:id="19" w:author="cmcc [2]" w:date="2023-08-10T14:37:13Z">
        <w:r>
          <w:rPr>
            <w:lang w:val="en-US"/>
          </w:rPr>
          <w:t>BS type type</w:t>
        </w:r>
      </w:ins>
      <w:ins w:id="20" w:author="cmcc [2]" w:date="2023-08-10T14:37:13Z">
        <w:r>
          <w:rPr>
            <w:i/>
            <w:iCs/>
            <w:lang w:val="en-US"/>
          </w:rPr>
          <w:t>1-C</w:t>
        </w:r>
      </w:ins>
      <w:ins w:id="21" w:author="cmcc [2]" w:date="2023-08-10T14:37:13Z">
        <w:r>
          <w:rPr>
            <w:lang w:val="en-US"/>
          </w:rPr>
          <w:t xml:space="preserve">, </w:t>
        </w:r>
      </w:ins>
      <w:ins w:id="22" w:author="cmcc [2]" w:date="2023-08-10T14:37:13Z">
        <w:r>
          <w:rPr>
            <w:i/>
            <w:iCs/>
            <w:lang w:val="en-US"/>
          </w:rPr>
          <w:t>1-H</w:t>
        </w:r>
      </w:ins>
      <w:ins w:id="23" w:author="cmcc [2]" w:date="2023-08-10T14:37:13Z">
        <w:r>
          <w:rPr>
            <w:lang w:val="en-US"/>
          </w:rPr>
          <w:t xml:space="preserve"> and</w:t>
        </w:r>
      </w:ins>
      <w:ins w:id="24" w:author="cmcc [2]" w:date="2023-08-10T14:37:13Z">
        <w:r>
          <w:rPr>
            <w:i/>
            <w:iCs/>
            <w:lang w:val="en-US"/>
          </w:rPr>
          <w:t xml:space="preserve"> 1-O</w:t>
        </w:r>
      </w:ins>
      <w:ins w:id="25" w:author="cmcc [2]" w:date="2023-08-10T14:37:13Z">
        <w:r>
          <w:rPr>
            <w:lang w:val="en-US"/>
          </w:rPr>
          <w:t xml:space="preserve">, </w:t>
        </w:r>
      </w:ins>
      <w:ins w:id="26" w:author="cmcc [2]" w:date="2023-08-10T14:37:13Z">
        <w:r>
          <w:rPr>
            <w:rFonts w:hint="eastAsia"/>
            <w:lang w:val="en-US"/>
          </w:rPr>
          <w:t>ATG</w:t>
        </w:r>
      </w:ins>
      <w:ins w:id="27" w:author="cmcc [2]" w:date="2023-08-10T14:37:13Z">
        <w:r>
          <w:rPr>
            <w:lang w:val="en-US"/>
          </w:rPr>
          <w:t xml:space="preserve"> BS class is defined as below:</w:t>
        </w:r>
      </w:ins>
    </w:p>
    <w:p>
      <w:pPr>
        <w:ind w:left="567" w:hanging="283"/>
        <w:rPr>
          <w:lang w:eastAsia="ja-JP"/>
        </w:rPr>
      </w:pPr>
      <w:ins w:id="28" w:author="cmcc [2]" w:date="2023-08-10T14:39:00Z">
        <w:r>
          <w:rPr>
            <w:rFonts w:hint="eastAsia"/>
            <w:lang w:val="en-US" w:eastAsia="zh-CN"/>
          </w:rPr>
          <w:t>-</w:t>
        </w:r>
      </w:ins>
      <w:r>
        <w:tab/>
      </w:r>
      <w:ins w:id="29" w:author="cmcc [2]" w:date="2023-08-10T14:38:53Z">
        <w:r>
          <w:rPr>
            <w:rFonts w:hint="eastAsia" w:eastAsia="宋体"/>
            <w:iCs/>
            <w:szCs w:val="24"/>
            <w:lang w:eastAsia="ja-JP"/>
          </w:rPr>
          <w:t>ATG Base Stations are characterized by requirements derived from ATG scenarios with a ground BS to air UE with typical vertical altitude of around 10,000m and take-off/landing altitudes down to 3000m</w:t>
        </w:r>
      </w:ins>
      <w:ins w:id="30" w:author="cmcc [2]" w:date="2023-08-10T14:38:53Z">
        <w:r>
          <w:rPr>
            <w:rFonts w:eastAsia="宋体"/>
            <w:iCs/>
            <w:szCs w:val="24"/>
            <w:lang w:eastAsia="ja-JP"/>
          </w:rPr>
          <w:t>.</w:t>
        </w:r>
      </w:ins>
    </w:p>
    <w:p>
      <w:pPr>
        <w:pStyle w:val="93"/>
        <w:rPr>
          <w:rFonts w:hint="eastAsia"/>
        </w:rPr>
      </w:pPr>
      <w:ins w:id="31" w:author="cmcc [2]" w:date="2023-08-10T14:39:05Z">
        <w:r>
          <w:rPr>
            <w:rFonts w:hint="eastAsia"/>
            <w:lang w:val="en-US" w:eastAsia="zh-CN"/>
          </w:rPr>
          <w:t>-</w:t>
        </w:r>
      </w:ins>
      <w:r>
        <w:tab/>
      </w:r>
      <w:ins w:id="32" w:author="cmcc [2]" w:date="2023-08-10T14:40:29Z">
        <w:r>
          <w:rPr>
            <w:rFonts w:hint="eastAsia"/>
          </w:rPr>
          <w:t>Unless otherwise stated, ATG BS class would refer to Wide Area BS class, which is specified in clause 4.4.</w:t>
        </w:r>
      </w:ins>
    </w:p>
    <w:p>
      <w:pPr>
        <w:pStyle w:val="3"/>
        <w:rPr>
          <w:rFonts w:eastAsia="??" w:cs="Times New Roman"/>
          <w:color w:val="FF0000"/>
          <w:szCs w:val="32"/>
        </w:rPr>
      </w:pPr>
      <w:bookmarkStart w:id="88" w:name="OLE_LINK3"/>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p>
      <w:pPr>
        <w:pStyle w:val="3"/>
      </w:pPr>
      <w:bookmarkStart w:id="89" w:name="_Toc90422553"/>
      <w:bookmarkStart w:id="90" w:name="_Toc131766294"/>
      <w:bookmarkStart w:id="91" w:name="_Toc53178125"/>
      <w:bookmarkStart w:id="92" w:name="_Toc123051854"/>
      <w:bookmarkStart w:id="93" w:name="_Toc29811627"/>
      <w:bookmarkStart w:id="94" w:name="_Toc37260095"/>
      <w:bookmarkStart w:id="95" w:name="_Toc82621706"/>
      <w:bookmarkStart w:id="96" w:name="_Toc44712085"/>
      <w:bookmarkStart w:id="97" w:name="_Toc107311637"/>
      <w:bookmarkStart w:id="98" w:name="_Toc61179272"/>
      <w:bookmarkStart w:id="99" w:name="_Toc67916568"/>
      <w:bookmarkStart w:id="100" w:name="_Toc36817179"/>
      <w:bookmarkStart w:id="101" w:name="_Toc124157000"/>
      <w:bookmarkStart w:id="102" w:name="_Toc37267483"/>
      <w:bookmarkStart w:id="103" w:name="_Toc124266404"/>
      <w:bookmarkStart w:id="104" w:name="_Toc123048935"/>
      <w:bookmarkStart w:id="105" w:name="_Toc138837516"/>
      <w:bookmarkStart w:id="106" w:name="_Toc53178576"/>
      <w:bookmarkStart w:id="107" w:name="_Toc138934602"/>
      <w:bookmarkStart w:id="108" w:name="_Toc61178802"/>
      <w:bookmarkStart w:id="109" w:name="_Toc114255441"/>
      <w:bookmarkStart w:id="110" w:name="_Toc45893398"/>
      <w:bookmarkStart w:id="111" w:name="_Toc74663166"/>
      <w:bookmarkStart w:id="112" w:name="_Toc106782746"/>
      <w:bookmarkStart w:id="113" w:name="_Toc131740760"/>
      <w:bookmarkStart w:id="114" w:name="_Toc107474848"/>
      <w:bookmarkStart w:id="115" w:name="_Toc131595762"/>
      <w:bookmarkStart w:id="116" w:name="_Toc123054323"/>
      <w:bookmarkStart w:id="117" w:name="_Toc123717424"/>
      <w:bookmarkStart w:id="118" w:name="_Toc115186121"/>
      <w:bookmarkStart w:id="119" w:name="_Toc107419221"/>
      <w:r>
        <w:t>4.8</w:t>
      </w:r>
      <w:r>
        <w:tab/>
      </w:r>
      <w:bookmarkStart w:id="120" w:name="OLE_LINK10"/>
      <w:r>
        <w:t xml:space="preserve">Requirements for BS capable of </w:t>
      </w:r>
      <w:bookmarkStart w:id="121" w:name="OLE_LINK7"/>
      <w:r>
        <w:t>multi-band operation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i/>
        </w:rPr>
        <w:t xml:space="preserve">BS </w:t>
      </w:r>
      <w:r>
        <w:t xml:space="preserve">capable of multi-band operation, various structures in terms of combinations of different transmitter and receiver implementations (multi-band or single band) with mapping of transceivers to one or more </w:t>
      </w:r>
      <w:r>
        <w:rPr>
          <w:i/>
        </w:rPr>
        <w:t>antenna</w:t>
      </w:r>
      <w:r>
        <w:t xml:space="preserve"> </w:t>
      </w:r>
      <w:r>
        <w:rPr>
          <w:i/>
        </w:rPr>
        <w:t>connectors</w:t>
      </w:r>
      <w:r>
        <w:t xml:space="preserve"> for </w:t>
      </w:r>
      <w:r>
        <w:rPr>
          <w:i/>
        </w:rPr>
        <w:t>BS type 1-C</w:t>
      </w:r>
      <w:r>
        <w:t xml:space="preserve"> or </w:t>
      </w:r>
      <w:r>
        <w:rPr>
          <w:i/>
        </w:rPr>
        <w:t>TAB connectors</w:t>
      </w:r>
      <w:r>
        <w:t xml:space="preserve"> for </w:t>
      </w:r>
      <w:r>
        <w:rPr>
          <w:i/>
        </w:rPr>
        <w:t>BS type 1-H</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pPr>
        <w:pStyle w:val="93"/>
      </w:pPr>
      <w:r>
        <w:t>-</w:t>
      </w:r>
      <w:r>
        <w:tab/>
      </w:r>
      <w:r>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w:t>
      </w:r>
    </w:p>
    <w:p>
      <w:pPr>
        <w:pStyle w:val="93"/>
      </w:pPr>
      <w:r>
        <w:t>-</w:t>
      </w:r>
      <w:r>
        <w:tab/>
      </w:r>
      <w:r>
        <w:t xml:space="preserve">If the BS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BS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p>
    <w:p>
      <w:r>
        <w:t xml:space="preserve">A </w:t>
      </w:r>
      <w:r>
        <w:rPr>
          <w:i/>
        </w:rPr>
        <w:t>BS type 1-H</w:t>
      </w:r>
      <w:r>
        <w:t xml:space="preserve"> 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p>
    <w:p>
      <w:pPr>
        <w:pStyle w:val="93"/>
      </w:pPr>
      <w:r>
        <w:t>-</w:t>
      </w:r>
      <w:r>
        <w:tab/>
      </w:r>
      <w:r>
        <w:t xml:space="preserve">All </w:t>
      </w:r>
      <w:r>
        <w:rPr>
          <w:i/>
        </w:rPr>
        <w:t xml:space="preserve">TAB connectors </w:t>
      </w:r>
      <w:r>
        <w:t xml:space="preserve">are </w:t>
      </w:r>
      <w:r>
        <w:rPr>
          <w:i/>
        </w:rPr>
        <w:t>single-band connectors</w:t>
      </w:r>
      <w:r>
        <w:t>.</w:t>
      </w:r>
    </w:p>
    <w:p>
      <w:pPr>
        <w:pStyle w:val="104"/>
      </w:pPr>
      <w:r>
        <w:t>-</w:t>
      </w:r>
      <w:r>
        <w:tab/>
      </w:r>
      <w:r>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p>
    <w:p>
      <w:pPr>
        <w:pStyle w:val="104"/>
      </w:pPr>
      <w:r>
        <w:t>-</w:t>
      </w:r>
      <w:r>
        <w:tab/>
      </w:r>
      <w:r>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p>
    <w:p>
      <w:pPr>
        <w:pStyle w:val="93"/>
      </w:pPr>
      <w:r>
        <w:t>-</w:t>
      </w:r>
      <w:r>
        <w:tab/>
      </w:r>
      <w:r>
        <w:t xml:space="preserve">All </w:t>
      </w:r>
      <w:r>
        <w:rPr>
          <w:i/>
        </w:rPr>
        <w:t xml:space="preserve">TAB connectors </w:t>
      </w:r>
      <w:r>
        <w:t xml:space="preserve">are multi-band </w:t>
      </w:r>
      <w:r>
        <w:rPr>
          <w:i/>
        </w:rPr>
        <w:t>connectors</w:t>
      </w:r>
      <w:r>
        <w:t>.</w:t>
      </w:r>
    </w:p>
    <w:p>
      <w:pPr>
        <w:pStyle w:val="93"/>
      </w:pPr>
      <w:r>
        <w:t>-</w:t>
      </w:r>
      <w:r>
        <w:tab/>
      </w:r>
      <w:r>
        <w:t xml:space="preserve">A combination of single-band sets and multi-band sets of </w:t>
      </w:r>
      <w:r>
        <w:rPr>
          <w:i/>
        </w:rPr>
        <w:t>TAB connectors</w:t>
      </w:r>
      <w:r>
        <w:t xml:space="preserve"> provides support of the type </w:t>
      </w:r>
      <w:r>
        <w:rPr>
          <w:i/>
        </w:rPr>
        <w:t>BS type 1-H</w:t>
      </w:r>
      <w:r>
        <w:t xml:space="preserve"> capability of </w:t>
      </w:r>
      <w:r>
        <w:rPr>
          <w:lang w:eastAsia="zh-CN"/>
        </w:rPr>
        <w:t xml:space="preserve">operation in multiple </w:t>
      </w:r>
      <w:r>
        <w:rPr>
          <w:i/>
          <w:lang w:eastAsia="zh-CN"/>
        </w:rPr>
        <w:t>operating bands</w:t>
      </w:r>
      <w:r>
        <w:t>.</w:t>
      </w:r>
    </w:p>
    <w:p>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p>
    <w:p>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p>
    <w:p>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p>
    <w:p>
      <w:r>
        <w:rPr>
          <w:i/>
        </w:rPr>
        <w:t xml:space="preserve">BS 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pPr>
        <w:pStyle w:val="93"/>
      </w:pPr>
      <w:r>
        <w:t>-</w:t>
      </w:r>
      <w:r>
        <w:tab/>
      </w:r>
      <w:r>
        <w:t>All RIBs</w:t>
      </w:r>
      <w:r>
        <w:rPr>
          <w:i/>
        </w:rPr>
        <w:t xml:space="preserve"> </w:t>
      </w:r>
      <w:r>
        <w:t xml:space="preserve">are </w:t>
      </w:r>
      <w:r>
        <w:rPr>
          <w:i/>
        </w:rPr>
        <w:t>single-band RIBs</w:t>
      </w:r>
      <w:r>
        <w:t>.</w:t>
      </w:r>
    </w:p>
    <w:p>
      <w:pPr>
        <w:pStyle w:val="93"/>
      </w:pPr>
      <w:r>
        <w:t>-</w:t>
      </w:r>
      <w:r>
        <w:tab/>
      </w:r>
      <w:r>
        <w:t>All RIBs</w:t>
      </w:r>
      <w:r>
        <w:rPr>
          <w:i/>
        </w:rPr>
        <w:t xml:space="preserve"> </w:t>
      </w:r>
      <w:r>
        <w:t xml:space="preserve">are </w:t>
      </w:r>
      <w:r>
        <w:rPr>
          <w:i/>
        </w:rPr>
        <w:t>multi-band</w:t>
      </w:r>
      <w:r>
        <w:t xml:space="preserve"> </w:t>
      </w:r>
      <w:r>
        <w:rPr>
          <w:i/>
        </w:rPr>
        <w:t>RIBs</w:t>
      </w:r>
      <w:r>
        <w:t>.</w:t>
      </w:r>
    </w:p>
    <w:p>
      <w:pPr>
        <w:pStyle w:val="93"/>
      </w:pPr>
      <w:r>
        <w:t>-</w:t>
      </w:r>
      <w:r>
        <w:tab/>
      </w:r>
      <w:r>
        <w:t xml:space="preserve">A combination of single-band </w:t>
      </w:r>
      <w:r>
        <w:rPr>
          <w:i/>
        </w:rPr>
        <w:t>RIBs</w:t>
      </w:r>
      <w:r>
        <w:t xml:space="preserve"> and </w:t>
      </w:r>
      <w:r>
        <w:rPr>
          <w:i/>
        </w:rPr>
        <w:t>multi-band RIBs</w:t>
      </w:r>
      <w:r>
        <w:t xml:space="preserve"> provides support of the </w:t>
      </w:r>
      <w:r>
        <w:rPr>
          <w:i/>
        </w:rPr>
        <w:t>BS type 1-O</w:t>
      </w:r>
      <w:r>
        <w:t xml:space="preserve"> capability of </w:t>
      </w:r>
      <w:r>
        <w:rPr>
          <w:lang w:eastAsia="zh-CN"/>
        </w:rPr>
        <w:t xml:space="preserve">operation in multiple </w:t>
      </w:r>
      <w:r>
        <w:rPr>
          <w:i/>
          <w:lang w:eastAsia="zh-CN"/>
        </w:rPr>
        <w:t>operating bands</w:t>
      </w:r>
      <w:r>
        <w:t>.</w:t>
      </w:r>
    </w:p>
    <w:p>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p>
    <w:p>
      <w:r>
        <w:rPr>
          <w:rFonts w:eastAsia="MS Mincho"/>
        </w:rPr>
        <w:t xml:space="preserve">The RF requirements for </w:t>
      </w:r>
      <w:r>
        <w:rPr>
          <w:rFonts w:eastAsia="MS Mincho"/>
          <w:i/>
        </w:rPr>
        <w:t>multi-band connectors</w:t>
      </w:r>
      <w:r>
        <w:rPr>
          <w:rFonts w:eastAsia="MS Mincho"/>
        </w:rPr>
        <w:t xml:space="preserve"> and </w:t>
      </w:r>
      <w:r>
        <w:rPr>
          <w:rFonts w:eastAsia="MS Mincho"/>
          <w:i/>
        </w:rPr>
        <w:t>multi-band RIBs</w:t>
      </w:r>
      <w:r>
        <w:rPr>
          <w:rFonts w:eastAsia="MS Mincho"/>
        </w:rPr>
        <w:t xml:space="preserve"> supporting bands for both FDD and TDD </w:t>
      </w:r>
      <w:r>
        <w:t>are not covered by the present release of this specification.</w:t>
      </w:r>
    </w:p>
    <w:p>
      <w:pPr>
        <w:rPr>
          <w:rFonts w:hint="eastAsia"/>
          <w:lang w:val="en-US" w:eastAsia="zh-CN"/>
        </w:rPr>
      </w:pPr>
      <w:ins w:id="33" w:author="cmcc [2]" w:date="2023-08-11T11:26:31Z">
        <w:r>
          <w:rPr>
            <w:rFonts w:hint="eastAsia"/>
            <w:lang w:val="en-US" w:eastAsia="zh-CN"/>
          </w:rPr>
          <w:t>Th</w:t>
        </w:r>
      </w:ins>
      <w:ins w:id="34" w:author="cmcc [2]" w:date="2023-08-11T11:26:32Z">
        <w:r>
          <w:rPr>
            <w:rFonts w:hint="eastAsia"/>
            <w:lang w:val="en-US" w:eastAsia="zh-CN"/>
          </w:rPr>
          <w:t>ere</w:t>
        </w:r>
      </w:ins>
      <w:ins w:id="35" w:author="cmcc [2]" w:date="2023-08-11T11:26:33Z">
        <w:r>
          <w:rPr>
            <w:rFonts w:hint="eastAsia"/>
            <w:lang w:val="en-US" w:eastAsia="zh-CN"/>
          </w:rPr>
          <w:t xml:space="preserve"> </w:t>
        </w:r>
      </w:ins>
      <w:ins w:id="36" w:author="cmcc [2]" w:date="2023-08-11T11:26:34Z">
        <w:r>
          <w:rPr>
            <w:rFonts w:hint="eastAsia"/>
            <w:lang w:val="en-US" w:eastAsia="zh-CN"/>
          </w:rPr>
          <w:t>is</w:t>
        </w:r>
      </w:ins>
      <w:ins w:id="37" w:author="cmcc [2]" w:date="2023-08-10T14:56:07Z">
        <w:r>
          <w:rPr>
            <w:rFonts w:hint="eastAsia"/>
            <w:lang w:val="en-US" w:eastAsia="zh-CN"/>
          </w:rPr>
          <w:t xml:space="preserve"> </w:t>
        </w:r>
      </w:ins>
      <w:ins w:id="38" w:author="cmcc [2]" w:date="2023-08-10T14:56:34Z">
        <w:r>
          <w:rPr/>
          <w:t xml:space="preserve">no </w:t>
        </w:r>
      </w:ins>
      <w:ins w:id="39" w:author="cmcc [2]" w:date="2023-08-10T15:37:21Z">
        <w:r>
          <w:rPr/>
          <w:t>multi-band operation</w:t>
        </w:r>
      </w:ins>
      <w:ins w:id="40" w:author="cmcc [2]" w:date="2023-08-10T14:56:34Z">
        <w:r>
          <w:rPr/>
          <w:t xml:space="preserve"> requirement for ATG BS</w:t>
        </w:r>
      </w:ins>
      <w:ins w:id="41" w:author="cmcc [2]" w:date="2023-08-10T14:56:42Z">
        <w:r>
          <w:rPr>
            <w:rFonts w:hint="eastAsia"/>
            <w:lang w:val="en-US" w:eastAsia="zh-CN"/>
          </w:rPr>
          <w:t>.</w:t>
        </w:r>
      </w:ins>
    </w:p>
    <w:p>
      <w:pPr>
        <w:rPr>
          <w:rFonts w:hint="default" w:eastAsiaTheme="minorEastAsia"/>
          <w:lang w:val="en-US" w:eastAsia="zh-CN"/>
        </w:rPr>
      </w:pPr>
    </w:p>
    <w:p>
      <w:pPr>
        <w:pStyle w:val="3"/>
      </w:pPr>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bookmarkEnd w:id="88"/>
    <w:p>
      <w:pPr>
        <w:pStyle w:val="3"/>
      </w:pPr>
      <w:bookmarkStart w:id="122" w:name="_Toc124157004"/>
      <w:bookmarkStart w:id="123" w:name="_Toc123048939"/>
      <w:bookmarkStart w:id="124" w:name="_Toc124266408"/>
      <w:bookmarkStart w:id="125" w:name="_Toc138934606"/>
      <w:bookmarkStart w:id="126" w:name="_Toc106782750"/>
      <w:bookmarkStart w:id="127" w:name="_Toc114255445"/>
      <w:bookmarkStart w:id="128" w:name="_Toc107311641"/>
      <w:bookmarkStart w:id="129" w:name="_Toc107419225"/>
      <w:bookmarkStart w:id="130" w:name="_Toc115186125"/>
      <w:bookmarkStart w:id="131" w:name="_Toc138837520"/>
      <w:bookmarkStart w:id="132" w:name="_Toc131595766"/>
      <w:bookmarkStart w:id="133" w:name="_Toc131740764"/>
      <w:bookmarkStart w:id="134" w:name="_Toc123717428"/>
      <w:bookmarkStart w:id="135" w:name="_Toc123051858"/>
      <w:bookmarkStart w:id="136" w:name="_Toc131766298"/>
      <w:bookmarkStart w:id="137" w:name="_Toc123054327"/>
      <w:bookmarkStart w:id="138" w:name="_Toc107474852"/>
      <w:r>
        <w:t>5.2</w:t>
      </w:r>
      <w:r>
        <w:tab/>
      </w:r>
      <w:r>
        <w:rPr>
          <w:i/>
        </w:rPr>
        <w:t>Operating bands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bookmarkStart w:id="139" w:name="_Hlk494631506"/>
      <w:r>
        <w:t xml:space="preserve">NR is designed to operate in the </w:t>
      </w:r>
      <w:r>
        <w:rPr>
          <w:i/>
        </w:rPr>
        <w:t>operating bands</w:t>
      </w:r>
      <w:r>
        <w:t xml:space="preserve"> defined in table 5.2-1 and 5.2-2. </w:t>
      </w:r>
    </w:p>
    <w:p>
      <w:pPr>
        <w:rPr>
          <w:lang w:eastAsia="ja-JP"/>
        </w:rPr>
      </w:pPr>
      <w:r>
        <w:rPr>
          <w:lang w:eastAsia="ja-JP"/>
        </w:rPr>
        <w:t>NR operating band n1, which is defined in Table 5.2-1, can be applied for HAPS operation.</w:t>
      </w:r>
    </w:p>
    <w:p>
      <w:pPr>
        <w:rPr>
          <w:lang w:eastAsia="ja-JP"/>
        </w:rPr>
      </w:pPr>
      <w:ins w:id="42" w:author="cmcc [2]" w:date="2023-08-10T14:43:39Z">
        <w:r>
          <w:rPr/>
          <w:t>NR operating bands n1, n3, n34, n39, n41, n78, n79, which are defined in Table 5.2-1, can be applied for ATG operation.</w:t>
        </w:r>
      </w:ins>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530"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530"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530"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530"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530"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n54</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1670 MHz – 1675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1670 MHz – 1675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530" w:type="dxa"/>
            <w:shd w:val="clear" w:color="auto" w:fill="auto"/>
          </w:tcPr>
          <w:p>
            <w:pPr>
              <w:pStyle w:val="87"/>
            </w:pPr>
            <w:r>
              <w:t xml:space="preserve">FDD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lang w:eastAsia="zh-CN"/>
              </w:rPr>
              <w:t xml:space="preserve"> </w:t>
            </w:r>
            <w:r>
              <w:rPr>
                <w:rFonts w:cs="Arial"/>
                <w:lang w:eastAsia="zh-CN"/>
              </w:rPr>
              <w:t>(NOTE 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 xml:space="preserve">n96 </w:t>
            </w:r>
            <w:r>
              <w:rPr>
                <w:rFonts w:cs="Arial"/>
                <w:lang w:eastAsia="zh-CN"/>
              </w:rPr>
              <w:t>(NOTE 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n100</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MHz – 880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919.4 MHz – 925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n101</w:t>
            </w:r>
          </w:p>
        </w:tc>
        <w:tc>
          <w:tcPr>
            <w:tcW w:w="2607" w:type="dxa"/>
            <w:shd w:val="clear" w:color="auto" w:fill="auto"/>
          </w:tcPr>
          <w:p>
            <w:pPr>
              <w:pStyle w:val="87"/>
              <w:rPr>
                <w:lang w:eastAsia="en-GB"/>
              </w:rPr>
            </w:pPr>
            <w:r>
              <w:rPr>
                <w:lang w:eastAsia="en-GB"/>
              </w:rPr>
              <w:t>1900 MHz – 1910 MHz</w:t>
            </w:r>
          </w:p>
        </w:tc>
        <w:tc>
          <w:tcPr>
            <w:tcW w:w="2806" w:type="dxa"/>
            <w:shd w:val="clear" w:color="auto" w:fill="auto"/>
          </w:tcPr>
          <w:p>
            <w:pPr>
              <w:pStyle w:val="87"/>
              <w:rPr>
                <w:lang w:eastAsia="en-GB"/>
              </w:rPr>
            </w:pPr>
            <w:r>
              <w:rPr>
                <w:lang w:eastAsia="en-GB"/>
              </w:rPr>
              <w:t>1900 MHz – 1910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vertAlign w:val="superscript"/>
                <w:lang w:eastAsia="zh-CN"/>
              </w:rPr>
            </w:pPr>
            <w:r>
              <w:rPr>
                <w:lang w:eastAsia="zh-CN"/>
              </w:rPr>
              <w:t>n102</w:t>
            </w:r>
            <w:r>
              <w:rPr>
                <w:vertAlign w:val="superscript"/>
                <w:lang w:eastAsia="zh-CN"/>
              </w:rPr>
              <w:t>4</w:t>
            </w:r>
          </w:p>
        </w:tc>
        <w:tc>
          <w:tcPr>
            <w:tcW w:w="2607" w:type="dxa"/>
            <w:shd w:val="clear" w:color="auto" w:fill="auto"/>
          </w:tcPr>
          <w:p>
            <w:pPr>
              <w:pStyle w:val="87"/>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6425</w:t>
            </w:r>
            <w:r>
              <w:rPr>
                <w:rFonts w:hint="eastAsia"/>
                <w:lang w:eastAsia="zh-CN"/>
              </w:rPr>
              <w:t xml:space="preserve"> MHz</w:t>
            </w:r>
          </w:p>
        </w:tc>
        <w:tc>
          <w:tcPr>
            <w:tcW w:w="1530"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val="en-US" w:eastAsia="zh-CN"/>
              </w:rPr>
              <w:t>n104</w:t>
            </w:r>
            <w:r>
              <w:rPr>
                <w:vertAlign w:val="superscript"/>
                <w:lang w:val="en-US" w:eastAsia="zh-CN"/>
              </w:rPr>
              <w:t>8</w:t>
            </w:r>
          </w:p>
        </w:tc>
        <w:tc>
          <w:tcPr>
            <w:tcW w:w="2607"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val="en-US" w:eastAsia="zh-CN"/>
              </w:rPr>
            </w:pPr>
            <w:r>
              <w:rPr>
                <w:rFonts w:hint="eastAsia"/>
                <w:lang w:val="en-US" w:eastAsia="zh-CN"/>
              </w:rPr>
              <w:t>n105</w:t>
            </w:r>
          </w:p>
        </w:tc>
        <w:tc>
          <w:tcPr>
            <w:tcW w:w="2607" w:type="dxa"/>
            <w:shd w:val="clear" w:color="auto" w:fill="auto"/>
          </w:tcPr>
          <w:p>
            <w:pPr>
              <w:pStyle w:val="87"/>
              <w:rPr>
                <w:lang w:val="en-US" w:eastAsia="zh-CN"/>
              </w:rPr>
            </w:pPr>
            <w:r>
              <w:rPr>
                <w:rFonts w:hint="eastAsia"/>
                <w:lang w:val="en-US" w:eastAsia="zh-CN"/>
              </w:rPr>
              <w:t>663</w:t>
            </w:r>
            <w:r>
              <w:rPr>
                <w:rFonts w:hint="eastAsia"/>
                <w:lang w:eastAsia="zh-CN"/>
              </w:rPr>
              <w:t xml:space="preserve"> MHz</w:t>
            </w:r>
            <w:r>
              <w:t xml:space="preserve"> – 7</w:t>
            </w:r>
            <w:r>
              <w:rPr>
                <w:rFonts w:hint="eastAsia" w:eastAsia="宋体"/>
                <w:lang w:val="en-US" w:eastAsia="zh-CN"/>
              </w:rPr>
              <w:t>03</w:t>
            </w:r>
            <w:r>
              <w:rPr>
                <w:rFonts w:hint="eastAsia"/>
                <w:lang w:eastAsia="zh-CN"/>
              </w:rPr>
              <w:t xml:space="preserve"> MHz</w:t>
            </w:r>
          </w:p>
        </w:tc>
        <w:tc>
          <w:tcPr>
            <w:tcW w:w="2806" w:type="dxa"/>
            <w:shd w:val="clear" w:color="auto" w:fill="auto"/>
          </w:tcPr>
          <w:p>
            <w:pPr>
              <w:pStyle w:val="87"/>
              <w:rPr>
                <w:lang w:val="en-US" w:eastAsia="zh-CN"/>
              </w:rPr>
            </w:pPr>
            <w:r>
              <w:rPr>
                <w:rFonts w:hint="eastAsia"/>
                <w:lang w:val="en-US" w:eastAsia="zh-CN"/>
              </w:rPr>
              <w:t>612</w:t>
            </w:r>
            <w:r>
              <w:rPr>
                <w:rFonts w:hint="eastAsia"/>
                <w:lang w:eastAsia="zh-CN"/>
              </w:rPr>
              <w:t xml:space="preserve"> MHz</w:t>
            </w:r>
            <w:r>
              <w:t xml:space="preserve"> – </w:t>
            </w:r>
            <w:r>
              <w:rPr>
                <w:rFonts w:hint="eastAsia" w:eastAsia="宋体"/>
                <w:lang w:val="en-US" w:eastAsia="zh-CN"/>
              </w:rPr>
              <w:t>652</w:t>
            </w:r>
            <w:r>
              <w:rPr>
                <w:rFonts w:hint="eastAsia"/>
                <w:lang w:eastAsia="zh-CN"/>
              </w:rPr>
              <w:t xml:space="preserve"> MHz</w:t>
            </w:r>
          </w:p>
        </w:tc>
        <w:tc>
          <w:tcPr>
            <w:tcW w:w="1530" w:type="dxa"/>
            <w:shd w:val="clear" w:color="auto" w:fill="auto"/>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80"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TS 37.213 [20].</w:t>
            </w:r>
          </w:p>
          <w:p>
            <w:pPr>
              <w:pStyle w:val="100"/>
            </w:pPr>
            <w:r>
              <w:t>NOTE 4:</w:t>
            </w:r>
            <w:r>
              <w:tab/>
            </w:r>
            <w:r>
              <w:rPr>
                <w:szCs w:val="18"/>
              </w:rPr>
              <w:t>This band is applicable only in countries/regions designating this band for shared-spectrum access use subject to country-specific conditions</w:t>
            </w:r>
            <w:r>
              <w:t>.</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NOTE 6:</w:t>
            </w:r>
            <w:r>
              <w:tab/>
            </w:r>
            <w:r>
              <w:rPr>
                <w:szCs w:val="18"/>
              </w:rPr>
              <w:t>UL operation is restricted to 1627.5 – 1637.5 MHz and 1646.5 – 1656.5 MHz per FCC Order DA 20-48.</w:t>
            </w:r>
            <w:r>
              <w:rPr>
                <w:lang w:eastAsia="en-GB"/>
              </w:rPr>
              <w:t xml:space="preserve"> </w:t>
            </w:r>
          </w:p>
          <w:p>
            <w:pPr>
              <w:pStyle w:val="100"/>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pPr>
              <w:pStyle w:val="100"/>
              <w:rPr>
                <w:rFonts w:eastAsia="宋体"/>
                <w:lang w:val="en-US" w:eastAsia="zh-CN"/>
              </w:rPr>
            </w:pPr>
            <w:r>
              <w:t xml:space="preserve">NOTE </w:t>
            </w:r>
            <w:r>
              <w:rPr>
                <w:rFonts w:hint="eastAsia" w:eastAsia="宋体"/>
                <w:lang w:val="en-US" w:eastAsia="zh-CN"/>
              </w:rPr>
              <w:t>8</w:t>
            </w:r>
            <w:r>
              <w:t>:</w:t>
            </w:r>
            <w:r>
              <w:tab/>
            </w:r>
            <w:r>
              <w:rPr>
                <w:rFonts w:hint="eastAsia" w:eastAsia="宋体"/>
                <w:lang w:val="en-US" w:eastAsia="zh-CN"/>
              </w:rPr>
              <w:t>[</w:t>
            </w:r>
            <w:r>
              <w:rPr>
                <w:rFonts w:eastAsia="Malgun Gothic"/>
                <w:lang w:val="en-US"/>
              </w:rPr>
              <w:t>This band is applicable only in countries/regions designating this band for IMT licensed operation</w:t>
            </w:r>
            <w:r>
              <w:rPr>
                <w:rFonts w:hint="eastAsia" w:eastAsia="宋体"/>
                <w:lang w:val="en-US" w:eastAsia="zh-CN"/>
              </w:rPr>
              <w:t xml:space="preserve"> </w:t>
            </w:r>
            <w:r>
              <w:rPr>
                <w:rFonts w:eastAsia="Malgun Gothic"/>
                <w:lang w:val="en-US"/>
              </w:rPr>
              <w:t>in accordance with RCC Recommendation 1/21.</w:t>
            </w:r>
            <w:r>
              <w:rPr>
                <w:rFonts w:hint="eastAsia" w:eastAsia="宋体"/>
                <w:lang w:val="en-US" w:eastAsia="zh-CN"/>
              </w:rPr>
              <w:t>]</w:t>
            </w:r>
          </w:p>
        </w:tc>
      </w:tr>
    </w:tbl>
    <w:p/>
    <w:bookmarkEnd w:id="139"/>
    <w:p>
      <w:pPr>
        <w:pStyle w:val="95"/>
      </w:pPr>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NR </w:t>
            </w:r>
            <w:r>
              <w:rPr>
                <w:rFonts w:cs="Arial"/>
                <w:i/>
              </w:rPr>
              <w:t>operating band</w:t>
            </w:r>
          </w:p>
        </w:tc>
        <w:tc>
          <w:tcPr>
            <w:tcW w:w="31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n257</w:t>
            </w:r>
          </w:p>
        </w:tc>
        <w:tc>
          <w:tcPr>
            <w:tcW w:w="3106" w:type="dxa"/>
            <w:tcBorders>
              <w:top w:val="single" w:color="auto" w:sz="4" w:space="0"/>
              <w:left w:val="single" w:color="auto" w:sz="4" w:space="0"/>
              <w:bottom w:val="single" w:color="auto" w:sz="4" w:space="0"/>
              <w:right w:val="single" w:color="auto" w:sz="4" w:space="0"/>
            </w:tcBorders>
          </w:tcPr>
          <w:p>
            <w:pPr>
              <w:pStyle w:val="87"/>
            </w:pPr>
            <w:r>
              <w:t>26500 MHz – 29500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n258</w:t>
            </w:r>
          </w:p>
        </w:tc>
        <w:tc>
          <w:tcPr>
            <w:tcW w:w="3106" w:type="dxa"/>
            <w:tcBorders>
              <w:top w:val="single" w:color="auto" w:sz="4" w:space="0"/>
              <w:left w:val="single" w:color="auto" w:sz="4" w:space="0"/>
              <w:bottom w:val="single" w:color="auto" w:sz="4" w:space="0"/>
              <w:right w:val="single" w:color="auto" w:sz="4" w:space="0"/>
            </w:tcBorders>
          </w:tcPr>
          <w:p>
            <w:pPr>
              <w:pStyle w:val="87"/>
            </w:pPr>
            <w:r>
              <w:t>24250 MHz – 27500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n259</w:t>
            </w:r>
          </w:p>
        </w:tc>
        <w:tc>
          <w:tcPr>
            <w:tcW w:w="3106" w:type="dxa"/>
            <w:tcBorders>
              <w:top w:val="single" w:color="auto" w:sz="4" w:space="0"/>
              <w:left w:val="single" w:color="auto" w:sz="4" w:space="0"/>
              <w:bottom w:val="single" w:color="auto" w:sz="4" w:space="0"/>
              <w:right w:val="single" w:color="auto" w:sz="4" w:space="0"/>
            </w:tcBorders>
          </w:tcPr>
          <w:p>
            <w:pPr>
              <w:pStyle w:val="87"/>
            </w:pPr>
            <w:r>
              <w:t>39500 MHz – 43500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n260</w:t>
            </w:r>
          </w:p>
        </w:tc>
        <w:tc>
          <w:tcPr>
            <w:tcW w:w="3106" w:type="dxa"/>
            <w:tcBorders>
              <w:top w:val="single" w:color="auto" w:sz="4" w:space="0"/>
              <w:left w:val="single" w:color="auto" w:sz="4" w:space="0"/>
              <w:bottom w:val="single" w:color="auto" w:sz="4" w:space="0"/>
              <w:right w:val="single" w:color="auto" w:sz="4" w:space="0"/>
            </w:tcBorders>
          </w:tcPr>
          <w:p>
            <w:pPr>
              <w:pStyle w:val="87"/>
            </w:pPr>
            <w:r>
              <w:t>37000 MHz – 40000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n261</w:t>
            </w:r>
          </w:p>
        </w:tc>
        <w:tc>
          <w:tcPr>
            <w:tcW w:w="3106" w:type="dxa"/>
            <w:tcBorders>
              <w:top w:val="single" w:color="auto" w:sz="4" w:space="0"/>
              <w:left w:val="single" w:color="auto" w:sz="4" w:space="0"/>
              <w:bottom w:val="single" w:color="auto" w:sz="4" w:space="0"/>
              <w:right w:val="single" w:color="auto" w:sz="4" w:space="0"/>
            </w:tcBorders>
          </w:tcPr>
          <w:p>
            <w:pPr>
              <w:pStyle w:val="87"/>
            </w:pPr>
            <w:r>
              <w:t>27500 MHz – 28350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n262</w:t>
            </w:r>
          </w:p>
        </w:tc>
        <w:tc>
          <w:tcPr>
            <w:tcW w:w="3106" w:type="dxa"/>
            <w:tcBorders>
              <w:top w:val="single" w:color="auto" w:sz="4" w:space="0"/>
              <w:left w:val="single" w:color="auto" w:sz="4" w:space="0"/>
              <w:bottom w:val="single" w:color="auto" w:sz="4" w:space="0"/>
              <w:right w:val="single" w:color="auto" w:sz="4" w:space="0"/>
            </w:tcBorders>
          </w:tcPr>
          <w:p>
            <w:pPr>
              <w:pStyle w:val="87"/>
            </w:pPr>
            <w:r>
              <w:rPr>
                <w:rFonts w:cs="Arial"/>
              </w:rPr>
              <w:t>47200 MHz – 48200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n263</w:t>
            </w:r>
          </w:p>
        </w:tc>
        <w:tc>
          <w:tcPr>
            <w:tcW w:w="31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57000 MHz – 71000 MHz</w:t>
            </w:r>
          </w:p>
        </w:tc>
        <w:tc>
          <w:tcPr>
            <w:tcW w:w="128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TDD</w:t>
            </w:r>
          </w:p>
        </w:tc>
      </w:tr>
    </w:tbl>
    <w:p>
      <w:pPr>
        <w:pStyle w:val="93"/>
        <w:rPr>
          <w:rFonts w:hint="eastAsia"/>
        </w:rPr>
      </w:pPr>
    </w:p>
    <w:p>
      <w:pPr>
        <w:pStyle w:val="93"/>
        <w:rPr>
          <w:rFonts w:hint="eastAsia"/>
          <w:lang w:val="en-US" w:eastAsia="zh-CN"/>
        </w:rPr>
      </w:pPr>
    </w:p>
    <w:p>
      <w:pPr>
        <w:pStyle w:val="3"/>
        <w:rPr>
          <w:rFonts w:eastAsia="??" w:cs="Times New Roman"/>
          <w:color w:val="FF0000"/>
          <w:szCs w:val="32"/>
        </w:rPr>
      </w:pPr>
      <w:bookmarkStart w:id="140" w:name="OLE_LINK2"/>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p>
      <w:pPr>
        <w:pStyle w:val="4"/>
      </w:pPr>
      <w:bookmarkStart w:id="141" w:name="_Toc37260156"/>
      <w:bookmarkStart w:id="142" w:name="_Toc106782807"/>
      <w:bookmarkStart w:id="143" w:name="_Toc61179333"/>
      <w:bookmarkStart w:id="144" w:name="_Toc131740821"/>
      <w:bookmarkStart w:id="145" w:name="_Toc114255502"/>
      <w:bookmarkStart w:id="146" w:name="_Toc21127479"/>
      <w:bookmarkStart w:id="147" w:name="_Toc107419282"/>
      <w:bookmarkStart w:id="148" w:name="_Toc36817240"/>
      <w:bookmarkStart w:id="149" w:name="_Toc53178637"/>
      <w:bookmarkStart w:id="150" w:name="_Toc45893459"/>
      <w:bookmarkStart w:id="151" w:name="_Toc107474909"/>
      <w:bookmarkStart w:id="152" w:name="_Toc115186182"/>
      <w:bookmarkStart w:id="153" w:name="_Toc107311698"/>
      <w:bookmarkStart w:id="154" w:name="_Toc123054384"/>
      <w:bookmarkStart w:id="155" w:name="_Toc123051915"/>
      <w:bookmarkStart w:id="156" w:name="_Toc131766355"/>
      <w:bookmarkStart w:id="157" w:name="_Toc138934663"/>
      <w:bookmarkStart w:id="158" w:name="_Toc123717485"/>
      <w:bookmarkStart w:id="159" w:name="_Toc67916629"/>
      <w:bookmarkStart w:id="160" w:name="_Toc29811688"/>
      <w:bookmarkStart w:id="161" w:name="_Toc53178186"/>
      <w:bookmarkStart w:id="162" w:name="_Toc61178863"/>
      <w:bookmarkStart w:id="163" w:name="_Toc44712146"/>
      <w:bookmarkStart w:id="164" w:name="_Toc124266465"/>
      <w:bookmarkStart w:id="165" w:name="_Toc82621767"/>
      <w:bookmarkStart w:id="166" w:name="_Toc74663227"/>
      <w:bookmarkStart w:id="167" w:name="_Toc90422614"/>
      <w:bookmarkStart w:id="168" w:name="_Toc37267544"/>
      <w:bookmarkStart w:id="169" w:name="_Toc124157061"/>
      <w:bookmarkStart w:id="170" w:name="_Toc131595823"/>
      <w:bookmarkStart w:id="171" w:name="_Toc123048996"/>
      <w:bookmarkStart w:id="172" w:name="_Toc138837577"/>
      <w:r>
        <w:t>6.5.3</w:t>
      </w:r>
      <w:r>
        <w:tab/>
      </w:r>
      <w:r>
        <w:t>Time alignment error</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pPr>
        <w:pStyle w:val="5"/>
      </w:pPr>
      <w:bookmarkStart w:id="173" w:name="_Toc45893460"/>
      <w:bookmarkStart w:id="174" w:name="_Toc107419283"/>
      <w:bookmarkStart w:id="175" w:name="_Toc131766356"/>
      <w:bookmarkStart w:id="176" w:name="_Toc61178864"/>
      <w:bookmarkStart w:id="177" w:name="_Toc124157062"/>
      <w:bookmarkStart w:id="178" w:name="_Toc115186183"/>
      <w:bookmarkStart w:id="179" w:name="_Toc123051916"/>
      <w:bookmarkStart w:id="180" w:name="_Toc107311699"/>
      <w:bookmarkStart w:id="181" w:name="_Toc123054385"/>
      <w:bookmarkStart w:id="182" w:name="_Toc138934664"/>
      <w:bookmarkStart w:id="183" w:name="_Toc21127480"/>
      <w:bookmarkStart w:id="184" w:name="_Toc107474910"/>
      <w:bookmarkStart w:id="185" w:name="_Toc67916630"/>
      <w:bookmarkStart w:id="186" w:name="_Toc131595824"/>
      <w:bookmarkStart w:id="187" w:name="_Toc37267545"/>
      <w:bookmarkStart w:id="188" w:name="_Toc90422615"/>
      <w:bookmarkStart w:id="189" w:name="_Toc123048997"/>
      <w:bookmarkStart w:id="190" w:name="_Toc124266466"/>
      <w:bookmarkStart w:id="191" w:name="_Toc82621768"/>
      <w:bookmarkStart w:id="192" w:name="_Toc114255503"/>
      <w:bookmarkStart w:id="193" w:name="_Toc61179334"/>
      <w:bookmarkStart w:id="194" w:name="_Toc29811689"/>
      <w:bookmarkStart w:id="195" w:name="_Toc53178187"/>
      <w:bookmarkStart w:id="196" w:name="_Toc44712147"/>
      <w:bookmarkStart w:id="197" w:name="_Toc138837578"/>
      <w:bookmarkStart w:id="198" w:name="_Toc131740822"/>
      <w:bookmarkStart w:id="199" w:name="_Toc53178638"/>
      <w:bookmarkStart w:id="200" w:name="_Toc123717486"/>
      <w:bookmarkStart w:id="201" w:name="_Toc37260157"/>
      <w:bookmarkStart w:id="202" w:name="_Toc106782808"/>
      <w:bookmarkStart w:id="203" w:name="_Toc74663228"/>
      <w:bookmarkStart w:id="204" w:name="_Toc36817241"/>
      <w:r>
        <w:t>6.5.3.1</w:t>
      </w:r>
      <w:r>
        <w:tab/>
      </w:r>
      <w:r>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
        <w:t xml:space="preserve">This requirement shall apply to frame timing in MIMO transmission, </w:t>
      </w:r>
      <w:r>
        <w:rPr>
          <w:i/>
        </w:rPr>
        <w:t>carrier aggregation</w:t>
      </w:r>
      <w:r>
        <w:t xml:space="preserve"> and their combinations.</w:t>
      </w:r>
    </w:p>
    <w:p>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r>
        <w:t>The TAE is specified for a specific set of signals/transmitter configuration/transmission mode.</w:t>
      </w:r>
    </w:p>
    <w:p>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pPr>
        <w:rPr>
          <w:ins w:id="43" w:author="cmcc [2]" w:date="2023-08-11T11:27:55Z"/>
        </w:rPr>
      </w:pPr>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MIMO transmission, </w:t>
      </w:r>
      <w:r>
        <w:rPr>
          <w:i/>
        </w:rPr>
        <w:t>carrier aggregation</w:t>
      </w:r>
      <w:r>
        <w:t xml:space="preserve"> for a specific set of signals/transmitter configuration/transmission mode.</w:t>
      </w:r>
    </w:p>
    <w:p>
      <w:pPr>
        <w:rPr>
          <w:rFonts w:hint="default" w:eastAsiaTheme="minorEastAsia"/>
          <w:lang w:val="en-US" w:eastAsia="zh-CN"/>
        </w:rPr>
      </w:pPr>
      <w:ins w:id="44" w:author="cmcc [2]" w:date="2023-08-11T11:27:56Z">
        <w:r>
          <w:rPr>
            <w:rFonts w:hint="eastAsia"/>
            <w:lang w:val="en-US" w:eastAsia="zh-CN"/>
          </w:rPr>
          <w:t>The</w:t>
        </w:r>
      </w:ins>
      <w:ins w:id="45" w:author="cmcc [2]" w:date="2023-08-11T11:27:57Z">
        <w:r>
          <w:rPr>
            <w:rFonts w:hint="eastAsia"/>
            <w:lang w:val="en-US" w:eastAsia="zh-CN"/>
          </w:rPr>
          <w:t>re</w:t>
        </w:r>
      </w:ins>
      <w:ins w:id="46" w:author="cmcc [2]" w:date="2023-08-11T11:27:58Z">
        <w:r>
          <w:rPr>
            <w:rFonts w:hint="eastAsia"/>
            <w:lang w:val="en-US" w:eastAsia="zh-CN"/>
          </w:rPr>
          <w:t xml:space="preserve"> </w:t>
        </w:r>
      </w:ins>
      <w:ins w:id="47" w:author="cmcc [2]" w:date="2023-08-11T11:27:59Z">
        <w:r>
          <w:rPr>
            <w:rFonts w:hint="eastAsia"/>
            <w:lang w:val="en-US" w:eastAsia="zh-CN"/>
          </w:rPr>
          <w:t>is</w:t>
        </w:r>
      </w:ins>
      <w:ins w:id="48" w:author="cmcc [2]" w:date="2023-08-11T11:28:00Z">
        <w:r>
          <w:rPr>
            <w:rFonts w:hint="eastAsia"/>
            <w:lang w:val="en-US" w:eastAsia="zh-CN"/>
          </w:rPr>
          <w:t xml:space="preserve"> no</w:t>
        </w:r>
      </w:ins>
      <w:ins w:id="49" w:author="cmcc [2]" w:date="2023-08-11T11:28:01Z">
        <w:r>
          <w:rPr>
            <w:rFonts w:hint="eastAsia"/>
            <w:lang w:val="en-US" w:eastAsia="zh-CN"/>
          </w:rPr>
          <w:t xml:space="preserve"> </w:t>
        </w:r>
      </w:ins>
      <w:ins w:id="50" w:author="cmcc [2]" w:date="2023-08-11T11:28:08Z">
        <w:r>
          <w:rPr>
            <w:rFonts w:hint="eastAsia"/>
            <w:lang w:val="en-US" w:eastAsia="zh-CN"/>
          </w:rPr>
          <w:t>T</w:t>
        </w:r>
      </w:ins>
      <w:ins w:id="51" w:author="cmcc [2]" w:date="2023-08-11T11:28:09Z">
        <w:r>
          <w:rPr>
            <w:rFonts w:hint="eastAsia"/>
            <w:lang w:val="en-US" w:eastAsia="zh-CN"/>
          </w:rPr>
          <w:t>A</w:t>
        </w:r>
      </w:ins>
      <w:ins w:id="52" w:author="cmcc [2]" w:date="2023-08-11T11:28:10Z">
        <w:r>
          <w:rPr>
            <w:rFonts w:hint="eastAsia"/>
            <w:lang w:val="en-US" w:eastAsia="zh-CN"/>
          </w:rPr>
          <w:t>E</w:t>
        </w:r>
      </w:ins>
      <w:ins w:id="53" w:author="cmcc [2]" w:date="2023-08-11T11:28:11Z">
        <w:r>
          <w:rPr>
            <w:rFonts w:hint="eastAsia"/>
            <w:lang w:val="en-US" w:eastAsia="zh-CN"/>
          </w:rPr>
          <w:t xml:space="preserve"> </w:t>
        </w:r>
      </w:ins>
      <w:ins w:id="54" w:author="cmcc [2]" w:date="2023-08-11T11:28:12Z">
        <w:r>
          <w:rPr>
            <w:rFonts w:hint="eastAsia"/>
            <w:lang w:val="en-US" w:eastAsia="zh-CN"/>
          </w:rPr>
          <w:t>requi</w:t>
        </w:r>
      </w:ins>
      <w:ins w:id="55" w:author="cmcc [2]" w:date="2023-08-11T11:28:13Z">
        <w:r>
          <w:rPr>
            <w:rFonts w:hint="eastAsia"/>
            <w:lang w:val="en-US" w:eastAsia="zh-CN"/>
          </w:rPr>
          <w:t>re</w:t>
        </w:r>
      </w:ins>
      <w:ins w:id="56" w:author="cmcc [2]" w:date="2023-08-11T11:28:14Z">
        <w:r>
          <w:rPr>
            <w:rFonts w:hint="eastAsia"/>
            <w:lang w:val="en-US" w:eastAsia="zh-CN"/>
          </w:rPr>
          <w:t>m</w:t>
        </w:r>
      </w:ins>
      <w:ins w:id="57" w:author="cmcc [2]" w:date="2023-08-11T11:28:15Z">
        <w:r>
          <w:rPr>
            <w:rFonts w:hint="eastAsia"/>
            <w:lang w:val="en-US" w:eastAsia="zh-CN"/>
          </w:rPr>
          <w:t>en</w:t>
        </w:r>
      </w:ins>
      <w:ins w:id="58" w:author="cmcc [2]" w:date="2023-08-11T11:28:16Z">
        <w:r>
          <w:rPr>
            <w:rFonts w:hint="eastAsia"/>
            <w:lang w:val="en-US" w:eastAsia="zh-CN"/>
          </w:rPr>
          <w:t>t</w:t>
        </w:r>
      </w:ins>
      <w:ins w:id="59" w:author="cmcc [2]" w:date="2023-08-11T11:28:17Z">
        <w:r>
          <w:rPr>
            <w:rFonts w:hint="eastAsia"/>
            <w:lang w:val="en-US" w:eastAsia="zh-CN"/>
          </w:rPr>
          <w:t xml:space="preserve"> </w:t>
        </w:r>
      </w:ins>
      <w:ins w:id="60" w:author="cmcc [2]" w:date="2023-08-11T11:28:18Z">
        <w:r>
          <w:rPr>
            <w:rFonts w:hint="eastAsia"/>
            <w:lang w:val="en-US" w:eastAsia="zh-CN"/>
          </w:rPr>
          <w:t>fo</w:t>
        </w:r>
      </w:ins>
      <w:ins w:id="61" w:author="cmcc [2]" w:date="2023-08-11T11:28:19Z">
        <w:r>
          <w:rPr>
            <w:rFonts w:hint="eastAsia"/>
            <w:lang w:val="en-US" w:eastAsia="zh-CN"/>
          </w:rPr>
          <w:t xml:space="preserve">r </w:t>
        </w:r>
      </w:ins>
      <w:ins w:id="62" w:author="cmcc [2]" w:date="2023-08-11T11:28:21Z">
        <w:r>
          <w:rPr>
            <w:rFonts w:hint="eastAsia"/>
            <w:lang w:val="en-US" w:eastAsia="zh-CN"/>
          </w:rPr>
          <w:t xml:space="preserve">ATG </w:t>
        </w:r>
      </w:ins>
      <w:ins w:id="63" w:author="cmcc [2]" w:date="2023-08-11T11:28:22Z">
        <w:r>
          <w:rPr>
            <w:rFonts w:hint="eastAsia"/>
            <w:lang w:val="en-US" w:eastAsia="zh-CN"/>
          </w:rPr>
          <w:t>BS</w:t>
        </w:r>
      </w:ins>
      <w:ins w:id="64" w:author="cmcc [2]" w:date="2023-08-11T11:28:23Z">
        <w:r>
          <w:rPr>
            <w:rFonts w:hint="eastAsia"/>
            <w:lang w:val="en-US" w:eastAsia="zh-CN"/>
          </w:rPr>
          <w:t>.</w:t>
        </w:r>
      </w:ins>
    </w:p>
    <w:p>
      <w:pPr>
        <w:pStyle w:val="5"/>
      </w:pPr>
      <w:bookmarkStart w:id="205" w:name="_Toc21127481"/>
      <w:bookmarkStart w:id="206" w:name="_Toc44712148"/>
      <w:bookmarkStart w:id="207" w:name="_Toc115186184"/>
      <w:bookmarkStart w:id="208" w:name="_Toc37260158"/>
      <w:bookmarkStart w:id="209" w:name="_Toc124157063"/>
      <w:bookmarkStart w:id="210" w:name="_Toc138837579"/>
      <w:bookmarkStart w:id="211" w:name="_Toc123717487"/>
      <w:bookmarkStart w:id="212" w:name="_Toc45893461"/>
      <w:bookmarkStart w:id="213" w:name="_Toc107474911"/>
      <w:bookmarkStart w:id="214" w:name="_Toc107419284"/>
      <w:bookmarkStart w:id="215" w:name="_Toc37267546"/>
      <w:bookmarkStart w:id="216" w:name="_Toc106782809"/>
      <w:bookmarkStart w:id="217" w:name="_Toc114255504"/>
      <w:bookmarkStart w:id="218" w:name="_Toc82621769"/>
      <w:bookmarkStart w:id="219" w:name="_Toc53178639"/>
      <w:bookmarkStart w:id="220" w:name="_Toc131595825"/>
      <w:bookmarkStart w:id="221" w:name="_Toc90422616"/>
      <w:bookmarkStart w:id="222" w:name="_Toc74663229"/>
      <w:bookmarkStart w:id="223" w:name="_Toc131740823"/>
      <w:bookmarkStart w:id="224" w:name="_Toc53178188"/>
      <w:bookmarkStart w:id="225" w:name="_Toc61179335"/>
      <w:bookmarkStart w:id="226" w:name="_Toc124266467"/>
      <w:bookmarkStart w:id="227" w:name="_Toc36817242"/>
      <w:bookmarkStart w:id="228" w:name="_Toc107311700"/>
      <w:bookmarkStart w:id="229" w:name="_Toc138934665"/>
      <w:bookmarkStart w:id="230" w:name="_Toc61178865"/>
      <w:bookmarkStart w:id="231" w:name="_Toc131766357"/>
      <w:bookmarkStart w:id="232" w:name="_Toc123054386"/>
      <w:bookmarkStart w:id="233" w:name="_Toc67916631"/>
      <w:bookmarkStart w:id="234" w:name="_Toc123051917"/>
      <w:bookmarkStart w:id="235" w:name="_Toc29811690"/>
      <w:bookmarkStart w:id="236" w:name="_Toc123048998"/>
      <w:r>
        <w:t>6.5.3.2</w:t>
      </w:r>
      <w:r>
        <w:tab/>
      </w:r>
      <w:r>
        <w:t>Minimum requirement</w:t>
      </w:r>
      <w:r>
        <w:rPr>
          <w:lang w:eastAsia="ja-JP"/>
        </w:rPr>
        <w:t xml:space="preserve"> for </w:t>
      </w:r>
      <w:r>
        <w:rPr>
          <w:i/>
          <w:lang w:eastAsia="ja-JP"/>
        </w:rPr>
        <w:t>BS type 1-C</w:t>
      </w:r>
      <w:r>
        <w:rPr>
          <w:lang w:eastAsia="ja-JP"/>
        </w:rPr>
        <w:t xml:space="preserve"> </w:t>
      </w:r>
      <w:bookmarkEnd w:id="205"/>
      <w:r>
        <w:rPr>
          <w:lang w:eastAsia="ja-JP"/>
        </w:rPr>
        <w:t>and</w:t>
      </w:r>
      <w:r>
        <w:rPr>
          <w:rFonts w:hint="eastAsia"/>
          <w:lang w:val="en-US" w:eastAsia="zh-CN"/>
        </w:rPr>
        <w:t xml:space="preserve"> </w:t>
      </w:r>
      <w:r>
        <w:rPr>
          <w:i/>
          <w:lang w:eastAsia="ja-JP"/>
        </w:rPr>
        <w:t>BS type</w:t>
      </w:r>
      <w:r>
        <w:rPr>
          <w:lang w:eastAsia="ja-JP"/>
        </w:rPr>
        <w:t xml:space="preserve"> 1-H</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
        <w:t>For MIMO transmission, at each carrier frequency, TAE shall not exceed 65 ns.</w:t>
      </w:r>
    </w:p>
    <w:p>
      <w:r>
        <w:t xml:space="preserve">For </w:t>
      </w:r>
      <w:r>
        <w:rPr>
          <w:i/>
        </w:rPr>
        <w:t>intra-band contiguous carrier aggregation</w:t>
      </w:r>
      <w:r>
        <w:t>, with or without MIMO, TAE shall not exceed</w:t>
      </w:r>
      <w:r>
        <w:rPr>
          <w:lang w:eastAsia="zh-CN"/>
        </w:rPr>
        <w:t xml:space="preserve"> 260ns</w:t>
      </w:r>
      <w:r>
        <w:t>.</w:t>
      </w:r>
    </w:p>
    <w:p>
      <w:r>
        <w:t xml:space="preserve">For </w:t>
      </w:r>
      <w:r>
        <w:rPr>
          <w:i/>
        </w:rPr>
        <w:t>intra-band non-contiguous carrier aggregation</w:t>
      </w:r>
      <w:r>
        <w:t xml:space="preserve">, with or without MIMO, TAE shall not exceed </w:t>
      </w:r>
      <w:r>
        <w:rPr>
          <w:lang w:eastAsia="zh-CN"/>
        </w:rPr>
        <w:t>3</w:t>
      </w:r>
      <w:bookmarkStart w:id="237" w:name="OLE_LINK264"/>
      <w:bookmarkStart w:id="238" w:name="OLE_LINK265"/>
      <w:r>
        <w:rPr>
          <w:rFonts w:cs="Arial"/>
        </w:rPr>
        <w:t>µs</w:t>
      </w:r>
      <w:bookmarkEnd w:id="237"/>
      <w:bookmarkEnd w:id="238"/>
      <w:r>
        <w:t>.</w:t>
      </w:r>
    </w:p>
    <w:p>
      <w:r>
        <w:t xml:space="preserve">For inter-band </w:t>
      </w:r>
      <w:r>
        <w:rPr>
          <w:i/>
        </w:rPr>
        <w:t>carrier aggregation</w:t>
      </w:r>
      <w:r>
        <w:t xml:space="preserve">, with or without MIMO, TAE shall not exceed </w:t>
      </w:r>
      <w:r>
        <w:rPr>
          <w:lang w:eastAsia="zh-CN"/>
        </w:rPr>
        <w:t>3</w:t>
      </w:r>
      <w:r>
        <w:rPr>
          <w:rFonts w:cs="Arial"/>
        </w:rPr>
        <w:t>µs</w:t>
      </w:r>
      <w:r>
        <w:t>.</w:t>
      </w:r>
    </w:p>
    <w:p>
      <w:r>
        <w:t>The time alignment error requirements for NB-IoT are sp</w:t>
      </w:r>
      <w:bookmarkStart w:id="239" w:name="OLE_LINK4"/>
      <w:r>
        <w:t>ecified in TS 36.104 [13] clause 6.5.3.</w:t>
      </w:r>
    </w:p>
    <w:bookmarkEnd w:id="239"/>
    <w:p>
      <w:pPr>
        <w:pStyle w:val="95"/>
      </w:pPr>
      <w:r>
        <w:t>Table 6.5.3.2-1: Void</w:t>
      </w:r>
    </w:p>
    <w:p>
      <w:pPr>
        <w:pStyle w:val="95"/>
      </w:pPr>
      <w:r>
        <w:t>Table 6.5.3.2-2: Void</w:t>
      </w:r>
    </w:p>
    <w:p>
      <w:pPr>
        <w:pStyle w:val="95"/>
      </w:pPr>
      <w:r>
        <w:t>Table 6.5.3.2-3: Void</w:t>
      </w:r>
    </w:p>
    <w:p>
      <w:pPr>
        <w:rPr>
          <w:rFonts w:hint="eastAsia"/>
          <w:lang w:val="en-US" w:eastAsia="zh-CN"/>
        </w:rPr>
      </w:pPr>
      <w:bookmarkStart w:id="240" w:name="OLE_LINK6"/>
    </w:p>
    <w:bookmarkEnd w:id="240"/>
    <w:p>
      <w:pPr>
        <w:rPr>
          <w:rFonts w:hint="eastAsia"/>
          <w:lang w:val="en-US" w:eastAsia="zh-CN"/>
        </w:rPr>
      </w:pP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4"/>
        <w:rPr>
          <w:lang w:val="en-US"/>
        </w:rPr>
      </w:pPr>
      <w:bookmarkStart w:id="241" w:name="_Toc123054620"/>
      <w:bookmarkStart w:id="242" w:name="_Toc124266701"/>
      <w:bookmarkStart w:id="243" w:name="_Toc123049229"/>
      <w:bookmarkStart w:id="244" w:name="_Toc131741057"/>
      <w:bookmarkStart w:id="245" w:name="_Toc36817418"/>
      <w:bookmarkStart w:id="246" w:name="_Toc61179523"/>
      <w:bookmarkStart w:id="247" w:name="_Toc131596059"/>
      <w:bookmarkStart w:id="248" w:name="_Toc37267728"/>
      <w:bookmarkStart w:id="249" w:name="_Toc61179053"/>
      <w:bookmarkStart w:id="250" w:name="_Toc67916819"/>
      <w:bookmarkStart w:id="251" w:name="_Toc44712331"/>
      <w:bookmarkStart w:id="252" w:name="_Toc82621981"/>
      <w:bookmarkStart w:id="253" w:name="_Toc115186399"/>
      <w:bookmarkStart w:id="254" w:name="_Toc123052151"/>
      <w:bookmarkStart w:id="255" w:name="_Toc53178815"/>
      <w:bookmarkStart w:id="256" w:name="_Toc37260340"/>
      <w:bookmarkStart w:id="257" w:name="_Toc106783024"/>
      <w:bookmarkStart w:id="258" w:name="_Toc124157297"/>
      <w:bookmarkStart w:id="259" w:name="_Toc107419499"/>
      <w:bookmarkStart w:id="260" w:name="_Toc131766591"/>
      <w:bookmarkStart w:id="261" w:name="_Toc21127657"/>
      <w:bookmarkStart w:id="262" w:name="_Toc123717721"/>
      <w:bookmarkStart w:id="263" w:name="_Toc138934899"/>
      <w:bookmarkStart w:id="264" w:name="_Toc74663440"/>
      <w:bookmarkStart w:id="265" w:name="_Toc53178364"/>
      <w:bookmarkStart w:id="266" w:name="_Toc107311915"/>
      <w:bookmarkStart w:id="267" w:name="_Toc90422828"/>
      <w:bookmarkStart w:id="268" w:name="_Toc29811866"/>
      <w:bookmarkStart w:id="269" w:name="_Toc114255719"/>
      <w:bookmarkStart w:id="270" w:name="_Toc138837813"/>
      <w:bookmarkStart w:id="271" w:name="_Toc107475126"/>
      <w:bookmarkStart w:id="272" w:name="_Toc45893644"/>
      <w:r>
        <w:rPr>
          <w:lang w:val="en-US"/>
        </w:rPr>
        <w:t>9.6.3</w:t>
      </w:r>
      <w:r>
        <w:rPr>
          <w:lang w:val="en-US"/>
        </w:rPr>
        <w:tab/>
      </w:r>
      <w:r>
        <w:rPr>
          <w:lang w:val="en-US"/>
        </w:rPr>
        <w:t>OTA time alignment error</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pPr>
        <w:pStyle w:val="5"/>
        <w:rPr>
          <w:lang w:val="en-US"/>
        </w:rPr>
      </w:pPr>
      <w:bookmarkStart w:id="273" w:name="_Toc37260341"/>
      <w:bookmarkStart w:id="274" w:name="_Toc123049230"/>
      <w:bookmarkStart w:id="275" w:name="_Toc131766592"/>
      <w:bookmarkStart w:id="276" w:name="_Toc53178365"/>
      <w:bookmarkStart w:id="277" w:name="_Toc29811867"/>
      <w:bookmarkStart w:id="278" w:name="_Toc114255720"/>
      <w:bookmarkStart w:id="279" w:name="_Toc53178816"/>
      <w:bookmarkStart w:id="280" w:name="_Toc138934900"/>
      <w:bookmarkStart w:id="281" w:name="_Toc107419500"/>
      <w:bookmarkStart w:id="282" w:name="_Toc131741058"/>
      <w:bookmarkStart w:id="283" w:name="_Toc37267729"/>
      <w:bookmarkStart w:id="284" w:name="_Toc123054621"/>
      <w:bookmarkStart w:id="285" w:name="_Toc44712332"/>
      <w:bookmarkStart w:id="286" w:name="_Toc115186400"/>
      <w:bookmarkStart w:id="287" w:name="_Toc124266702"/>
      <w:bookmarkStart w:id="288" w:name="_Toc123052152"/>
      <w:bookmarkStart w:id="289" w:name="_Toc82621982"/>
      <w:bookmarkStart w:id="290" w:name="_Toc61179054"/>
      <w:bookmarkStart w:id="291" w:name="_Toc36817419"/>
      <w:bookmarkStart w:id="292" w:name="_Toc124157298"/>
      <w:bookmarkStart w:id="293" w:name="_Toc138837814"/>
      <w:bookmarkStart w:id="294" w:name="_Toc74663441"/>
      <w:bookmarkStart w:id="295" w:name="_Toc90422829"/>
      <w:bookmarkStart w:id="296" w:name="_Toc106783025"/>
      <w:bookmarkStart w:id="297" w:name="_Toc67916820"/>
      <w:bookmarkStart w:id="298" w:name="_Toc131596060"/>
      <w:bookmarkStart w:id="299" w:name="_Toc61179524"/>
      <w:bookmarkStart w:id="300" w:name="_Toc123717722"/>
      <w:bookmarkStart w:id="301" w:name="_Toc107475127"/>
      <w:bookmarkStart w:id="302" w:name="_Toc45893645"/>
      <w:bookmarkStart w:id="303" w:name="_Toc107311916"/>
      <w:bookmarkStart w:id="304" w:name="_Toc21127658"/>
      <w:r>
        <w:t>9.6.3.1</w:t>
      </w:r>
      <w:r>
        <w:tab/>
      </w:r>
      <w:r>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
        <w:t xml:space="preserve">This requirement shall apply to frame timing in MIMO transmission, </w:t>
      </w:r>
      <w:r>
        <w:rPr>
          <w:i/>
        </w:rPr>
        <w:t>carrier aggregation</w:t>
      </w:r>
      <w:r>
        <w:t xml:space="preserve"> and their combinations.</w:t>
      </w:r>
    </w:p>
    <w:p>
      <w:r>
        <w:t>Frames of the NR signals present in the radiated domain are not perfectly aligned in time. In relation to each other, the RF signals present in the radiated domain may experience certain timing differences.</w:t>
      </w:r>
    </w:p>
    <w:p>
      <w:r>
        <w:t>The TAE is specified for a specific set of signals/transmitter configuration/transmission mode.</w:t>
      </w:r>
    </w:p>
    <w:p>
      <w:pPr>
        <w:rPr>
          <w:ins w:id="65" w:author="cmcc [2]" w:date="2023-08-11T11:28:58Z"/>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rPr>
          <w:ins w:id="66" w:author="cmcc [2]" w:date="2023-08-11T11:29:00Z"/>
          <w:rFonts w:hint="default" w:eastAsiaTheme="minorEastAsia"/>
          <w:lang w:val="en-US" w:eastAsia="zh-CN"/>
        </w:rPr>
      </w:pPr>
      <w:ins w:id="67" w:author="cmcc [2]" w:date="2023-08-11T11:29:00Z">
        <w:r>
          <w:rPr>
            <w:rFonts w:hint="eastAsia"/>
            <w:lang w:val="en-US" w:eastAsia="zh-CN"/>
          </w:rPr>
          <w:t>There is no TAE requirement for ATG BS.</w:t>
        </w:r>
      </w:ins>
    </w:p>
    <w:p>
      <w:pPr>
        <w:rPr>
          <w:i/>
          <w:iCs/>
        </w:rPr>
      </w:pPr>
    </w:p>
    <w:p>
      <w:pPr>
        <w:pStyle w:val="5"/>
      </w:pPr>
      <w:bookmarkStart w:id="305" w:name="_Toc123717723"/>
      <w:bookmarkStart w:id="306" w:name="_Toc61179525"/>
      <w:bookmarkStart w:id="307" w:name="_Toc123052153"/>
      <w:bookmarkStart w:id="308" w:name="_Toc37260342"/>
      <w:bookmarkStart w:id="309" w:name="_Toc67916821"/>
      <w:bookmarkStart w:id="310" w:name="_Toc114255721"/>
      <w:bookmarkStart w:id="311" w:name="_Toc131741059"/>
      <w:bookmarkStart w:id="312" w:name="_Toc107311917"/>
      <w:bookmarkStart w:id="313" w:name="_Toc131596061"/>
      <w:bookmarkStart w:id="314" w:name="_Toc44712333"/>
      <w:bookmarkStart w:id="315" w:name="_Toc53178817"/>
      <w:bookmarkStart w:id="316" w:name="_Toc107475128"/>
      <w:bookmarkStart w:id="317" w:name="_Toc123054622"/>
      <w:bookmarkStart w:id="318" w:name="_Toc45893646"/>
      <w:bookmarkStart w:id="319" w:name="_Toc107419501"/>
      <w:bookmarkStart w:id="320" w:name="_Toc36817420"/>
      <w:bookmarkStart w:id="321" w:name="_Toc74663442"/>
      <w:bookmarkStart w:id="322" w:name="_Toc106783026"/>
      <w:bookmarkStart w:id="323" w:name="_Toc29811868"/>
      <w:bookmarkStart w:id="324" w:name="_Toc90422830"/>
      <w:bookmarkStart w:id="325" w:name="_Toc131766593"/>
      <w:bookmarkStart w:id="326" w:name="_Toc138837815"/>
      <w:bookmarkStart w:id="327" w:name="_Toc21127659"/>
      <w:bookmarkStart w:id="328" w:name="_Toc37267730"/>
      <w:bookmarkStart w:id="329" w:name="_Toc115186401"/>
      <w:bookmarkStart w:id="330" w:name="_Toc82621983"/>
      <w:bookmarkStart w:id="331" w:name="_Toc53178366"/>
      <w:bookmarkStart w:id="332" w:name="_Toc61179055"/>
      <w:bookmarkStart w:id="333" w:name="_Toc123049231"/>
      <w:bookmarkStart w:id="334" w:name="_Toc124266703"/>
      <w:bookmarkStart w:id="335" w:name="_Toc124157299"/>
      <w:bookmarkStart w:id="336" w:name="_Toc138934901"/>
      <w:r>
        <w:t>9.6.3.2</w:t>
      </w:r>
      <w:r>
        <w:tab/>
      </w:r>
      <w:r>
        <w:t>Minimum requirement</w:t>
      </w:r>
      <w:r>
        <w:rPr>
          <w:lang w:eastAsia="ja-JP"/>
        </w:rPr>
        <w:t xml:space="preserve"> for </w:t>
      </w:r>
      <w:r>
        <w:rPr>
          <w:i/>
          <w:lang w:eastAsia="ja-JP"/>
        </w:rPr>
        <w:t>BS type 1-O</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bookmarkStart w:id="337" w:name="_Toc45893647"/>
      <w:bookmarkStart w:id="338" w:name="_Toc37267731"/>
      <w:bookmarkStart w:id="339" w:name="_Toc82621984"/>
      <w:bookmarkStart w:id="340" w:name="_Toc44712334"/>
      <w:bookmarkStart w:id="341" w:name="_Toc53178818"/>
      <w:bookmarkStart w:id="342" w:name="_Toc61179526"/>
      <w:bookmarkStart w:id="343" w:name="_Toc53178367"/>
      <w:bookmarkStart w:id="344" w:name="_Toc29811869"/>
      <w:bookmarkStart w:id="345" w:name="_Toc74663443"/>
      <w:bookmarkStart w:id="346" w:name="_Toc61179056"/>
      <w:bookmarkStart w:id="347" w:name="_Toc36817421"/>
      <w:bookmarkStart w:id="348" w:name="_Toc21127660"/>
      <w:bookmarkStart w:id="349" w:name="_Toc90422831"/>
      <w:bookmarkStart w:id="350" w:name="_Toc67916822"/>
      <w:bookmarkStart w:id="351" w:name="_Toc37260343"/>
      <w:r>
        <w:t>For MIMO transmission, at each carrier frequency, OTA TAE shall not exceed 65 ns.</w:t>
      </w:r>
    </w:p>
    <w:p>
      <w:r>
        <w:t xml:space="preserve">For </w:t>
      </w:r>
      <w:r>
        <w:rPr>
          <w:i/>
        </w:rPr>
        <w:t>intra-band contiguous carrier aggregation</w:t>
      </w:r>
      <w:r>
        <w:t xml:space="preserve">, with or without MIMO, OTA TAE shall not exceed </w:t>
      </w:r>
      <w:r>
        <w:rPr>
          <w:lang w:eastAsia="zh-CN"/>
        </w:rPr>
        <w:t>260 ns</w:t>
      </w:r>
      <w:r>
        <w:t>.</w:t>
      </w:r>
    </w:p>
    <w:p>
      <w:r>
        <w:t xml:space="preserve">For </w:t>
      </w:r>
      <w:r>
        <w:rPr>
          <w:i/>
        </w:rPr>
        <w:t>intra-band non-contiguous carrier aggregation</w:t>
      </w:r>
      <w:r>
        <w:t>, with or without MIMO, OTA TAE shall not exceed 3 µs.</w:t>
      </w:r>
    </w:p>
    <w:p>
      <w:r>
        <w:t xml:space="preserve">For inter-band </w:t>
      </w:r>
      <w:r>
        <w:rPr>
          <w:i/>
        </w:rPr>
        <w:t>carrier aggregation</w:t>
      </w:r>
      <w:r>
        <w:t>, with or without MIMO, OTA TAE shall not exceed 3 µs.</w:t>
      </w:r>
    </w:p>
    <w:p>
      <w:pPr>
        <w:pStyle w:val="95"/>
      </w:pPr>
      <w:r>
        <w:t>Table 9.6.3.2-1: Void</w:t>
      </w:r>
    </w:p>
    <w:p>
      <w:pPr>
        <w:pStyle w:val="95"/>
      </w:pPr>
      <w:r>
        <w:t>Table 9.6.3.2-2: Void</w:t>
      </w:r>
    </w:p>
    <w:p>
      <w:pPr>
        <w:pStyle w:val="95"/>
        <w:rPr>
          <w:rFonts w:hint="eastAsia"/>
          <w:lang w:val="en-US" w:eastAsia="zh-CN"/>
        </w:rPr>
      </w:pPr>
      <w:r>
        <w:t>Table 9.6.3.2-3: Void</w:t>
      </w:r>
    </w:p>
    <w:p/>
    <w:p>
      <w:pPr>
        <w:pStyle w:val="5"/>
      </w:pPr>
      <w:bookmarkStart w:id="352" w:name="_Toc107311918"/>
      <w:bookmarkStart w:id="353" w:name="_Toc107419502"/>
      <w:bookmarkStart w:id="354" w:name="_Toc115186402"/>
      <w:bookmarkStart w:id="355" w:name="_Toc131596062"/>
      <w:bookmarkStart w:id="356" w:name="_Toc123054623"/>
      <w:bookmarkStart w:id="357" w:name="_Toc114255722"/>
      <w:bookmarkStart w:id="358" w:name="_Toc138837816"/>
      <w:bookmarkStart w:id="359" w:name="_Toc123717724"/>
      <w:bookmarkStart w:id="360" w:name="_Toc124266704"/>
      <w:bookmarkStart w:id="361" w:name="_Toc123049232"/>
      <w:bookmarkStart w:id="362" w:name="_Toc131741060"/>
      <w:bookmarkStart w:id="363" w:name="_Toc123052154"/>
      <w:bookmarkStart w:id="364" w:name="_Toc107475129"/>
      <w:bookmarkStart w:id="365" w:name="_Toc131766594"/>
      <w:bookmarkStart w:id="366" w:name="_Toc124157300"/>
      <w:bookmarkStart w:id="367" w:name="_Toc106783027"/>
      <w:bookmarkStart w:id="368" w:name="_Toc138934902"/>
      <w:r>
        <w:t>9.6.3.3</w:t>
      </w:r>
      <w:r>
        <w:tab/>
      </w:r>
      <w:r>
        <w:t>Minimum requirement</w:t>
      </w:r>
      <w:r>
        <w:rPr>
          <w:lang w:eastAsia="ja-JP"/>
        </w:rPr>
        <w:t xml:space="preserve"> for </w:t>
      </w:r>
      <w:r>
        <w:rPr>
          <w:i/>
          <w:lang w:eastAsia="ja-JP"/>
        </w:rPr>
        <w:t>BS type 2-O</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
        <w:t>The minimum requirement for TAE is given in Table 9.6.3.3-4.</w:t>
      </w:r>
    </w:p>
    <w:p>
      <w:pPr>
        <w:pStyle w:val="95"/>
      </w:pPr>
      <w:r>
        <w:t>Table 9.6.3.3-1: Void</w:t>
      </w:r>
    </w:p>
    <w:p>
      <w:pPr>
        <w:pStyle w:val="95"/>
      </w:pPr>
      <w:r>
        <w:t>Table 9.6.3.3-2: Void</w:t>
      </w:r>
    </w:p>
    <w:p>
      <w:pPr>
        <w:pStyle w:val="95"/>
      </w:pPr>
      <w:r>
        <w:t>Table 9.6.3.3-3: Void</w:t>
      </w:r>
    </w:p>
    <w:p>
      <w:pPr>
        <w:pStyle w:val="95"/>
        <w:rPr>
          <w:lang w:val="fr-FR"/>
        </w:rPr>
      </w:pPr>
      <w:r>
        <w:rPr>
          <w:lang w:val="fr-FR"/>
        </w:rPr>
        <w:t xml:space="preserve">Table 9.6.3.3-4: TAE requirements for </w:t>
      </w:r>
      <w:r>
        <w:rPr>
          <w:i/>
          <w:lang w:val="fr-FR"/>
        </w:rPr>
        <w:t>BS type 2-O</w:t>
      </w:r>
      <w:r>
        <w:rPr>
          <w:lang w:val="fr-FR"/>
        </w:rPr>
        <w:t xml:space="preserve"> </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2"/>
        <w:gridCol w:w="1529"/>
        <w:gridCol w:w="1253"/>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86"/>
              <w:rPr>
                <w:lang w:val="fr-FR"/>
              </w:rPr>
            </w:pPr>
          </w:p>
          <w:p>
            <w:pPr>
              <w:pStyle w:val="86"/>
              <w:rPr>
                <w:lang w:val="fr-FR"/>
              </w:rPr>
            </w:pPr>
            <w:r>
              <w:rPr>
                <w:lang w:val="fr-FR"/>
              </w:rPr>
              <w:t>Requirement</w:t>
            </w:r>
          </w:p>
        </w:tc>
        <w:tc>
          <w:tcPr>
            <w:tcW w:w="0" w:type="auto"/>
            <w:gridSpan w:val="3"/>
            <w:tcBorders>
              <w:top w:val="single" w:color="auto" w:sz="4" w:space="0"/>
              <w:left w:val="single" w:color="auto" w:sz="4" w:space="0"/>
              <w:bottom w:val="single" w:color="auto" w:sz="4" w:space="0"/>
              <w:right w:val="single" w:color="auto" w:sz="4" w:space="0"/>
            </w:tcBorders>
          </w:tcPr>
          <w:p>
            <w:pPr>
              <w:pStyle w:val="86"/>
              <w:rPr>
                <w:lang w:val="fr-FR"/>
              </w:rPr>
            </w:pPr>
            <w:r>
              <w:rPr>
                <w:lang w:val="fr-FR"/>
              </w:rPr>
              <w:t>TAE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6"/>
            </w:pPr>
          </w:p>
        </w:tc>
        <w:tc>
          <w:tcPr>
            <w:tcW w:w="0" w:type="auto"/>
            <w:tcBorders>
              <w:top w:val="single" w:color="auto" w:sz="4" w:space="0"/>
              <w:left w:val="single" w:color="auto" w:sz="4" w:space="0"/>
              <w:bottom w:val="single" w:color="auto" w:sz="4" w:space="0"/>
              <w:right w:val="single" w:color="auto" w:sz="4" w:space="0"/>
            </w:tcBorders>
          </w:tcPr>
          <w:p>
            <w:pPr>
              <w:pStyle w:val="86"/>
              <w:rPr>
                <w:lang w:val="fr-FR"/>
              </w:rPr>
            </w:pPr>
            <w:r>
              <w:rPr>
                <w:lang w:val="fr-FR"/>
              </w:rPr>
              <w:t>60, 120 kHz SCS</w:t>
            </w:r>
          </w:p>
          <w:p>
            <w:pPr>
              <w:pStyle w:val="86"/>
              <w:rPr>
                <w:lang w:val="fr-FR"/>
              </w:rPr>
            </w:pPr>
            <w:r>
              <w:rPr>
                <w:lang w:val="fr-FR"/>
              </w:rPr>
              <w:t>(ns)</w:t>
            </w:r>
          </w:p>
        </w:tc>
        <w:tc>
          <w:tcPr>
            <w:tcW w:w="0" w:type="auto"/>
            <w:tcBorders>
              <w:top w:val="single" w:color="auto" w:sz="4" w:space="0"/>
              <w:left w:val="single" w:color="auto" w:sz="4" w:space="0"/>
              <w:bottom w:val="single" w:color="auto" w:sz="4" w:space="0"/>
              <w:right w:val="single" w:color="auto" w:sz="4" w:space="0"/>
            </w:tcBorders>
          </w:tcPr>
          <w:p>
            <w:pPr>
              <w:pStyle w:val="86"/>
              <w:rPr>
                <w:lang w:val="fr-FR"/>
              </w:rPr>
            </w:pPr>
            <w:r>
              <w:rPr>
                <w:lang w:val="fr-FR"/>
              </w:rPr>
              <w:t>480 kHz SCS</w:t>
            </w:r>
          </w:p>
          <w:p>
            <w:pPr>
              <w:pStyle w:val="86"/>
              <w:rPr>
                <w:lang w:val="fr-FR"/>
              </w:rPr>
            </w:pPr>
            <w:r>
              <w:rPr>
                <w:lang w:val="fr-FR"/>
              </w:rPr>
              <w:t>(ns)</w:t>
            </w:r>
          </w:p>
          <w:p>
            <w:pPr>
              <w:pStyle w:val="86"/>
              <w:rPr>
                <w:lang w:val="fr-FR"/>
              </w:rPr>
            </w:pPr>
          </w:p>
        </w:tc>
        <w:tc>
          <w:tcPr>
            <w:tcW w:w="0" w:type="auto"/>
            <w:tcBorders>
              <w:top w:val="single" w:color="auto" w:sz="4" w:space="0"/>
              <w:left w:val="single" w:color="auto" w:sz="4" w:space="0"/>
              <w:bottom w:val="single" w:color="auto" w:sz="4" w:space="0"/>
              <w:right w:val="single" w:color="auto" w:sz="4" w:space="0"/>
            </w:tcBorders>
          </w:tcPr>
          <w:p>
            <w:pPr>
              <w:pStyle w:val="86"/>
              <w:rPr>
                <w:lang w:val="fr-FR"/>
              </w:rPr>
            </w:pPr>
            <w:r>
              <w:rPr>
                <w:lang w:val="fr-FR"/>
              </w:rPr>
              <w:t>960 kHz SCS</w:t>
            </w:r>
          </w:p>
          <w:p>
            <w:pPr>
              <w:pStyle w:val="86"/>
              <w:rPr>
                <w:lang w:val="fr-FR"/>
              </w:rPr>
            </w:pPr>
            <w:r>
              <w:rPr>
                <w:lang w:val="fr-F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MIMO transmission</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65</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i/>
                <w:iCs/>
                <w:lang w:val="fr-FR"/>
              </w:rPr>
              <w:t>intra-band contiguous 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130</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Malgun Gothic"/>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i/>
                <w:iCs/>
                <w:lang w:val="fr-FR"/>
              </w:rPr>
              <w:t>intra-band non-contiguous carrier aggregation</w:t>
            </w:r>
            <w:r>
              <w:rPr>
                <w:lang w:val="fr-FR"/>
              </w:rPr>
              <w:t>, with or without MIMO</w:t>
            </w:r>
            <w:r>
              <w:rPr>
                <w:rFonts w:eastAsia="宋体"/>
                <w:lang w:val="en-US" w:eastAsia="zh-CN"/>
              </w:rPr>
              <w:t xml:space="preserve"> (Note) </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260</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pPr>
            <w:r>
              <w:rPr>
                <w:lang w:val="fr-FR"/>
              </w:rPr>
              <w:t xml:space="preserve">inter-band </w:t>
            </w:r>
            <w:r>
              <w:rPr>
                <w:i/>
                <w:iCs/>
                <w:lang w:val="fr-FR"/>
              </w:rPr>
              <w:t>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Malgun Gothic"/>
                <w:lang w:val="fr-FR"/>
              </w:rPr>
            </w:pPr>
            <w:r>
              <w:rPr>
                <w:rFonts w:eastAsia="Malgun Gothic"/>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Malgun Gothic"/>
                <w:lang w:val="fr-FR"/>
              </w:rPr>
            </w:pPr>
            <w:r>
              <w:rPr>
                <w:rFonts w:eastAsia="Malgun Gothic"/>
                <w:lang w:val="fr-F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100"/>
              <w:rPr>
                <w:rFonts w:eastAsia="Malgun Gothic"/>
                <w:lang w:val="fr-FR"/>
              </w:rPr>
            </w:pPr>
            <w:r>
              <w:rPr>
                <w:rFonts w:eastAsia="宋体"/>
                <w:lang w:val="en-US" w:eastAsia="zh-CN"/>
              </w:rPr>
              <w:t xml:space="preserve">NOTE: </w:t>
            </w:r>
            <w:r>
              <w:rPr>
                <w:i/>
                <w:iCs/>
                <w:lang w:val="fr-FR"/>
              </w:rPr>
              <w:t>intra-band non-contiguous carrier aggregation</w:t>
            </w:r>
            <w:r>
              <w:rPr>
                <w:rFonts w:eastAsia="宋体"/>
                <w:lang w:val="en-US" w:eastAsia="zh-CN"/>
              </w:rPr>
              <w:t xml:space="preserve"> is not supported for FR2-2 in this release.</w:t>
            </w:r>
          </w:p>
        </w:tc>
      </w:tr>
    </w:tbl>
    <w:p>
      <w:pPr>
        <w:rPr>
          <w:rFonts w:hint="eastAsia"/>
          <w:lang w:val="en-US" w:eastAsia="zh-CN"/>
        </w:rPr>
      </w:pPr>
    </w:p>
    <w:p>
      <w:pPr>
        <w:rPr>
          <w:rFonts w:hint="eastAsia"/>
          <w:lang w:val="en-US" w:eastAsia="zh-CN"/>
        </w:rPr>
      </w:pPr>
    </w:p>
    <w:p>
      <w:pPr>
        <w:rPr>
          <w:rFonts w:hint="eastAsia"/>
          <w:lang w:val="en-US" w:eastAsia="zh-CN"/>
        </w:rPr>
      </w:pPr>
    </w:p>
    <w:p>
      <w:pPr>
        <w:pStyle w:val="3"/>
        <w:rPr>
          <w:ins w:id="68" w:author="cmcc [2]" w:date="2023-08-10T14:50:42Z"/>
          <w:rFonts w:hint="eastAsia" w:eastAsia="宋体"/>
          <w:color w:val="FF0000"/>
          <w:szCs w:val="32"/>
          <w:lang w:val="en-US" w:eastAsia="zh-CN"/>
        </w:rPr>
      </w:pPr>
    </w:p>
    <w:p>
      <w:pPr>
        <w:pStyle w:val="3"/>
        <w:rPr>
          <w:rFonts w:eastAsia="??"/>
          <w:color w:val="FF0000"/>
          <w:szCs w:val="32"/>
        </w:rPr>
      </w:pPr>
      <w:bookmarkStart w:id="369" w:name="OLE_LINK5"/>
      <w:r>
        <w:rPr>
          <w:rFonts w:eastAsia="??"/>
          <w:color w:val="FF0000"/>
          <w:szCs w:val="32"/>
        </w:rPr>
        <w:t>&lt;&lt; End of change &gt;&gt;</w:t>
      </w:r>
    </w:p>
    <w:bookmarkEnd w:id="140"/>
    <w:bookmarkEnd w:id="369"/>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27DBE7"/>
    <w:multiLevelType w:val="singleLevel"/>
    <w:tmpl w:val="DC27DBE7"/>
    <w:lvl w:ilvl="0" w:tentative="0">
      <w:start w:val="1"/>
      <w:numFmt w:val="decimal"/>
      <w:suff w:val="space"/>
      <w:lvlText w:val="%1)"/>
      <w:lvlJc w:val="left"/>
    </w:lvl>
  </w:abstractNum>
  <w:abstractNum w:abstractNumId="1">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5"/>
  </w:num>
  <w:num w:numId="4">
    <w:abstractNumId w:val="2"/>
  </w:num>
  <w:num w:numId="5">
    <w:abstractNumId w:val="9"/>
  </w:num>
  <w:num w:numId="6">
    <w:abstractNumId w:val="1"/>
  </w:num>
  <w:num w:numId="7">
    <w:abstractNumId w:val="8"/>
  </w:num>
  <w:num w:numId="8">
    <w:abstractNumId w:val="10"/>
  </w:num>
  <w:num w:numId="9">
    <w:abstractNumId w:val="4"/>
  </w:num>
  <w:num w:numId="10">
    <w:abstractNumId w:val="6"/>
  </w:num>
  <w:num w:numId="11">
    <w:abstractNumId w:val="3"/>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46061"/>
    <w:rsid w:val="00157A33"/>
    <w:rsid w:val="00160812"/>
    <w:rsid w:val="00160D36"/>
    <w:rsid w:val="001754E0"/>
    <w:rsid w:val="0017667B"/>
    <w:rsid w:val="001812D9"/>
    <w:rsid w:val="00181423"/>
    <w:rsid w:val="00181D67"/>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3C9D"/>
    <w:rsid w:val="002257C1"/>
    <w:rsid w:val="00227E0C"/>
    <w:rsid w:val="0023410C"/>
    <w:rsid w:val="002347A2"/>
    <w:rsid w:val="0023645B"/>
    <w:rsid w:val="0024556F"/>
    <w:rsid w:val="002600BD"/>
    <w:rsid w:val="002675F0"/>
    <w:rsid w:val="002815BB"/>
    <w:rsid w:val="002842F9"/>
    <w:rsid w:val="002864CF"/>
    <w:rsid w:val="0029446D"/>
    <w:rsid w:val="002965C2"/>
    <w:rsid w:val="002979DB"/>
    <w:rsid w:val="002B6339"/>
    <w:rsid w:val="002C2726"/>
    <w:rsid w:val="002D0B39"/>
    <w:rsid w:val="002D3EF7"/>
    <w:rsid w:val="002D405E"/>
    <w:rsid w:val="002E00EE"/>
    <w:rsid w:val="002E2381"/>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91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5018"/>
    <w:rsid w:val="00647114"/>
    <w:rsid w:val="006529A5"/>
    <w:rsid w:val="00656EB0"/>
    <w:rsid w:val="00664461"/>
    <w:rsid w:val="006A2B96"/>
    <w:rsid w:val="006A323F"/>
    <w:rsid w:val="006B30D0"/>
    <w:rsid w:val="006B51D3"/>
    <w:rsid w:val="006C38B4"/>
    <w:rsid w:val="006C3D95"/>
    <w:rsid w:val="006C6B10"/>
    <w:rsid w:val="006D0A51"/>
    <w:rsid w:val="006D3098"/>
    <w:rsid w:val="006D427F"/>
    <w:rsid w:val="006D5CF9"/>
    <w:rsid w:val="006E39B6"/>
    <w:rsid w:val="006E4454"/>
    <w:rsid w:val="006E5C86"/>
    <w:rsid w:val="00701116"/>
    <w:rsid w:val="00704B5C"/>
    <w:rsid w:val="00711485"/>
    <w:rsid w:val="0071245C"/>
    <w:rsid w:val="00712A20"/>
    <w:rsid w:val="00713C44"/>
    <w:rsid w:val="00715C39"/>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446C"/>
    <w:rsid w:val="00CB6A35"/>
    <w:rsid w:val="00CC0E06"/>
    <w:rsid w:val="00CC4355"/>
    <w:rsid w:val="00CD20B7"/>
    <w:rsid w:val="00CD3BE0"/>
    <w:rsid w:val="00CD7261"/>
    <w:rsid w:val="00CE1D4A"/>
    <w:rsid w:val="00CF25E8"/>
    <w:rsid w:val="00D02C35"/>
    <w:rsid w:val="00D11F2F"/>
    <w:rsid w:val="00D125C6"/>
    <w:rsid w:val="00D14645"/>
    <w:rsid w:val="00D153F9"/>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5B4741B"/>
    <w:rsid w:val="0F7A450C"/>
    <w:rsid w:val="1F8A106C"/>
    <w:rsid w:val="2F3D1C08"/>
    <w:rsid w:val="35E74254"/>
    <w:rsid w:val="447D4CBA"/>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99"/>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批注框文本 字符"/>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标题 2 字符"/>
    <w:link w:val="3"/>
    <w:qFormat/>
    <w:uiPriority w:val="0"/>
    <w:rPr>
      <w:rFonts w:ascii="Arial" w:hAnsi="Arial"/>
      <w:sz w:val="32"/>
      <w:lang w:eastAsia="en-US"/>
    </w:rPr>
  </w:style>
  <w:style w:type="character" w:customStyle="1" w:styleId="115">
    <w:name w:val="标题 3 字符"/>
    <w:link w:val="4"/>
    <w:qFormat/>
    <w:uiPriority w:val="0"/>
    <w:rPr>
      <w:rFonts w:ascii="Arial" w:hAnsi="Arial"/>
      <w:sz w:val="28"/>
      <w:lang w:eastAsia="en-US"/>
    </w:rPr>
  </w:style>
  <w:style w:type="character" w:customStyle="1" w:styleId="116">
    <w:name w:val="标题 4 字符"/>
    <w:link w:val="5"/>
    <w:qFormat/>
    <w:uiPriority w:val="0"/>
    <w:rPr>
      <w:rFonts w:ascii="Arial" w:hAnsi="Arial"/>
      <w:sz w:val="24"/>
      <w:lang w:eastAsia="en-US"/>
    </w:rPr>
  </w:style>
  <w:style w:type="character" w:customStyle="1" w:styleId="117">
    <w:name w:val="脚注文本 字符"/>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批注文字 字符"/>
    <w:basedOn w:val="65"/>
    <w:link w:val="32"/>
    <w:qFormat/>
    <w:uiPriority w:val="0"/>
    <w:rPr>
      <w:rFonts w:eastAsia="Malgun Gothic"/>
      <w:lang w:eastAsia="en-US"/>
    </w:rPr>
  </w:style>
  <w:style w:type="character" w:customStyle="1" w:styleId="133">
    <w:name w:val="批注主题 字符"/>
    <w:basedOn w:val="132"/>
    <w:link w:val="61"/>
    <w:qFormat/>
    <w:uiPriority w:val="0"/>
    <w:rPr>
      <w:rFonts w:eastAsia="Malgun Gothic"/>
      <w:b/>
      <w:bCs/>
      <w:lang w:eastAsia="en-US"/>
    </w:rPr>
  </w:style>
  <w:style w:type="character" w:customStyle="1" w:styleId="134">
    <w:name w:val="文档结构图 字符"/>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正文文本 字符"/>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标题 1 字符"/>
    <w:link w:val="2"/>
    <w:qFormat/>
    <w:uiPriority w:val="0"/>
    <w:rPr>
      <w:rFonts w:ascii="Arial" w:hAnsi="Arial"/>
      <w:sz w:val="36"/>
      <w:lang w:eastAsia="en-US"/>
    </w:rPr>
  </w:style>
  <w:style w:type="character" w:customStyle="1" w:styleId="145">
    <w:name w:val="标题 8 字符"/>
    <w:link w:val="10"/>
    <w:qFormat/>
    <w:uiPriority w:val="0"/>
    <w:rPr>
      <w:rFonts w:ascii="Arial" w:hAnsi="Arial"/>
      <w:sz w:val="36"/>
      <w:lang w:eastAsia="en-US"/>
    </w:rPr>
  </w:style>
  <w:style w:type="character" w:customStyle="1" w:styleId="146">
    <w:name w:val="页脚 字符"/>
    <w:link w:val="46"/>
    <w:qFormat/>
    <w:uiPriority w:val="0"/>
    <w:rPr>
      <w:rFonts w:ascii="Arial" w:hAnsi="Arial"/>
      <w:b/>
      <w:i/>
      <w:sz w:val="18"/>
      <w:lang w:eastAsia="ja-JP"/>
    </w:rPr>
  </w:style>
  <w:style w:type="character" w:customStyle="1" w:styleId="147">
    <w:name w:val="标题 5 字符"/>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纯文本 字符"/>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标题 6 字符"/>
    <w:link w:val="7"/>
    <w:qFormat/>
    <w:uiPriority w:val="0"/>
    <w:rPr>
      <w:rFonts w:ascii="Arial" w:hAnsi="Arial"/>
      <w:lang w:eastAsia="en-US"/>
    </w:rPr>
  </w:style>
  <w:style w:type="character" w:customStyle="1" w:styleId="178">
    <w:name w:val="标题 7 字符"/>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尾注文本 字符"/>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注释标题 字符"/>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标题 9 字符"/>
    <w:link w:val="11"/>
    <w:qFormat/>
    <w:uiPriority w:val="0"/>
    <w:rPr>
      <w:rFonts w:ascii="Arial" w:hAnsi="Arial"/>
      <w:sz w:val="36"/>
      <w:lang w:eastAsia="en-US"/>
    </w:rPr>
  </w:style>
  <w:style w:type="character" w:customStyle="1" w:styleId="226">
    <w:name w:val="列表项目符号 2 字符"/>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页眉 字符"/>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正文文本缩进 字符"/>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题注 字符"/>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正文文本 2 字符"/>
    <w:basedOn w:val="65"/>
    <w:link w:val="56"/>
    <w:qFormat/>
    <w:uiPriority w:val="0"/>
    <w:rPr>
      <w:rFonts w:eastAsia="Malgun Gothic"/>
      <w:i/>
      <w:lang w:eastAsia="zh-CN"/>
    </w:rPr>
  </w:style>
  <w:style w:type="character" w:customStyle="1" w:styleId="258">
    <w:name w:val="正文文本 3 字符"/>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正文文本缩进 2 字符"/>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标题 字符"/>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日期 字符"/>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lang w:eastAsia="ja-JP"/>
    </w:rPr>
  </w:style>
  <w:style w:type="paragraph" w:customStyle="1" w:styleId="322">
    <w:name w:val="TaOC"/>
    <w:basedOn w:val="87"/>
    <w:qFormat/>
    <w:uiPriority w:val="0"/>
    <w:pPr>
      <w:overflowPunct w:val="0"/>
      <w:autoSpaceDE w:val="0"/>
      <w:autoSpaceDN w:val="0"/>
      <w:adjustRightInd w:val="0"/>
      <w:textAlignment w:val="baseline"/>
    </w:pPr>
    <w:rPr>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列表段落 字符"/>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正文文本缩进 3 字符"/>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列表 字符"/>
    <w:link w:val="14"/>
    <w:qFormat/>
    <w:uiPriority w:val="0"/>
    <w:rPr>
      <w:rFonts w:eastAsia="Malgun Gothic"/>
      <w:lang w:eastAsia="en-US"/>
    </w:rPr>
  </w:style>
  <w:style w:type="character" w:customStyle="1" w:styleId="380">
    <w:name w:val="列表 2 字符"/>
    <w:link w:val="13"/>
    <w:qFormat/>
    <w:uiPriority w:val="0"/>
    <w:rPr>
      <w:rFonts w:eastAsia="Malgun Gothic"/>
      <w:lang w:eastAsia="en-US"/>
    </w:rPr>
  </w:style>
  <w:style w:type="character" w:customStyle="1" w:styleId="381">
    <w:name w:val="列表项目符号 3 字符"/>
    <w:link w:val="26"/>
    <w:qFormat/>
    <w:uiPriority w:val="0"/>
    <w:rPr>
      <w:rFonts w:eastAsia="Malgun Gothic"/>
      <w:lang w:eastAsia="en-US"/>
    </w:rPr>
  </w:style>
  <w:style w:type="character" w:customStyle="1" w:styleId="382">
    <w:name w:val="列表项目符号 字符"/>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character" w:customStyle="1" w:styleId="579">
    <w:name w:val="Header Char1"/>
    <w:basedOn w:val="65"/>
    <w:semiHidden/>
    <w:qFormat/>
    <w:uiPriority w:val="0"/>
    <w:rPr>
      <w:rFonts w:eastAsia="等线"/>
      <w:sz w:val="18"/>
      <w:szCs w:val="18"/>
      <w:lang w:eastAsia="en-US"/>
    </w:rPr>
  </w:style>
  <w:style w:type="table" w:customStyle="1" w:styleId="580">
    <w:name w:val="Table Classic 22"/>
    <w:basedOn w:val="62"/>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81">
    <w:name w:val="Table Grid8"/>
    <w:basedOn w:val="6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13"/>
    <w:basedOn w:val="62"/>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2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32"/>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42"/>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51"/>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61"/>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2"/>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311"/>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网格型411"/>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Classic 211"/>
    <w:basedOn w:val="62"/>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95">
    <w:name w:val="Table Grid2111"/>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111"/>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11"/>
    <w:basedOn w:val="6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datastoreItem>
</file>

<file path=docProps/app.xml><?xml version="1.0" encoding="utf-8"?>
<Properties xmlns="http://schemas.openxmlformats.org/officeDocument/2006/extended-properties" xmlns:vt="http://schemas.openxmlformats.org/officeDocument/2006/docPropsVTypes">
  <Template>3gpp_70</Template>
  <Pages>6</Pages>
  <Words>1454</Words>
  <Characters>8291</Characters>
  <Lines>69</Lines>
  <Paragraphs>19</Paragraphs>
  <TotalTime>3</TotalTime>
  <ScaleCrop>false</ScaleCrop>
  <LinksUpToDate>false</LinksUpToDate>
  <CharactersWithSpaces>9726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2022-04-18T13:32:00Z</dcterms:created>
  <dc:creator>CMCC.</dc:creator>
  <cp:lastModifiedBy>cmcc</cp:lastModifiedBy>
  <cp:lastPrinted>2019-02-25T13:05:00Z</cp:lastPrinted>
  <dcterms:modified xsi:type="dcterms:W3CDTF">2023-08-11T08:41:39Z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