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7D3" w:rsidRPr="009127D3" w:rsidRDefault="009127D3" w:rsidP="009127D3">
      <w:pPr>
        <w:pStyle w:val="afa"/>
        <w:spacing w:after="0" w:line="360" w:lineRule="auto"/>
        <w:rPr>
          <w:rStyle w:val="af7"/>
          <w:rFonts w:ascii="Arial" w:hAnsi="Arial" w:cs="Arial"/>
          <w:b/>
          <w:lang w:eastAsia="en-US"/>
        </w:rPr>
      </w:pPr>
      <w:r w:rsidRPr="009127D3">
        <w:rPr>
          <w:rStyle w:val="af7"/>
          <w:rFonts w:ascii="Arial" w:hAnsi="Arial" w:cs="Arial"/>
          <w:b/>
          <w:lang w:eastAsia="en-US"/>
        </w:rPr>
        <w:t>3GPP TSG-RAN WG4 Meeting # 108</w:t>
      </w:r>
      <w:r w:rsidRPr="009127D3">
        <w:rPr>
          <w:rStyle w:val="af7"/>
          <w:rFonts w:ascii="Arial" w:hAnsi="Arial" w:cs="Arial"/>
          <w:b/>
          <w:lang w:eastAsia="en-US"/>
        </w:rPr>
        <w:tab/>
      </w:r>
      <w:r w:rsidRPr="009127D3">
        <w:rPr>
          <w:rStyle w:val="af7"/>
          <w:rFonts w:ascii="Arial" w:hAnsi="Arial" w:cs="Arial"/>
          <w:b/>
          <w:lang w:eastAsia="en-US"/>
        </w:rPr>
        <w:tab/>
      </w:r>
      <w:r w:rsidRPr="009127D3">
        <w:rPr>
          <w:rStyle w:val="af7"/>
          <w:rFonts w:ascii="Arial" w:hAnsi="Arial" w:cs="Arial"/>
          <w:b/>
          <w:lang w:eastAsia="en-US"/>
        </w:rPr>
        <w:tab/>
      </w:r>
      <w:r w:rsidRPr="009127D3">
        <w:rPr>
          <w:rStyle w:val="af7"/>
          <w:rFonts w:ascii="Arial" w:hAnsi="Arial" w:cs="Arial"/>
          <w:b/>
          <w:lang w:eastAsia="en-US"/>
        </w:rPr>
        <w:tab/>
      </w:r>
      <w:r>
        <w:rPr>
          <w:rStyle w:val="af7"/>
          <w:rFonts w:ascii="Arial" w:eastAsiaTheme="minorEastAsia" w:hAnsi="Arial" w:cs="Arial" w:hint="eastAsia"/>
          <w:b/>
        </w:rPr>
        <w:t xml:space="preserve">                                           </w:t>
      </w:r>
      <w:r w:rsidR="00624F97" w:rsidRPr="00624F97">
        <w:rPr>
          <w:rStyle w:val="af7"/>
          <w:rFonts w:ascii="Arial" w:hAnsi="Arial" w:cs="Arial"/>
          <w:b/>
          <w:lang w:eastAsia="en-US"/>
        </w:rPr>
        <w:t>R4-2311622</w:t>
      </w:r>
      <w:bookmarkStart w:id="0" w:name="_GoBack"/>
      <w:bookmarkEnd w:id="0"/>
    </w:p>
    <w:p w:rsidR="003276B0" w:rsidRDefault="009127D3" w:rsidP="009127D3">
      <w:pPr>
        <w:pStyle w:val="afa"/>
        <w:spacing w:after="0" w:line="360" w:lineRule="auto"/>
        <w:rPr>
          <w:rStyle w:val="af7"/>
          <w:rFonts w:ascii="Arial" w:eastAsiaTheme="minorEastAsia" w:hAnsi="Arial" w:cs="Arial"/>
          <w:b/>
        </w:rPr>
      </w:pPr>
      <w:r w:rsidRPr="009127D3">
        <w:rPr>
          <w:rStyle w:val="af7"/>
          <w:rFonts w:ascii="Arial" w:hAnsi="Arial" w:cs="Arial"/>
          <w:b/>
          <w:lang w:eastAsia="en-US"/>
        </w:rPr>
        <w:t>Toulouse, France, August 21 – August 25, 2023</w:t>
      </w:r>
    </w:p>
    <w:p w:rsidR="009127D3" w:rsidRPr="009127D3" w:rsidRDefault="009127D3" w:rsidP="009127D3">
      <w:pPr>
        <w:pStyle w:val="afa"/>
        <w:spacing w:after="0" w:line="360" w:lineRule="auto"/>
        <w:rPr>
          <w:rStyle w:val="af7"/>
          <w:rFonts w:ascii="Arial" w:eastAsiaTheme="minorEastAsia" w:hAnsi="Arial" w:cs="Arial"/>
          <w:b/>
        </w:rPr>
      </w:pP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2336D8" w:rsidRPr="002336D8">
        <w:rPr>
          <w:rStyle w:val="af7"/>
          <w:rFonts w:ascii="Arial" w:eastAsiaTheme="minorEastAsia" w:hAnsi="Arial" w:cs="Arial"/>
        </w:rPr>
        <w:t>Discussion on RRM requirements for NTN-TN and NTN-NTN mobility and service continuity enhancements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BA1559">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BE7E02">
        <w:rPr>
          <w:rStyle w:val="af7"/>
          <w:rFonts w:ascii="Arial" w:eastAsiaTheme="minorEastAsia" w:hAnsi="Arial" w:cs="Arial" w:hint="eastAsia"/>
        </w:rPr>
        <w:t>8</w:t>
      </w:r>
      <w:r w:rsidR="00BA1559" w:rsidRPr="00BA1559">
        <w:rPr>
          <w:rStyle w:val="af7"/>
          <w:rFonts w:ascii="Arial" w:eastAsiaTheme="minorEastAsia" w:hAnsi="Arial" w:cs="Arial"/>
        </w:rPr>
        <w:t>.2</w:t>
      </w:r>
      <w:r w:rsidR="00376A81">
        <w:rPr>
          <w:rStyle w:val="af7"/>
          <w:rFonts w:ascii="Arial" w:eastAsiaTheme="minorEastAsia" w:hAnsi="Arial" w:cs="Arial"/>
        </w:rPr>
        <w:t>6</w:t>
      </w:r>
      <w:r w:rsidR="00BA1559" w:rsidRPr="00BA1559">
        <w:rPr>
          <w:rStyle w:val="af7"/>
          <w:rFonts w:ascii="Arial" w:eastAsiaTheme="minorEastAsia" w:hAnsi="Arial" w:cs="Arial"/>
        </w:rPr>
        <w:t>.5</w:t>
      </w:r>
      <w:r w:rsidR="00376A81">
        <w:rPr>
          <w:rStyle w:val="af7"/>
          <w:rFonts w:ascii="Arial" w:eastAsiaTheme="minorEastAsia" w:hAnsi="Arial" w:cs="Arial" w:hint="eastAsia"/>
        </w:rPr>
        <w:t>.3</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00310AF2" w:rsidRPr="00310AF2">
        <w:rPr>
          <w:rFonts w:ascii="Arial" w:hAnsi="Arial" w:cs="Arial"/>
          <w:b w:val="0"/>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736B27" w:rsidRPr="009D4CE2" w:rsidRDefault="005D387A" w:rsidP="00FC338F">
      <w:pPr>
        <w:overflowPunct w:val="0"/>
        <w:autoSpaceDE w:val="0"/>
        <w:autoSpaceDN w:val="0"/>
        <w:adjustRightInd w:val="0"/>
        <w:spacing w:before="120" w:after="120"/>
        <w:textAlignment w:val="baseline"/>
        <w:rPr>
          <w:lang w:eastAsia="zh-CN"/>
        </w:rPr>
      </w:pPr>
      <w:r>
        <w:rPr>
          <w:lang w:eastAsia="zh-CN"/>
        </w:rPr>
        <w:t>I</w:t>
      </w:r>
      <w:r>
        <w:rPr>
          <w:rFonts w:hint="eastAsia"/>
          <w:lang w:eastAsia="zh-CN"/>
        </w:rPr>
        <w:t>n last meeting, the RRM requirements for NR NTN enhancement were discussed and the conclusions were captured in the approved WF</w:t>
      </w:r>
      <w:r w:rsidR="00BE402C">
        <w:rPr>
          <w:rFonts w:hint="eastAsia"/>
          <w:lang w:eastAsia="zh-CN"/>
        </w:rPr>
        <w:t xml:space="preserve"> [1]. </w:t>
      </w:r>
      <w:r w:rsidR="00FC338F">
        <w:rPr>
          <w:lang w:eastAsia="zh-CN"/>
        </w:rPr>
        <w:t>M</w:t>
      </w:r>
      <w:r w:rsidR="00FC338F">
        <w:rPr>
          <w:rFonts w:hint="eastAsia"/>
          <w:lang w:eastAsia="zh-CN"/>
        </w:rPr>
        <w:t xml:space="preserve">ost of the issues are still open. </w:t>
      </w:r>
      <w:r w:rsidR="00736B27" w:rsidRPr="00E24062">
        <w:rPr>
          <w:lang w:eastAsia="zh-CN"/>
        </w:rPr>
        <w:t>I</w:t>
      </w:r>
      <w:r w:rsidR="00736B27" w:rsidRPr="00E24062">
        <w:rPr>
          <w:rFonts w:hint="eastAsia"/>
          <w:lang w:eastAsia="zh-CN"/>
        </w:rPr>
        <w:t xml:space="preserve">n this paper, we have some </w:t>
      </w:r>
      <w:r w:rsidR="00FC338F">
        <w:rPr>
          <w:rFonts w:hint="eastAsia"/>
          <w:lang w:eastAsia="zh-CN"/>
        </w:rPr>
        <w:t xml:space="preserve">further </w:t>
      </w:r>
      <w:r w:rsidR="00736B27" w:rsidRPr="00E24062">
        <w:rPr>
          <w:rFonts w:hint="eastAsia"/>
          <w:lang w:eastAsia="zh-CN"/>
        </w:rPr>
        <w:t>discussion</w:t>
      </w:r>
      <w:r w:rsidR="00736B27">
        <w:rPr>
          <w:rFonts w:hint="eastAsia"/>
          <w:lang w:eastAsia="zh-CN"/>
        </w:rPr>
        <w:t>s</w:t>
      </w:r>
      <w:r w:rsidR="00736B27" w:rsidRPr="00E24062">
        <w:rPr>
          <w:rFonts w:hint="eastAsia"/>
          <w:lang w:eastAsia="zh-CN"/>
        </w:rPr>
        <w:t xml:space="preserve"> on </w:t>
      </w:r>
      <w:r w:rsidR="00736B27">
        <w:rPr>
          <w:rFonts w:hint="eastAsia"/>
          <w:lang w:eastAsia="zh-CN"/>
        </w:rPr>
        <w:t xml:space="preserve">the </w:t>
      </w:r>
      <w:r w:rsidR="000B0F12">
        <w:rPr>
          <w:rFonts w:hint="eastAsia"/>
          <w:lang w:eastAsia="zh-CN"/>
        </w:rPr>
        <w:t>possible RRM impact based on the agreed WF</w:t>
      </w:r>
      <w:r w:rsidR="00736B27">
        <w:rPr>
          <w:rFonts w:hint="eastAsia"/>
          <w:lang w:eastAsia="zh-CN"/>
        </w:rPr>
        <w:t xml:space="preserve"> and give our </w:t>
      </w:r>
      <w:r w:rsidR="007872D5">
        <w:rPr>
          <w:rFonts w:hint="eastAsia"/>
          <w:lang w:eastAsia="zh-CN"/>
        </w:rPr>
        <w:t>views</w:t>
      </w:r>
      <w:r w:rsidR="00736B27">
        <w:rPr>
          <w:rFonts w:hint="eastAsia"/>
          <w:lang w:eastAsia="zh-CN"/>
        </w:rPr>
        <w:t>.</w:t>
      </w:r>
      <w:r w:rsidR="00BE7569">
        <w:rPr>
          <w:rFonts w:hint="eastAsia"/>
          <w:lang w:eastAsia="zh-CN"/>
        </w:rPr>
        <w:t xml:space="preserve"> </w:t>
      </w:r>
    </w:p>
    <w:p w:rsidR="002B4DB1" w:rsidRDefault="00155B73" w:rsidP="00FA684F">
      <w:pPr>
        <w:pStyle w:val="1"/>
        <w:rPr>
          <w:lang w:val="en-US" w:eastAsia="zh-CN"/>
        </w:rPr>
      </w:pPr>
      <w:r>
        <w:rPr>
          <w:rFonts w:hint="eastAsia"/>
          <w:lang w:val="en-US" w:eastAsia="zh-CN"/>
        </w:rPr>
        <w:t xml:space="preserve">2 </w:t>
      </w:r>
      <w:r w:rsidR="008D5C69">
        <w:rPr>
          <w:rFonts w:hint="eastAsia"/>
          <w:lang w:val="en-US" w:eastAsia="zh-CN"/>
        </w:rPr>
        <w:t>Discussion</w:t>
      </w:r>
    </w:p>
    <w:p w:rsidR="00C34688" w:rsidRPr="008F6B82" w:rsidRDefault="00045BE5" w:rsidP="008F6B82">
      <w:pPr>
        <w:pStyle w:val="2"/>
        <w:rPr>
          <w:lang w:val="en-US" w:eastAsia="zh-CN"/>
        </w:rPr>
      </w:pPr>
      <w:r>
        <w:rPr>
          <w:rFonts w:hint="eastAsia"/>
          <w:lang w:val="en-US" w:eastAsia="zh-CN"/>
        </w:rPr>
        <w:t>2.</w:t>
      </w:r>
      <w:r w:rsidR="00D121FD">
        <w:rPr>
          <w:rFonts w:hint="eastAsia"/>
          <w:lang w:val="en-US" w:eastAsia="zh-CN"/>
        </w:rPr>
        <w:t>1</w:t>
      </w:r>
      <w:r>
        <w:rPr>
          <w:rFonts w:hint="eastAsia"/>
          <w:lang w:val="en-US" w:eastAsia="zh-CN"/>
        </w:rPr>
        <w:t xml:space="preserve"> NTN-TN </w:t>
      </w:r>
      <w:r w:rsidR="00FE4E5D">
        <w:rPr>
          <w:rFonts w:hint="eastAsia"/>
          <w:lang w:val="en-US" w:eastAsia="zh-CN"/>
        </w:rPr>
        <w:t xml:space="preserve">and NTN-NTN </w:t>
      </w:r>
      <w:r>
        <w:rPr>
          <w:rFonts w:hint="eastAsia"/>
          <w:lang w:val="en-US" w:eastAsia="zh-CN"/>
        </w:rPr>
        <w:t>cell reselection</w:t>
      </w:r>
    </w:p>
    <w:p w:rsidR="00354F09" w:rsidRPr="00354F09" w:rsidRDefault="00354F09" w:rsidP="00354F09">
      <w:pPr>
        <w:rPr>
          <w:lang w:val="en-US" w:eastAsia="zh-CN"/>
        </w:rPr>
      </w:pPr>
      <w:r>
        <w:rPr>
          <w:lang w:val="en-US" w:eastAsia="zh-CN"/>
        </w:rPr>
        <w:t>F</w:t>
      </w:r>
      <w:r>
        <w:rPr>
          <w:rFonts w:hint="eastAsia"/>
          <w:lang w:val="en-US" w:eastAsia="zh-CN"/>
        </w:rPr>
        <w:t xml:space="preserve">or location-based cell reselection in earth moving cell NTN deployments, there was the following agreement in last meeting:  </w:t>
      </w:r>
    </w:p>
    <w:tbl>
      <w:tblPr>
        <w:tblStyle w:val="af3"/>
        <w:tblW w:w="0" w:type="auto"/>
        <w:tblLook w:val="04A0" w:firstRow="1" w:lastRow="0" w:firstColumn="1" w:lastColumn="0" w:noHBand="0" w:noVBand="1"/>
      </w:tblPr>
      <w:tblGrid>
        <w:gridCol w:w="9857"/>
      </w:tblGrid>
      <w:tr w:rsidR="00406E96" w:rsidTr="00406E96">
        <w:tc>
          <w:tcPr>
            <w:tcW w:w="9857" w:type="dxa"/>
          </w:tcPr>
          <w:p w:rsidR="00354F09" w:rsidRPr="00354F09" w:rsidRDefault="00354F09" w:rsidP="00354F09">
            <w:pPr>
              <w:rPr>
                <w:lang w:eastAsia="ja-JP"/>
              </w:rPr>
            </w:pPr>
            <w:r w:rsidRPr="00354F09">
              <w:rPr>
                <w:b/>
                <w:u w:val="single"/>
                <w:lang w:eastAsia="ko-KR"/>
              </w:rPr>
              <w:t>Issue 4-1-B: For location-based cell reselection in earth moving cell NTN deployments</w:t>
            </w:r>
          </w:p>
          <w:p w:rsidR="00354F09" w:rsidRPr="00354F09" w:rsidRDefault="00354F09" w:rsidP="00354F09">
            <w:pPr>
              <w:spacing w:after="120" w:line="252" w:lineRule="auto"/>
              <w:ind w:firstLine="284"/>
              <w:rPr>
                <w:b/>
                <w:bCs/>
                <w:u w:val="single"/>
                <w:lang w:eastAsia="ja-JP"/>
              </w:rPr>
            </w:pPr>
            <w:r w:rsidRPr="00354F09">
              <w:rPr>
                <w:b/>
                <w:bCs/>
                <w:u w:val="single"/>
                <w:lang w:eastAsia="ja-JP"/>
              </w:rPr>
              <w:t>Agreement:</w:t>
            </w:r>
          </w:p>
          <w:p w:rsidR="00354F09" w:rsidRPr="00354F09" w:rsidRDefault="00354F09" w:rsidP="00354F09">
            <w:pPr>
              <w:pStyle w:val="af8"/>
              <w:widowControl/>
              <w:numPr>
                <w:ilvl w:val="0"/>
                <w:numId w:val="28"/>
              </w:numPr>
              <w:autoSpaceDN w:val="0"/>
              <w:spacing w:before="0" w:after="120" w:line="252" w:lineRule="auto"/>
              <w:ind w:left="644" w:firstLineChars="0"/>
              <w:jc w:val="left"/>
              <w:rPr>
                <w:sz w:val="20"/>
                <w:szCs w:val="20"/>
                <w:lang w:eastAsia="ja-JP"/>
              </w:rPr>
            </w:pPr>
            <w:r w:rsidRPr="00354F09">
              <w:rPr>
                <w:sz w:val="20"/>
                <w:szCs w:val="20"/>
                <w:lang w:eastAsia="ja-JP"/>
              </w:rPr>
              <w:t>RAN4 to define UE requirements on location-based cell reselection in earth moving cell NTN deployments if the existing requirements are not applicable for earth moving system. The new requirement can be based on the existing requirement, and the updates may include “the margin for distance threshold” and “the definition of the reference Location.”</w:t>
            </w:r>
          </w:p>
          <w:p w:rsidR="00354F09" w:rsidRPr="00354F09" w:rsidRDefault="00354F09" w:rsidP="00354F09">
            <w:pPr>
              <w:pStyle w:val="af8"/>
              <w:widowControl/>
              <w:numPr>
                <w:ilvl w:val="1"/>
                <w:numId w:val="28"/>
              </w:numPr>
              <w:autoSpaceDN w:val="0"/>
              <w:spacing w:before="0" w:after="120" w:line="252" w:lineRule="auto"/>
              <w:ind w:left="1364" w:firstLineChars="0"/>
              <w:jc w:val="left"/>
              <w:rPr>
                <w:sz w:val="20"/>
                <w:szCs w:val="20"/>
                <w:lang w:eastAsia="ja-JP"/>
              </w:rPr>
            </w:pPr>
            <w:r w:rsidRPr="00354F09">
              <w:rPr>
                <w:sz w:val="20"/>
                <w:szCs w:val="20"/>
                <w:lang w:eastAsia="ja-JP"/>
              </w:rPr>
              <w:t>Do not further restrict DRX cycle beyond Rel-17 NR NTN.</w:t>
            </w:r>
          </w:p>
          <w:p w:rsidR="00406E96" w:rsidRPr="00354F09" w:rsidRDefault="00354F09" w:rsidP="00354F09">
            <w:pPr>
              <w:pStyle w:val="af8"/>
              <w:widowControl/>
              <w:numPr>
                <w:ilvl w:val="1"/>
                <w:numId w:val="28"/>
              </w:numPr>
              <w:autoSpaceDN w:val="0"/>
              <w:spacing w:before="0" w:after="120" w:line="252" w:lineRule="auto"/>
              <w:ind w:left="1364" w:firstLineChars="0"/>
              <w:jc w:val="left"/>
              <w:rPr>
                <w:lang w:eastAsia="ja-JP"/>
              </w:rPr>
            </w:pPr>
            <w:r w:rsidRPr="00354F09">
              <w:rPr>
                <w:sz w:val="20"/>
                <w:szCs w:val="20"/>
                <w:lang w:eastAsia="ja-JP"/>
              </w:rPr>
              <w:t>FFS: Whether the coverage information of serving cell is (absolutely) necessary</w:t>
            </w:r>
          </w:p>
        </w:tc>
      </w:tr>
    </w:tbl>
    <w:p w:rsidR="0071626D" w:rsidRDefault="00AD02AD" w:rsidP="0071626D">
      <w:pPr>
        <w:spacing w:beforeLines="50" w:before="120"/>
        <w:rPr>
          <w:lang w:val="en-US" w:eastAsia="zh-CN"/>
        </w:rPr>
      </w:pPr>
      <w:r>
        <w:rPr>
          <w:lang w:val="en-US" w:eastAsia="zh-CN"/>
        </w:rPr>
        <w:t>T</w:t>
      </w:r>
      <w:r>
        <w:rPr>
          <w:rFonts w:hint="eastAsia"/>
          <w:lang w:val="en-US" w:eastAsia="zh-CN"/>
        </w:rPr>
        <w:t xml:space="preserve">he controversial part is whether the coverage information of serving cell is necessary. </w:t>
      </w:r>
      <w:r>
        <w:rPr>
          <w:lang w:val="en-US" w:eastAsia="zh-CN"/>
        </w:rPr>
        <w:t>B</w:t>
      </w:r>
      <w:r>
        <w:rPr>
          <w:rFonts w:hint="eastAsia"/>
          <w:lang w:val="en-US" w:eastAsia="zh-CN"/>
        </w:rPr>
        <w:t xml:space="preserve">ased on the RAN2 agreements listed in the Annex, </w:t>
      </w:r>
      <w:r w:rsidRPr="00AD02AD">
        <w:rPr>
          <w:lang w:val="en-US" w:eastAsia="zh-CN"/>
        </w:rPr>
        <w:t xml:space="preserve">the same format of Rel-17 </w:t>
      </w:r>
      <w:r w:rsidRPr="00AD02AD">
        <w:rPr>
          <w:i/>
          <w:lang w:val="en-US" w:eastAsia="zh-CN"/>
        </w:rPr>
        <w:t>referenceLocation</w:t>
      </w:r>
      <w:r w:rsidRPr="00AD02AD">
        <w:rPr>
          <w:lang w:val="en-US" w:eastAsia="zh-CN"/>
        </w:rPr>
        <w:t xml:space="preserve"> and </w:t>
      </w:r>
      <w:r w:rsidRPr="00AD02AD">
        <w:rPr>
          <w:i/>
          <w:lang w:val="en-US" w:eastAsia="zh-CN"/>
        </w:rPr>
        <w:t>distanceThresh</w:t>
      </w:r>
      <w:r w:rsidRPr="00AD02AD">
        <w:rPr>
          <w:lang w:val="en-US" w:eastAsia="zh-CN"/>
        </w:rPr>
        <w:t xml:space="preserve"> </w:t>
      </w:r>
      <w:r>
        <w:rPr>
          <w:rFonts w:hint="eastAsia"/>
          <w:lang w:val="en-US" w:eastAsia="zh-CN"/>
        </w:rPr>
        <w:t xml:space="preserve">is used </w:t>
      </w:r>
      <w:r w:rsidRPr="00AD02AD">
        <w:rPr>
          <w:lang w:val="en-US" w:eastAsia="zh-CN"/>
        </w:rPr>
        <w:t>for signaling the TN coverage area centre and radius</w:t>
      </w:r>
      <w:r w:rsidRPr="00AD02AD">
        <w:t xml:space="preserve"> </w:t>
      </w:r>
      <w:r>
        <w:rPr>
          <w:rFonts w:hint="eastAsia"/>
          <w:lang w:eastAsia="zh-CN"/>
        </w:rPr>
        <w:t xml:space="preserve">and RAN2 would not </w:t>
      </w:r>
      <w:r w:rsidRPr="00AD02AD">
        <w:rPr>
          <w:lang w:val="en-US" w:eastAsia="zh-CN"/>
        </w:rPr>
        <w:t>introduce RRC dedicated signalling to provide more accurate TN coverage information</w:t>
      </w:r>
      <w:r>
        <w:rPr>
          <w:rFonts w:hint="eastAsia"/>
          <w:lang w:val="en-US" w:eastAsia="zh-CN"/>
        </w:rPr>
        <w:t xml:space="preserve">. </w:t>
      </w:r>
      <w:r>
        <w:rPr>
          <w:lang w:val="en-US" w:eastAsia="zh-CN"/>
        </w:rPr>
        <w:t>W</w:t>
      </w:r>
      <w:r>
        <w:rPr>
          <w:rFonts w:hint="eastAsia"/>
          <w:lang w:val="en-US" w:eastAsia="zh-CN"/>
        </w:rPr>
        <w:t xml:space="preserve">e understand RAN2 has made the conclusion that no further TN </w:t>
      </w:r>
      <w:r w:rsidR="0071626D">
        <w:rPr>
          <w:rFonts w:hint="eastAsia"/>
          <w:lang w:val="en-US" w:eastAsia="zh-CN"/>
        </w:rPr>
        <w:t xml:space="preserve">coverage information is needed. </w:t>
      </w:r>
      <w:r w:rsidR="0071626D">
        <w:rPr>
          <w:lang w:val="en-US" w:eastAsia="zh-CN"/>
        </w:rPr>
        <w:t>O</w:t>
      </w:r>
      <w:r w:rsidR="0071626D">
        <w:rPr>
          <w:rFonts w:hint="eastAsia"/>
          <w:lang w:val="en-US" w:eastAsia="zh-CN"/>
        </w:rPr>
        <w:t xml:space="preserve">n the other hand, with the distance threshold and reference location of serving cell provided by </w:t>
      </w:r>
      <w:r w:rsidR="0071626D">
        <w:rPr>
          <w:lang w:val="en-US" w:eastAsia="zh-CN"/>
        </w:rPr>
        <w:t>the</w:t>
      </w:r>
      <w:r w:rsidR="0071626D">
        <w:rPr>
          <w:rFonts w:hint="eastAsia"/>
          <w:lang w:val="en-US" w:eastAsia="zh-CN"/>
        </w:rPr>
        <w:t xml:space="preserve"> network, the cell selection can already be determined and performed with location-based criteria. </w:t>
      </w:r>
      <w:r w:rsidR="0071626D">
        <w:rPr>
          <w:lang w:val="en-US" w:eastAsia="zh-CN"/>
        </w:rPr>
        <w:t>T</w:t>
      </w:r>
      <w:r w:rsidR="0071626D">
        <w:rPr>
          <w:rFonts w:hint="eastAsia"/>
          <w:lang w:val="en-US" w:eastAsia="zh-CN"/>
        </w:rPr>
        <w:t xml:space="preserve">here is no need to further provide serving cell coverage which may not bring additional gain to the cell reselection requirement. </w:t>
      </w:r>
    </w:p>
    <w:p w:rsidR="0071626D" w:rsidRDefault="0071626D" w:rsidP="000B1FA7">
      <w:pPr>
        <w:spacing w:beforeLines="50" w:before="120"/>
        <w:rPr>
          <w:lang w:val="en-US" w:eastAsia="zh-CN"/>
        </w:rPr>
      </w:pPr>
      <w:r>
        <w:rPr>
          <w:lang w:val="en-US" w:eastAsia="zh-CN"/>
        </w:rPr>
        <w:t>A</w:t>
      </w:r>
      <w:r>
        <w:rPr>
          <w:rFonts w:hint="eastAsia"/>
          <w:lang w:val="en-US" w:eastAsia="zh-CN"/>
        </w:rPr>
        <w:t>lso RAN2 agreed that a</w:t>
      </w:r>
      <w:r w:rsidRPr="0071626D">
        <w:rPr>
          <w:lang w:val="en-US" w:eastAsia="zh-CN"/>
        </w:rPr>
        <w:t>n RRC_IDLE/RRC_INACTIVE UE is not required to perform neighbour cell measurements for cell reselection for a TN frequency in the area, if configured, where there is</w:t>
      </w:r>
      <w:r w:rsidR="0049246E">
        <w:rPr>
          <w:lang w:val="en-US" w:eastAsia="zh-CN"/>
        </w:rPr>
        <w:t xml:space="preserve"> no coverage of that frequency</w:t>
      </w:r>
      <w:r w:rsidR="00C843F4">
        <w:rPr>
          <w:rFonts w:hint="eastAsia"/>
          <w:lang w:val="en-US" w:eastAsia="zh-CN"/>
        </w:rPr>
        <w:t xml:space="preserve"> r</w:t>
      </w:r>
      <w:r w:rsidRPr="0071626D">
        <w:rPr>
          <w:lang w:val="en-US" w:eastAsia="zh-CN"/>
        </w:rPr>
        <w:t>egardless of the frequency priority</w:t>
      </w:r>
      <w:r w:rsidR="00731D47">
        <w:rPr>
          <w:rFonts w:hint="eastAsia"/>
          <w:lang w:val="en-US" w:eastAsia="zh-CN"/>
        </w:rPr>
        <w:t xml:space="preserve">. The frequency coverage information is still discussed in RAN2 and we can wait for the conclusions. </w:t>
      </w:r>
      <w:r w:rsidR="00731D47">
        <w:rPr>
          <w:lang w:val="en-US" w:eastAsia="zh-CN"/>
        </w:rPr>
        <w:t>A</w:t>
      </w:r>
      <w:r w:rsidR="00731D47">
        <w:rPr>
          <w:rFonts w:hint="eastAsia"/>
          <w:lang w:val="en-US" w:eastAsia="zh-CN"/>
        </w:rPr>
        <w:t xml:space="preserve">fter defined </w:t>
      </w:r>
      <w:r w:rsidR="00137056">
        <w:rPr>
          <w:rFonts w:hint="eastAsia"/>
          <w:lang w:val="en-US" w:eastAsia="zh-CN"/>
        </w:rPr>
        <w:t>by</w:t>
      </w:r>
      <w:r w:rsidR="00731D47">
        <w:rPr>
          <w:rFonts w:hint="eastAsia"/>
          <w:lang w:val="en-US" w:eastAsia="zh-CN"/>
        </w:rPr>
        <w:t xml:space="preserve"> RAN2, the clarification on the frequency coverage of neighbor cell can be included in the cell reselection requirement. </w:t>
      </w:r>
    </w:p>
    <w:p w:rsidR="00866DE2" w:rsidRDefault="00866DE2" w:rsidP="00866DE2">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1</w:t>
      </w:r>
      <w:r w:rsidRPr="00BE1E07">
        <w:rPr>
          <w:rFonts w:hint="eastAsia"/>
          <w:b/>
          <w:lang w:val="en-US" w:eastAsia="zh-CN"/>
        </w:rPr>
        <w:t xml:space="preserve">: </w:t>
      </w:r>
      <w:r>
        <w:rPr>
          <w:rFonts w:hint="eastAsia"/>
          <w:b/>
          <w:lang w:val="en-US" w:eastAsia="zh-CN"/>
        </w:rPr>
        <w:t xml:space="preserve">For location-based cell reselection, </w:t>
      </w:r>
      <w:r w:rsidRPr="00F87B88">
        <w:rPr>
          <w:b/>
          <w:lang w:val="en-US" w:eastAsia="zh-CN"/>
        </w:rPr>
        <w:t xml:space="preserve">serving cell coverage information is </w:t>
      </w:r>
      <w:r>
        <w:rPr>
          <w:rFonts w:hint="eastAsia"/>
          <w:b/>
          <w:lang w:val="en-US" w:eastAsia="zh-CN"/>
        </w:rPr>
        <w:t>not</w:t>
      </w:r>
      <w:r w:rsidRPr="00F87B88">
        <w:rPr>
          <w:b/>
          <w:lang w:val="en-US" w:eastAsia="zh-CN"/>
        </w:rPr>
        <w:t xml:space="preserve"> necessary</w:t>
      </w:r>
      <w:r>
        <w:rPr>
          <w:rFonts w:hint="eastAsia"/>
          <w:b/>
          <w:lang w:val="en-US" w:eastAsia="zh-CN"/>
        </w:rPr>
        <w:t>.</w:t>
      </w:r>
      <w:r w:rsidRPr="00BE1E07">
        <w:rPr>
          <w:rFonts w:hint="eastAsia"/>
          <w:b/>
          <w:lang w:val="en-US" w:eastAsia="zh-CN"/>
        </w:rPr>
        <w:t xml:space="preserve"> </w:t>
      </w:r>
    </w:p>
    <w:p w:rsidR="002E1633" w:rsidRPr="006C3AD3" w:rsidRDefault="002E1633" w:rsidP="002E1633">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2</w:t>
      </w:r>
      <w:r w:rsidRPr="00BE1E07">
        <w:rPr>
          <w:rFonts w:hint="eastAsia"/>
          <w:b/>
          <w:lang w:val="en-US" w:eastAsia="zh-CN"/>
        </w:rPr>
        <w:t xml:space="preserve">: </w:t>
      </w:r>
      <w:r>
        <w:rPr>
          <w:rFonts w:hint="eastAsia"/>
          <w:b/>
          <w:lang w:val="en-US" w:eastAsia="zh-CN"/>
        </w:rPr>
        <w:t>RAN4 to add the clarification on the frequency coverage of neighbor cell in the cell reselection after RAN2 concludes it.</w:t>
      </w:r>
      <w:r w:rsidRPr="00BE1E07">
        <w:rPr>
          <w:rFonts w:hint="eastAsia"/>
          <w:b/>
          <w:lang w:val="en-US" w:eastAsia="zh-CN"/>
        </w:rPr>
        <w:t xml:space="preserve"> </w:t>
      </w:r>
    </w:p>
    <w:p w:rsidR="008F6B82" w:rsidRDefault="008F6B82" w:rsidP="008F6B82">
      <w:pPr>
        <w:spacing w:beforeLines="50" w:before="120"/>
        <w:rPr>
          <w:lang w:val="en-US" w:eastAsia="zh-CN"/>
        </w:rPr>
      </w:pPr>
      <w:r>
        <w:rPr>
          <w:lang w:val="en-US" w:eastAsia="zh-CN"/>
        </w:rPr>
        <w:lastRenderedPageBreak/>
        <w:t>F</w:t>
      </w:r>
      <w:r>
        <w:rPr>
          <w:rFonts w:hint="eastAsia"/>
          <w:lang w:val="en-US" w:eastAsia="zh-CN"/>
        </w:rPr>
        <w:t xml:space="preserve">or NTN-TN cell reselection enhancement, there is the following agreement in last RAN4 meeting. </w:t>
      </w:r>
    </w:p>
    <w:tbl>
      <w:tblPr>
        <w:tblStyle w:val="af3"/>
        <w:tblW w:w="0" w:type="auto"/>
        <w:tblLook w:val="04A0" w:firstRow="1" w:lastRow="0" w:firstColumn="1" w:lastColumn="0" w:noHBand="0" w:noVBand="1"/>
      </w:tblPr>
      <w:tblGrid>
        <w:gridCol w:w="9857"/>
      </w:tblGrid>
      <w:tr w:rsidR="008F6B82" w:rsidTr="00A84AC6">
        <w:tc>
          <w:tcPr>
            <w:tcW w:w="9857" w:type="dxa"/>
          </w:tcPr>
          <w:p w:rsidR="008F6B82" w:rsidRDefault="008F6B82" w:rsidP="00A84AC6">
            <w:pPr>
              <w:outlineLvl w:val="2"/>
              <w:rPr>
                <w:b/>
                <w:u w:val="single"/>
                <w:lang w:eastAsia="ko-KR"/>
              </w:rPr>
            </w:pPr>
            <w:r>
              <w:rPr>
                <w:b/>
                <w:u w:val="single"/>
                <w:lang w:eastAsia="ko-KR"/>
              </w:rPr>
              <w:t>Issue 4-2: NTN-TN Cell reselection enhancements (to reduce UE power consumption)</w:t>
            </w:r>
          </w:p>
          <w:p w:rsidR="008F6B82" w:rsidRDefault="008F6B82" w:rsidP="00A84AC6">
            <w:pPr>
              <w:spacing w:after="120" w:line="252" w:lineRule="auto"/>
              <w:ind w:firstLine="284"/>
              <w:rPr>
                <w:b/>
                <w:bCs/>
                <w:u w:val="single"/>
                <w:lang w:eastAsia="ja-JP"/>
              </w:rPr>
            </w:pPr>
            <w:r>
              <w:rPr>
                <w:b/>
                <w:bCs/>
                <w:u w:val="single"/>
                <w:lang w:eastAsia="ja-JP"/>
              </w:rPr>
              <w:t>Agreement:</w:t>
            </w:r>
          </w:p>
          <w:p w:rsidR="008F6B82" w:rsidRDefault="008F6B82" w:rsidP="00A84AC6">
            <w:pPr>
              <w:pStyle w:val="af8"/>
              <w:widowControl/>
              <w:numPr>
                <w:ilvl w:val="0"/>
                <w:numId w:val="28"/>
              </w:numPr>
              <w:overflowPunct w:val="0"/>
              <w:autoSpaceDE w:val="0"/>
              <w:autoSpaceDN w:val="0"/>
              <w:adjustRightInd w:val="0"/>
              <w:spacing w:before="0" w:after="180" w:line="276" w:lineRule="auto"/>
              <w:ind w:left="644" w:firstLineChars="0"/>
              <w:jc w:val="left"/>
            </w:pPr>
            <w:r>
              <w:t>FFS: RAN4 to define RRM requirements on TN-to-NTN reselection.</w:t>
            </w:r>
          </w:p>
          <w:p w:rsidR="008F6B82" w:rsidRDefault="008F6B82" w:rsidP="00A84AC6">
            <w:pPr>
              <w:pStyle w:val="af8"/>
              <w:widowControl/>
              <w:numPr>
                <w:ilvl w:val="1"/>
                <w:numId w:val="28"/>
              </w:numPr>
              <w:overflowPunct w:val="0"/>
              <w:autoSpaceDE w:val="0"/>
              <w:autoSpaceDN w:val="0"/>
              <w:adjustRightInd w:val="0"/>
              <w:spacing w:before="0" w:after="180" w:line="276" w:lineRule="auto"/>
              <w:ind w:left="1364" w:firstLineChars="0"/>
              <w:jc w:val="left"/>
            </w:pPr>
            <w:r>
              <w:t>RAN4 to agree to reuse same side condition of assistance information for neighbour NTN cells from R17 WF R4-2207114.</w:t>
            </w:r>
          </w:p>
          <w:p w:rsidR="008F6B82" w:rsidRPr="00FE4E5D" w:rsidRDefault="008F6B82" w:rsidP="00A84AC6">
            <w:pPr>
              <w:pStyle w:val="af8"/>
              <w:widowControl/>
              <w:numPr>
                <w:ilvl w:val="1"/>
                <w:numId w:val="28"/>
              </w:numPr>
              <w:overflowPunct w:val="0"/>
              <w:autoSpaceDE w:val="0"/>
              <w:autoSpaceDN w:val="0"/>
              <w:adjustRightInd w:val="0"/>
              <w:spacing w:before="0" w:after="180" w:line="276" w:lineRule="auto"/>
              <w:ind w:left="1364" w:firstLineChars="0"/>
              <w:jc w:val="left"/>
            </w:pPr>
            <w:r>
              <w:t>Additional side conditions can be added, as needed, and the conditions may depend on satellite types (GSO vs. non-GSO) and/or NTN cell deployments for non-GSO (earth-fixed vs. earth-moving cell).</w:t>
            </w:r>
          </w:p>
          <w:p w:rsidR="008F6B82" w:rsidRDefault="008F6B82" w:rsidP="00A84AC6">
            <w:pPr>
              <w:spacing w:after="120" w:line="252" w:lineRule="auto"/>
              <w:ind w:firstLine="284"/>
              <w:rPr>
                <w:b/>
                <w:bCs/>
                <w:u w:val="single"/>
                <w:lang w:eastAsia="ja-JP"/>
              </w:rPr>
            </w:pPr>
            <w:r>
              <w:rPr>
                <w:b/>
                <w:bCs/>
                <w:u w:val="single"/>
                <w:lang w:eastAsia="ja-JP"/>
              </w:rPr>
              <w:t>Agreement:</w:t>
            </w:r>
          </w:p>
          <w:p w:rsidR="008F6B82" w:rsidRDefault="008F6B82" w:rsidP="00A84AC6">
            <w:pPr>
              <w:pStyle w:val="af8"/>
              <w:widowControl/>
              <w:numPr>
                <w:ilvl w:val="0"/>
                <w:numId w:val="28"/>
              </w:numPr>
              <w:overflowPunct w:val="0"/>
              <w:autoSpaceDE w:val="0"/>
              <w:autoSpaceDN w:val="0"/>
              <w:adjustRightInd w:val="0"/>
              <w:spacing w:before="0" w:after="180" w:line="276" w:lineRule="auto"/>
              <w:ind w:left="644" w:firstLineChars="0"/>
              <w:jc w:val="left"/>
            </w:pPr>
            <w:r>
              <w:t>RAN4 to define RRM requirements on NTN-to-TN cell reselection requirement without measurement enhancement for the following cases:</w:t>
            </w:r>
          </w:p>
          <w:p w:rsidR="008F6B82" w:rsidRDefault="008F6B82" w:rsidP="00A84AC6">
            <w:pPr>
              <w:pStyle w:val="af8"/>
              <w:widowControl/>
              <w:numPr>
                <w:ilvl w:val="1"/>
                <w:numId w:val="28"/>
              </w:numPr>
              <w:overflowPunct w:val="0"/>
              <w:autoSpaceDE w:val="0"/>
              <w:autoSpaceDN w:val="0"/>
              <w:adjustRightInd w:val="0"/>
              <w:spacing w:before="0" w:after="180" w:line="276" w:lineRule="auto"/>
              <w:ind w:left="1364" w:firstLineChars="0"/>
              <w:jc w:val="left"/>
            </w:pPr>
            <w:r>
              <w:t>both GSO and non-GSO</w:t>
            </w:r>
          </w:p>
          <w:p w:rsidR="008F6B82" w:rsidRDefault="008F6B82" w:rsidP="00A84AC6">
            <w:pPr>
              <w:pStyle w:val="af8"/>
              <w:widowControl/>
              <w:numPr>
                <w:ilvl w:val="1"/>
                <w:numId w:val="28"/>
              </w:numPr>
              <w:overflowPunct w:val="0"/>
              <w:autoSpaceDE w:val="0"/>
              <w:autoSpaceDN w:val="0"/>
              <w:adjustRightInd w:val="0"/>
              <w:spacing w:before="0" w:after="180" w:line="276" w:lineRule="auto"/>
              <w:ind w:left="1364" w:firstLineChars="0"/>
              <w:jc w:val="left"/>
            </w:pPr>
            <w:r>
              <w:t>both earth fixed cell and earth moving cell</w:t>
            </w:r>
          </w:p>
          <w:p w:rsidR="008F6B82" w:rsidRDefault="008F6B82" w:rsidP="00A84AC6">
            <w:pPr>
              <w:pStyle w:val="af8"/>
              <w:widowControl/>
              <w:numPr>
                <w:ilvl w:val="1"/>
                <w:numId w:val="28"/>
              </w:numPr>
              <w:overflowPunct w:val="0"/>
              <w:autoSpaceDE w:val="0"/>
              <w:autoSpaceDN w:val="0"/>
              <w:adjustRightInd w:val="0"/>
              <w:spacing w:before="0" w:after="180" w:line="276" w:lineRule="auto"/>
              <w:ind w:left="1364" w:firstLineChars="0"/>
              <w:jc w:val="left"/>
            </w:pPr>
            <w:r>
              <w:t xml:space="preserve">FFS on </w:t>
            </w:r>
          </w:p>
          <w:p w:rsidR="008F6B82" w:rsidRPr="00FE4E5D" w:rsidRDefault="008F6B82" w:rsidP="00A84AC6">
            <w:pPr>
              <w:pStyle w:val="af8"/>
              <w:widowControl/>
              <w:numPr>
                <w:ilvl w:val="2"/>
                <w:numId w:val="28"/>
              </w:numPr>
              <w:overflowPunct w:val="0"/>
              <w:autoSpaceDE w:val="0"/>
              <w:autoSpaceDN w:val="0"/>
              <w:adjustRightInd w:val="0"/>
              <w:spacing w:before="0" w:after="180" w:line="276" w:lineRule="auto"/>
              <w:ind w:left="2084" w:firstLineChars="0"/>
              <w:jc w:val="left"/>
            </w:pPr>
            <w:proofErr w:type="gramStart"/>
            <w:r>
              <w:t>whether/how</w:t>
            </w:r>
            <w:proofErr w:type="gramEnd"/>
            <w:r>
              <w:t xml:space="preserve"> to define the detailed UE behaviour when the UE is out of TN coverage.</w:t>
            </w:r>
          </w:p>
          <w:p w:rsidR="008F6B82" w:rsidRDefault="008F6B82" w:rsidP="00A84AC6">
            <w:pPr>
              <w:spacing w:after="120" w:line="252" w:lineRule="auto"/>
              <w:ind w:firstLine="284"/>
              <w:rPr>
                <w:b/>
                <w:bCs/>
                <w:u w:val="single"/>
                <w:lang w:eastAsia="ja-JP"/>
              </w:rPr>
            </w:pPr>
            <w:r>
              <w:rPr>
                <w:b/>
                <w:bCs/>
                <w:u w:val="single"/>
                <w:lang w:eastAsia="ja-JP"/>
              </w:rPr>
              <w:t>Agreement:</w:t>
            </w:r>
          </w:p>
          <w:p w:rsidR="008F6B82" w:rsidRPr="00FE4E5D" w:rsidRDefault="008F6B82" w:rsidP="00A84AC6">
            <w:pPr>
              <w:pStyle w:val="af8"/>
              <w:widowControl/>
              <w:numPr>
                <w:ilvl w:val="0"/>
                <w:numId w:val="28"/>
              </w:numPr>
              <w:overflowPunct w:val="0"/>
              <w:autoSpaceDE w:val="0"/>
              <w:autoSpaceDN w:val="0"/>
              <w:adjustRightInd w:val="0"/>
              <w:spacing w:before="0" w:after="180" w:line="276" w:lineRule="auto"/>
              <w:ind w:left="644" w:firstLineChars="0"/>
              <w:jc w:val="left"/>
            </w:pPr>
            <w:r>
              <w:t>RAN4 to not define accuracy of TN coverage information provided by NTN cell.</w:t>
            </w:r>
          </w:p>
        </w:tc>
      </w:tr>
    </w:tbl>
    <w:p w:rsidR="003D191A" w:rsidRDefault="008C1A0F" w:rsidP="008F6B82">
      <w:pPr>
        <w:spacing w:beforeLines="50" w:before="120"/>
        <w:rPr>
          <w:lang w:eastAsia="zh-CN"/>
        </w:rPr>
      </w:pPr>
      <w:r>
        <w:rPr>
          <w:lang w:eastAsia="zh-CN"/>
        </w:rPr>
        <w:t>F</w:t>
      </w:r>
      <w:r>
        <w:rPr>
          <w:rFonts w:hint="eastAsia"/>
          <w:lang w:eastAsia="zh-CN"/>
        </w:rPr>
        <w:t xml:space="preserve">or the </w:t>
      </w:r>
      <w:r>
        <w:rPr>
          <w:lang w:eastAsia="ja-JP"/>
        </w:rPr>
        <w:t xml:space="preserve">direction </w:t>
      </w:r>
      <w:r>
        <w:rPr>
          <w:rFonts w:hint="eastAsia"/>
          <w:lang w:eastAsia="zh-CN"/>
        </w:rPr>
        <w:t xml:space="preserve">of cell reselection, </w:t>
      </w:r>
      <w:r w:rsidR="003A3380">
        <w:rPr>
          <w:rFonts w:hint="eastAsia"/>
          <w:lang w:eastAsia="zh-CN"/>
        </w:rPr>
        <w:t>in last meeting, it was agreed to define NTN-to-TN cell reselection</w:t>
      </w:r>
      <w:r w:rsidR="003D191A">
        <w:rPr>
          <w:rFonts w:hint="eastAsia"/>
          <w:lang w:eastAsia="zh-CN"/>
        </w:rPr>
        <w:t xml:space="preserve">. </w:t>
      </w:r>
      <w:r w:rsidR="003D191A">
        <w:rPr>
          <w:lang w:eastAsia="zh-CN"/>
        </w:rPr>
        <w:t>W</w:t>
      </w:r>
      <w:r w:rsidR="003D191A">
        <w:rPr>
          <w:rFonts w:hint="eastAsia"/>
          <w:lang w:eastAsia="zh-CN"/>
        </w:rPr>
        <w:t xml:space="preserve">hen the TN coverage information is provided, UE is not required to perform measurement when the UE is out of TN coverage. </w:t>
      </w:r>
    </w:p>
    <w:p w:rsidR="002C2317" w:rsidRDefault="002C2317" w:rsidP="008F6B82">
      <w:pPr>
        <w:spacing w:beforeLines="50" w:before="120"/>
        <w:rPr>
          <w:lang w:eastAsia="zh-CN"/>
        </w:rPr>
      </w:pPr>
      <w:r>
        <w:rPr>
          <w:lang w:eastAsia="zh-CN"/>
        </w:rPr>
        <w:t>F</w:t>
      </w:r>
      <w:r>
        <w:rPr>
          <w:rFonts w:hint="eastAsia"/>
          <w:lang w:eastAsia="zh-CN"/>
        </w:rPr>
        <w:t xml:space="preserve">or the cell reselection requirements from TN to NTN, we think it can also be defined. </w:t>
      </w:r>
      <w:r>
        <w:rPr>
          <w:lang w:eastAsia="zh-CN"/>
        </w:rPr>
        <w:t>A</w:t>
      </w:r>
      <w:r>
        <w:rPr>
          <w:rFonts w:hint="eastAsia"/>
          <w:lang w:eastAsia="zh-CN"/>
        </w:rPr>
        <w:t xml:space="preserve">nd the assistance information of NTN cell </w:t>
      </w:r>
      <w:r>
        <w:rPr>
          <w:lang w:eastAsia="zh-CN"/>
        </w:rPr>
        <w:t>can</w:t>
      </w:r>
      <w:r>
        <w:rPr>
          <w:rFonts w:hint="eastAsia"/>
          <w:lang w:eastAsia="zh-CN"/>
        </w:rPr>
        <w:t xml:space="preserve"> be provided to UE. </w:t>
      </w:r>
      <w:r>
        <w:rPr>
          <w:lang w:eastAsia="zh-CN"/>
        </w:rPr>
        <w:t>T</w:t>
      </w:r>
      <w:r>
        <w:rPr>
          <w:rFonts w:hint="eastAsia"/>
          <w:lang w:eastAsia="zh-CN"/>
        </w:rPr>
        <w:t xml:space="preserve">he side condition in Rel-17 with the </w:t>
      </w:r>
      <w:r w:rsidRPr="002C2317">
        <w:rPr>
          <w:lang w:eastAsia="zh-CN"/>
        </w:rPr>
        <w:t>required target satellite information for measurement and mobility</w:t>
      </w:r>
      <w:r w:rsidR="00DC6947">
        <w:rPr>
          <w:rFonts w:hint="eastAsia"/>
          <w:lang w:eastAsia="zh-CN"/>
        </w:rPr>
        <w:t xml:space="preserve"> can be used as the starting point</w:t>
      </w:r>
      <w:r w:rsidRPr="002C2317">
        <w:rPr>
          <w:lang w:eastAsia="zh-CN"/>
        </w:rPr>
        <w:t>.</w:t>
      </w:r>
      <w:r w:rsidR="00942F95">
        <w:rPr>
          <w:rFonts w:hint="eastAsia"/>
          <w:lang w:eastAsia="zh-CN"/>
        </w:rPr>
        <w:t xml:space="preserve"> </w:t>
      </w:r>
    </w:p>
    <w:p w:rsidR="006C76B6" w:rsidRPr="00752431" w:rsidRDefault="006C76B6" w:rsidP="008F6B82">
      <w:pPr>
        <w:spacing w:beforeLines="50" w:before="120"/>
        <w:rPr>
          <w:b/>
          <w:lang w:eastAsia="zh-CN"/>
        </w:rPr>
      </w:pPr>
      <w:r w:rsidRPr="00752431">
        <w:rPr>
          <w:b/>
          <w:lang w:val="en-US" w:eastAsia="zh-CN"/>
        </w:rPr>
        <w:t>P</w:t>
      </w:r>
      <w:r w:rsidRPr="00752431">
        <w:rPr>
          <w:rFonts w:hint="eastAsia"/>
          <w:b/>
          <w:lang w:val="en-US" w:eastAsia="zh-CN"/>
        </w:rPr>
        <w:t xml:space="preserve">roposal 3: </w:t>
      </w:r>
      <w:r w:rsidRPr="00752431">
        <w:rPr>
          <w:b/>
          <w:lang w:eastAsia="zh-CN"/>
        </w:rPr>
        <w:t>F</w:t>
      </w:r>
      <w:r w:rsidRPr="00752431">
        <w:rPr>
          <w:rFonts w:hint="eastAsia"/>
          <w:b/>
          <w:lang w:eastAsia="zh-CN"/>
        </w:rPr>
        <w:t>or NTN-to-TN cell reselection, UE is not required to perform measurement when the UE is out of TN coverage.</w:t>
      </w:r>
    </w:p>
    <w:p w:rsidR="008F6B82" w:rsidRPr="00601A98" w:rsidRDefault="008F6B82" w:rsidP="008F6B82">
      <w:pPr>
        <w:spacing w:beforeLines="50" w:before="120"/>
        <w:rPr>
          <w:b/>
          <w:lang w:val="en-US" w:eastAsia="zh-CN"/>
        </w:rPr>
      </w:pPr>
      <w:r w:rsidRPr="00601A98">
        <w:rPr>
          <w:b/>
          <w:lang w:val="en-US" w:eastAsia="zh-CN"/>
        </w:rPr>
        <w:t>P</w:t>
      </w:r>
      <w:r w:rsidRPr="00601A98">
        <w:rPr>
          <w:rFonts w:hint="eastAsia"/>
          <w:b/>
          <w:lang w:val="en-US" w:eastAsia="zh-CN"/>
        </w:rPr>
        <w:t xml:space="preserve">roposal </w:t>
      </w:r>
      <w:r w:rsidR="00752431">
        <w:rPr>
          <w:rFonts w:hint="eastAsia"/>
          <w:b/>
          <w:lang w:val="en-US" w:eastAsia="zh-CN"/>
        </w:rPr>
        <w:t>4</w:t>
      </w:r>
      <w:r w:rsidRPr="00601A98">
        <w:rPr>
          <w:rFonts w:hint="eastAsia"/>
          <w:b/>
          <w:lang w:val="en-US" w:eastAsia="zh-CN"/>
        </w:rPr>
        <w:t>: Define requirements for TN-</w:t>
      </w:r>
      <w:r w:rsidR="00374A0A" w:rsidRPr="00601A98">
        <w:rPr>
          <w:rFonts w:hint="eastAsia"/>
          <w:b/>
          <w:lang w:val="en-US" w:eastAsia="zh-CN"/>
        </w:rPr>
        <w:t>to-</w:t>
      </w:r>
      <w:r w:rsidRPr="00601A98">
        <w:rPr>
          <w:rFonts w:hint="eastAsia"/>
          <w:b/>
          <w:lang w:val="en-US" w:eastAsia="zh-CN"/>
        </w:rPr>
        <w:t xml:space="preserve">NTN cell reselection. </w:t>
      </w:r>
      <w:r w:rsidR="00961F8B" w:rsidRPr="00601A98">
        <w:rPr>
          <w:b/>
          <w:lang w:val="en-US" w:eastAsia="zh-CN"/>
        </w:rPr>
        <w:t>A</w:t>
      </w:r>
      <w:r w:rsidR="00961F8B" w:rsidRPr="00601A98">
        <w:rPr>
          <w:rFonts w:hint="eastAsia"/>
          <w:b/>
          <w:lang w:val="en-US" w:eastAsia="zh-CN"/>
        </w:rPr>
        <w:t xml:space="preserve">nd </w:t>
      </w:r>
      <w:r w:rsidR="00961F8B" w:rsidRPr="00601A98">
        <w:rPr>
          <w:rFonts w:hint="eastAsia"/>
          <w:b/>
          <w:lang w:eastAsia="zh-CN"/>
        </w:rPr>
        <w:t xml:space="preserve">the side condition of assistance information in Rel-17 with </w:t>
      </w:r>
      <w:r w:rsidR="001A1F48" w:rsidRPr="00601A98">
        <w:rPr>
          <w:rFonts w:hint="eastAsia"/>
          <w:b/>
          <w:lang w:eastAsia="zh-CN"/>
        </w:rPr>
        <w:t>the listed parameters of</w:t>
      </w:r>
      <w:r w:rsidR="00961F8B" w:rsidRPr="00601A98">
        <w:rPr>
          <w:b/>
          <w:lang w:eastAsia="zh-CN"/>
        </w:rPr>
        <w:t xml:space="preserve"> target satellite </w:t>
      </w:r>
      <w:r w:rsidR="00961F8B" w:rsidRPr="00601A98">
        <w:rPr>
          <w:rFonts w:hint="eastAsia"/>
          <w:b/>
          <w:lang w:eastAsia="zh-CN"/>
        </w:rPr>
        <w:t>can be used as the starting point</w:t>
      </w:r>
      <w:r w:rsidR="00961F8B" w:rsidRPr="00601A98">
        <w:rPr>
          <w:b/>
          <w:lang w:eastAsia="zh-CN"/>
        </w:rPr>
        <w:t>.</w:t>
      </w:r>
      <w:r w:rsidR="001A1F48" w:rsidRPr="00601A98">
        <w:rPr>
          <w:rFonts w:hint="eastAsia"/>
          <w:b/>
          <w:lang w:eastAsia="zh-CN"/>
        </w:rPr>
        <w:t xml:space="preserve"> </w:t>
      </w:r>
    </w:p>
    <w:p w:rsidR="00321D10" w:rsidRDefault="00321D10" w:rsidP="00321D10">
      <w:pPr>
        <w:pStyle w:val="2"/>
        <w:rPr>
          <w:lang w:val="en-US" w:eastAsia="zh-CN"/>
        </w:rPr>
      </w:pPr>
      <w:r>
        <w:rPr>
          <w:rFonts w:hint="eastAsia"/>
          <w:lang w:val="en-US" w:eastAsia="zh-CN"/>
        </w:rPr>
        <w:t>2.</w:t>
      </w:r>
      <w:r w:rsidR="00A7116A">
        <w:rPr>
          <w:rFonts w:hint="eastAsia"/>
          <w:lang w:val="en-US" w:eastAsia="zh-CN"/>
        </w:rPr>
        <w:t>2</w:t>
      </w:r>
      <w:r>
        <w:rPr>
          <w:rFonts w:hint="eastAsia"/>
          <w:lang w:val="en-US" w:eastAsia="zh-CN"/>
        </w:rPr>
        <w:t xml:space="preserve"> NTN-NTN handover</w:t>
      </w:r>
    </w:p>
    <w:p w:rsidR="008F01D3" w:rsidRPr="008F01D3" w:rsidRDefault="008F01D3" w:rsidP="008F01D3">
      <w:pPr>
        <w:rPr>
          <w:lang w:val="en-US" w:eastAsia="zh-CN"/>
        </w:rPr>
      </w:pPr>
      <w:r>
        <w:rPr>
          <w:lang w:val="en-US" w:eastAsia="zh-CN"/>
        </w:rPr>
        <w:t>I</w:t>
      </w:r>
      <w:r>
        <w:rPr>
          <w:rFonts w:hint="eastAsia"/>
          <w:lang w:val="en-US" w:eastAsia="zh-CN"/>
        </w:rPr>
        <w:t xml:space="preserve">n last meeting, the following agreement was reached for RACH-less HO. </w:t>
      </w:r>
    </w:p>
    <w:tbl>
      <w:tblPr>
        <w:tblStyle w:val="af3"/>
        <w:tblW w:w="0" w:type="auto"/>
        <w:tblLook w:val="04A0" w:firstRow="1" w:lastRow="0" w:firstColumn="1" w:lastColumn="0" w:noHBand="0" w:noVBand="1"/>
      </w:tblPr>
      <w:tblGrid>
        <w:gridCol w:w="9857"/>
      </w:tblGrid>
      <w:tr w:rsidR="006C3AD3" w:rsidTr="006C3AD3">
        <w:tc>
          <w:tcPr>
            <w:tcW w:w="9857" w:type="dxa"/>
          </w:tcPr>
          <w:p w:rsidR="008F01D3" w:rsidRDefault="008F01D3" w:rsidP="008F01D3">
            <w:pPr>
              <w:outlineLvl w:val="2"/>
              <w:rPr>
                <w:b/>
                <w:u w:val="single"/>
                <w:lang w:eastAsia="ko-KR"/>
              </w:rPr>
            </w:pPr>
            <w:r>
              <w:rPr>
                <w:b/>
                <w:u w:val="single"/>
                <w:lang w:eastAsia="ko-KR"/>
              </w:rPr>
              <w:t>Issue 5-1: RACH-less (C)HO</w:t>
            </w:r>
          </w:p>
          <w:p w:rsidR="008F01D3" w:rsidRDefault="008F01D3" w:rsidP="008F01D3">
            <w:pPr>
              <w:spacing w:after="120" w:line="252" w:lineRule="auto"/>
              <w:ind w:firstLine="284"/>
              <w:rPr>
                <w:b/>
                <w:bCs/>
                <w:u w:val="single"/>
                <w:lang w:eastAsia="ja-JP"/>
              </w:rPr>
            </w:pPr>
            <w:r>
              <w:rPr>
                <w:b/>
                <w:bCs/>
                <w:u w:val="single"/>
                <w:lang w:eastAsia="ja-JP"/>
              </w:rPr>
              <w:t>Agreement:</w:t>
            </w:r>
          </w:p>
          <w:p w:rsidR="008F01D3" w:rsidRDefault="008F01D3" w:rsidP="008F01D3">
            <w:pPr>
              <w:pStyle w:val="af8"/>
              <w:widowControl/>
              <w:numPr>
                <w:ilvl w:val="0"/>
                <w:numId w:val="30"/>
              </w:numPr>
              <w:overflowPunct w:val="0"/>
              <w:autoSpaceDE w:val="0"/>
              <w:autoSpaceDN w:val="0"/>
              <w:adjustRightInd w:val="0"/>
              <w:spacing w:before="0" w:after="180" w:line="276" w:lineRule="auto"/>
              <w:ind w:left="644" w:firstLineChars="0"/>
              <w:jc w:val="left"/>
              <w:rPr>
                <w:lang w:eastAsia="ja-JP"/>
              </w:rPr>
            </w:pPr>
            <w:r>
              <w:rPr>
                <w:lang w:eastAsia="ja-JP"/>
              </w:rPr>
              <w:t>RAN4 to define RACH-less HO requirements for intra-/inter-satellite handover with and without gateway/gNB switch.</w:t>
            </w:r>
          </w:p>
          <w:p w:rsidR="008F01D3" w:rsidRDefault="008F01D3" w:rsidP="008F01D3">
            <w:pPr>
              <w:pStyle w:val="af8"/>
              <w:widowControl/>
              <w:numPr>
                <w:ilvl w:val="1"/>
                <w:numId w:val="30"/>
              </w:numPr>
              <w:overflowPunct w:val="0"/>
              <w:autoSpaceDE w:val="0"/>
              <w:autoSpaceDN w:val="0"/>
              <w:adjustRightInd w:val="0"/>
              <w:spacing w:before="0" w:after="180" w:line="276" w:lineRule="auto"/>
              <w:ind w:left="1364" w:firstLineChars="0"/>
              <w:jc w:val="left"/>
              <w:rPr>
                <w:lang w:eastAsia="ja-JP"/>
              </w:rPr>
            </w:pPr>
            <w:r>
              <w:rPr>
                <w:lang w:eastAsia="ja-JP"/>
              </w:rPr>
              <w:t>Known and Unknown target cell condition:</w:t>
            </w:r>
          </w:p>
          <w:p w:rsidR="008F01D3" w:rsidRDefault="008F01D3" w:rsidP="008F01D3">
            <w:pPr>
              <w:pStyle w:val="af8"/>
              <w:widowControl/>
              <w:numPr>
                <w:ilvl w:val="2"/>
                <w:numId w:val="30"/>
              </w:numPr>
              <w:overflowPunct w:val="0"/>
              <w:autoSpaceDE w:val="0"/>
              <w:autoSpaceDN w:val="0"/>
              <w:adjustRightInd w:val="0"/>
              <w:spacing w:before="0" w:after="180" w:line="276" w:lineRule="auto"/>
              <w:ind w:left="2084" w:firstLineChars="0"/>
              <w:jc w:val="left"/>
              <w:rPr>
                <w:lang w:eastAsia="ja-JP"/>
              </w:rPr>
            </w:pPr>
            <w:r>
              <w:rPr>
                <w:lang w:eastAsia="ja-JP"/>
              </w:rPr>
              <w:t>Reuse the R17 known/unknown condition applied in NTN HO requirements.</w:t>
            </w:r>
          </w:p>
          <w:p w:rsidR="008F01D3" w:rsidRDefault="008F01D3" w:rsidP="008F01D3">
            <w:pPr>
              <w:pStyle w:val="af8"/>
              <w:widowControl/>
              <w:numPr>
                <w:ilvl w:val="2"/>
                <w:numId w:val="30"/>
              </w:numPr>
              <w:overflowPunct w:val="0"/>
              <w:autoSpaceDE w:val="0"/>
              <w:autoSpaceDN w:val="0"/>
              <w:adjustRightInd w:val="0"/>
              <w:spacing w:before="0" w:after="180" w:line="276" w:lineRule="auto"/>
              <w:ind w:left="2084" w:firstLineChars="0"/>
              <w:jc w:val="left"/>
              <w:rPr>
                <w:lang w:eastAsia="ja-JP"/>
              </w:rPr>
            </w:pPr>
            <w:r>
              <w:rPr>
                <w:lang w:eastAsia="ja-JP"/>
              </w:rPr>
              <w:t>If any other new aspects to be additionally added are identified based on RAN1/2 progress, those aspects will be further discussed in RAN4.</w:t>
            </w:r>
          </w:p>
          <w:p w:rsidR="008F01D3" w:rsidRDefault="008F01D3" w:rsidP="008F01D3">
            <w:pPr>
              <w:pStyle w:val="af8"/>
              <w:widowControl/>
              <w:numPr>
                <w:ilvl w:val="1"/>
                <w:numId w:val="30"/>
              </w:numPr>
              <w:overflowPunct w:val="0"/>
              <w:autoSpaceDE w:val="0"/>
              <w:autoSpaceDN w:val="0"/>
              <w:adjustRightInd w:val="0"/>
              <w:spacing w:before="0" w:after="180" w:line="276" w:lineRule="auto"/>
              <w:ind w:left="1364" w:firstLineChars="0"/>
              <w:jc w:val="left"/>
              <w:rPr>
                <w:lang w:eastAsia="ja-JP"/>
              </w:rPr>
            </w:pPr>
            <w:r>
              <w:rPr>
                <w:lang w:eastAsia="ja-JP"/>
              </w:rPr>
              <w:lastRenderedPageBreak/>
              <w:t>Whether to define the requirements for both known and unknown target cells</w:t>
            </w:r>
          </w:p>
          <w:p w:rsidR="008F01D3" w:rsidRDefault="008F01D3" w:rsidP="008F01D3">
            <w:pPr>
              <w:pStyle w:val="af8"/>
              <w:widowControl/>
              <w:numPr>
                <w:ilvl w:val="2"/>
                <w:numId w:val="30"/>
              </w:numPr>
              <w:overflowPunct w:val="0"/>
              <w:autoSpaceDE w:val="0"/>
              <w:autoSpaceDN w:val="0"/>
              <w:adjustRightInd w:val="0"/>
              <w:spacing w:before="0" w:after="180" w:line="276" w:lineRule="auto"/>
              <w:ind w:left="2084" w:firstLineChars="0"/>
              <w:jc w:val="left"/>
              <w:rPr>
                <w:lang w:eastAsia="ja-JP"/>
              </w:rPr>
            </w:pPr>
            <w:r>
              <w:rPr>
                <w:lang w:eastAsia="ja-JP"/>
              </w:rPr>
              <w:t>Consider both known and unknown target cells.</w:t>
            </w:r>
          </w:p>
          <w:p w:rsidR="008F01D3" w:rsidRDefault="008F01D3" w:rsidP="008F01D3">
            <w:pPr>
              <w:pStyle w:val="af8"/>
              <w:widowControl/>
              <w:numPr>
                <w:ilvl w:val="1"/>
                <w:numId w:val="30"/>
              </w:numPr>
              <w:overflowPunct w:val="0"/>
              <w:autoSpaceDE w:val="0"/>
              <w:autoSpaceDN w:val="0"/>
              <w:adjustRightInd w:val="0"/>
              <w:spacing w:before="0" w:after="180" w:line="276" w:lineRule="auto"/>
              <w:ind w:left="1364" w:firstLineChars="0"/>
              <w:jc w:val="left"/>
              <w:rPr>
                <w:lang w:eastAsia="ja-JP"/>
              </w:rPr>
            </w:pPr>
            <w:r>
              <w:rPr>
                <w:lang w:eastAsia="ja-JP"/>
              </w:rPr>
              <w:t>Whether to include fine time tracking latency in the HO latency requirement,</w:t>
            </w:r>
          </w:p>
          <w:p w:rsidR="008F01D3" w:rsidRDefault="008F01D3" w:rsidP="008F01D3">
            <w:pPr>
              <w:pStyle w:val="af8"/>
              <w:widowControl/>
              <w:numPr>
                <w:ilvl w:val="2"/>
                <w:numId w:val="30"/>
              </w:numPr>
              <w:overflowPunct w:val="0"/>
              <w:autoSpaceDE w:val="0"/>
              <w:autoSpaceDN w:val="0"/>
              <w:adjustRightInd w:val="0"/>
              <w:spacing w:before="0" w:after="180" w:line="276" w:lineRule="auto"/>
              <w:ind w:left="2084" w:firstLineChars="0"/>
              <w:jc w:val="left"/>
              <w:rPr>
                <w:lang w:eastAsia="ja-JP"/>
              </w:rPr>
            </w:pPr>
            <w:r>
              <w:rPr>
                <w:lang w:eastAsia="ja-JP"/>
              </w:rPr>
              <w:t>Fine time tracking latency will be included even when target cell is known.</w:t>
            </w:r>
          </w:p>
          <w:p w:rsidR="008F01D3" w:rsidRDefault="008F01D3" w:rsidP="008F01D3">
            <w:pPr>
              <w:pStyle w:val="af8"/>
              <w:widowControl/>
              <w:numPr>
                <w:ilvl w:val="1"/>
                <w:numId w:val="30"/>
              </w:numPr>
              <w:overflowPunct w:val="0"/>
              <w:autoSpaceDE w:val="0"/>
              <w:autoSpaceDN w:val="0"/>
              <w:adjustRightInd w:val="0"/>
              <w:spacing w:before="0" w:after="180" w:line="276" w:lineRule="auto"/>
              <w:ind w:left="1364" w:firstLineChars="0"/>
              <w:jc w:val="left"/>
              <w:rPr>
                <w:lang w:eastAsia="ja-JP"/>
              </w:rPr>
            </w:pPr>
            <w:r>
              <w:rPr>
                <w:lang w:eastAsia="ja-JP"/>
              </w:rPr>
              <w:t>Additional latency can be added, if identified and needed, based on the detailed design of the feature to be made by RAN1 and RAN2</w:t>
            </w:r>
          </w:p>
          <w:p w:rsidR="006C3AD3" w:rsidRPr="008F01D3" w:rsidRDefault="008F01D3" w:rsidP="008F01D3">
            <w:pPr>
              <w:pStyle w:val="af8"/>
              <w:widowControl/>
              <w:numPr>
                <w:ilvl w:val="0"/>
                <w:numId w:val="30"/>
              </w:numPr>
              <w:overflowPunct w:val="0"/>
              <w:autoSpaceDE w:val="0"/>
              <w:autoSpaceDN w:val="0"/>
              <w:adjustRightInd w:val="0"/>
              <w:spacing w:before="0" w:after="180" w:line="276" w:lineRule="auto"/>
              <w:ind w:left="644" w:firstLineChars="0"/>
              <w:jc w:val="left"/>
              <w:rPr>
                <w:lang w:eastAsia="ja-JP"/>
              </w:rPr>
            </w:pPr>
            <w:r>
              <w:rPr>
                <w:lang w:eastAsia="ja-JP"/>
              </w:rPr>
              <w:t>The detailed formula and exact values in the requirements, e.g. T_IU, T_SI-NR, T_RACH, T_delta, T_processing, T_margin, T_search, etc. if relevant, will be defined in the next meeting accordingly.</w:t>
            </w:r>
          </w:p>
        </w:tc>
      </w:tr>
    </w:tbl>
    <w:p w:rsidR="008F01D3" w:rsidRDefault="008F01D3" w:rsidP="000B1FA7">
      <w:pPr>
        <w:spacing w:beforeLines="50" w:before="120"/>
        <w:rPr>
          <w:lang w:val="en-US" w:eastAsia="zh-CN"/>
        </w:rPr>
      </w:pPr>
      <w:r>
        <w:rPr>
          <w:lang w:val="en-US" w:eastAsia="zh-CN"/>
        </w:rPr>
        <w:lastRenderedPageBreak/>
        <w:t>F</w:t>
      </w:r>
      <w:r>
        <w:rPr>
          <w:rFonts w:hint="eastAsia"/>
          <w:lang w:val="en-US" w:eastAsia="zh-CN"/>
        </w:rPr>
        <w:t xml:space="preserve">or </w:t>
      </w:r>
      <w:r>
        <w:rPr>
          <w:lang w:val="en-US" w:eastAsia="zh-CN"/>
        </w:rPr>
        <w:t>the</w:t>
      </w:r>
      <w:r>
        <w:rPr>
          <w:rFonts w:hint="eastAsia"/>
          <w:lang w:val="en-US" w:eastAsia="zh-CN"/>
        </w:rPr>
        <w:t xml:space="preserve"> delay requirements for RACH-less handover, the legacy NTN handover requirements can be used as baseline, i.e., </w:t>
      </w:r>
      <w:r>
        <w:t>D</w:t>
      </w:r>
      <w:r>
        <w:rPr>
          <w:vertAlign w:val="subscript"/>
        </w:rPr>
        <w:t>handover</w:t>
      </w:r>
      <w:r>
        <w:rPr>
          <w:rFonts w:hint="eastAsia"/>
          <w:vertAlign w:val="subscript"/>
          <w:lang w:eastAsia="zh-CN"/>
        </w:rPr>
        <w:t xml:space="preserve"> </w:t>
      </w:r>
      <w:r>
        <w:rPr>
          <w:rFonts w:hint="eastAsia"/>
          <w:lang w:eastAsia="zh-CN"/>
        </w:rPr>
        <w:t>=T</w:t>
      </w:r>
      <w:r w:rsidRPr="008F01D3">
        <w:rPr>
          <w:rFonts w:hint="eastAsia"/>
          <w:vertAlign w:val="subscript"/>
          <w:lang w:eastAsia="zh-CN"/>
        </w:rPr>
        <w:t>RRC</w:t>
      </w:r>
      <w:r>
        <w:rPr>
          <w:rFonts w:hint="eastAsia"/>
          <w:lang w:eastAsia="zh-CN"/>
        </w:rPr>
        <w:t xml:space="preserve"> + </w:t>
      </w:r>
      <w:r>
        <w:t>T</w:t>
      </w:r>
      <w:r>
        <w:rPr>
          <w:vertAlign w:val="subscript"/>
        </w:rPr>
        <w:t>search</w:t>
      </w:r>
      <w:r>
        <w:t xml:space="preserve"> + T</w:t>
      </w:r>
      <w:r>
        <w:rPr>
          <w:vertAlign w:val="subscript"/>
        </w:rPr>
        <w:t>IU</w:t>
      </w:r>
      <w:r>
        <w:t xml:space="preserve"> + </w:t>
      </w:r>
      <w:proofErr w:type="gramStart"/>
      <w:r>
        <w:t>T</w:t>
      </w:r>
      <w:r>
        <w:rPr>
          <w:vertAlign w:val="subscript"/>
          <w:lang w:eastAsia="zh-CN"/>
        </w:rPr>
        <w:t>processing</w:t>
      </w:r>
      <w:r>
        <w:rPr>
          <w:lang w:eastAsia="zh-CN"/>
        </w:rPr>
        <w:t xml:space="preserve"> </w:t>
      </w:r>
      <w:r>
        <w:rPr>
          <w:vertAlign w:val="subscript"/>
          <w:lang w:eastAsia="zh-CN"/>
        </w:rPr>
        <w:t xml:space="preserve"> </w:t>
      </w:r>
      <w:r>
        <w:rPr>
          <w:lang w:eastAsia="zh-CN"/>
        </w:rPr>
        <w:t>+</w:t>
      </w:r>
      <w:proofErr w:type="gramEnd"/>
      <w:r>
        <w:rPr>
          <w:lang w:eastAsia="zh-CN"/>
        </w:rPr>
        <w:t xml:space="preserve"> T</w:t>
      </w:r>
      <w:r>
        <w:rPr>
          <w:vertAlign w:val="subscript"/>
          <w:lang w:eastAsia="zh-CN"/>
        </w:rPr>
        <w:t>∆</w:t>
      </w:r>
      <w:r>
        <w:rPr>
          <w:lang w:eastAsia="zh-CN"/>
        </w:rPr>
        <w:t xml:space="preserve"> + T</w:t>
      </w:r>
      <w:r>
        <w:rPr>
          <w:vertAlign w:val="subscript"/>
          <w:lang w:eastAsia="zh-CN"/>
        </w:rPr>
        <w:t>margin</w:t>
      </w:r>
      <w:r>
        <w:rPr>
          <w:rFonts w:hint="eastAsia"/>
          <w:lang w:val="en-US" w:eastAsia="zh-CN"/>
        </w:rPr>
        <w:t xml:space="preserve">. </w:t>
      </w:r>
      <w:r w:rsidR="00E73F36">
        <w:rPr>
          <w:lang w:val="en-US" w:eastAsia="zh-CN"/>
        </w:rPr>
        <w:t>F</w:t>
      </w:r>
      <w:r w:rsidR="00E73F36">
        <w:rPr>
          <w:rFonts w:hint="eastAsia"/>
          <w:lang w:val="en-US" w:eastAsia="zh-CN"/>
        </w:rPr>
        <w:t>or RACH-less handover, the ending point should be redefined as the first UL transmission on the target cell and T</w:t>
      </w:r>
      <w:r w:rsidR="00E73F36" w:rsidRPr="0075067A">
        <w:rPr>
          <w:rFonts w:hint="eastAsia"/>
          <w:vertAlign w:val="subscript"/>
          <w:lang w:val="en-US" w:eastAsia="zh-CN"/>
        </w:rPr>
        <w:t>IU</w:t>
      </w:r>
      <w:r w:rsidR="00E73F36">
        <w:rPr>
          <w:rFonts w:hint="eastAsia"/>
          <w:lang w:val="en-US" w:eastAsia="zh-CN"/>
        </w:rPr>
        <w:t xml:space="preserve"> is the uncertainty for </w:t>
      </w:r>
      <w:r w:rsidR="00E73F36">
        <w:rPr>
          <w:lang w:val="en-US" w:eastAsia="zh-CN"/>
        </w:rPr>
        <w:t>acquiring</w:t>
      </w:r>
      <w:r w:rsidR="00E73F36">
        <w:rPr>
          <w:rFonts w:hint="eastAsia"/>
          <w:lang w:val="en-US" w:eastAsia="zh-CN"/>
        </w:rPr>
        <w:t xml:space="preserve"> </w:t>
      </w:r>
      <w:r w:rsidR="00E73F36">
        <w:rPr>
          <w:lang w:val="en-US" w:eastAsia="zh-CN"/>
        </w:rPr>
        <w:t>the</w:t>
      </w:r>
      <w:r w:rsidR="00E73F36">
        <w:rPr>
          <w:rFonts w:hint="eastAsia"/>
          <w:lang w:val="en-US" w:eastAsia="zh-CN"/>
        </w:rPr>
        <w:t xml:space="preserve"> first UL reporting resource. </w:t>
      </w:r>
    </w:p>
    <w:p w:rsidR="0075067A" w:rsidRPr="0075067A" w:rsidRDefault="0075067A" w:rsidP="0075067A">
      <w:pPr>
        <w:spacing w:beforeLines="50" w:before="120"/>
        <w:rPr>
          <w:b/>
          <w:lang w:val="en-US" w:eastAsia="zh-CN"/>
        </w:rPr>
      </w:pPr>
      <w:r w:rsidRPr="0075067A">
        <w:rPr>
          <w:b/>
          <w:lang w:val="en-US" w:eastAsia="zh-CN"/>
        </w:rPr>
        <w:t>P</w:t>
      </w:r>
      <w:r w:rsidRPr="0075067A">
        <w:rPr>
          <w:rFonts w:hint="eastAsia"/>
          <w:b/>
          <w:lang w:val="en-US" w:eastAsia="zh-CN"/>
        </w:rPr>
        <w:t xml:space="preserve">roposal 5: The delay requirement for RACH-less HO is defined as </w:t>
      </w:r>
      <w:r w:rsidRPr="0075067A">
        <w:rPr>
          <w:b/>
        </w:rPr>
        <w:t>D</w:t>
      </w:r>
      <w:r w:rsidRPr="0075067A">
        <w:rPr>
          <w:b/>
          <w:vertAlign w:val="subscript"/>
        </w:rPr>
        <w:t>handover</w:t>
      </w:r>
      <w:r w:rsidRPr="0075067A">
        <w:rPr>
          <w:rFonts w:hint="eastAsia"/>
          <w:b/>
          <w:vertAlign w:val="subscript"/>
          <w:lang w:eastAsia="zh-CN"/>
        </w:rPr>
        <w:t xml:space="preserve"> </w:t>
      </w:r>
      <w:r w:rsidRPr="0075067A">
        <w:rPr>
          <w:rFonts w:hint="eastAsia"/>
          <w:b/>
          <w:lang w:eastAsia="zh-CN"/>
        </w:rPr>
        <w:t>=T</w:t>
      </w:r>
      <w:r w:rsidRPr="0075067A">
        <w:rPr>
          <w:rFonts w:hint="eastAsia"/>
          <w:b/>
          <w:vertAlign w:val="subscript"/>
          <w:lang w:eastAsia="zh-CN"/>
        </w:rPr>
        <w:t>RRC</w:t>
      </w:r>
      <w:r w:rsidRPr="0075067A">
        <w:rPr>
          <w:rFonts w:hint="eastAsia"/>
          <w:b/>
          <w:lang w:eastAsia="zh-CN"/>
        </w:rPr>
        <w:t xml:space="preserve"> + </w:t>
      </w:r>
      <w:r w:rsidRPr="0075067A">
        <w:rPr>
          <w:b/>
        </w:rPr>
        <w:t>T</w:t>
      </w:r>
      <w:r w:rsidRPr="0075067A">
        <w:rPr>
          <w:b/>
          <w:vertAlign w:val="subscript"/>
        </w:rPr>
        <w:t>search</w:t>
      </w:r>
      <w:r w:rsidRPr="0075067A">
        <w:rPr>
          <w:b/>
        </w:rPr>
        <w:t xml:space="preserve"> + T</w:t>
      </w:r>
      <w:r w:rsidRPr="0075067A">
        <w:rPr>
          <w:b/>
          <w:vertAlign w:val="subscript"/>
        </w:rPr>
        <w:t>IU</w:t>
      </w:r>
      <w:r w:rsidRPr="0075067A">
        <w:rPr>
          <w:b/>
        </w:rPr>
        <w:t xml:space="preserve"> + T</w:t>
      </w:r>
      <w:r w:rsidRPr="0075067A">
        <w:rPr>
          <w:b/>
          <w:vertAlign w:val="subscript"/>
          <w:lang w:eastAsia="zh-CN"/>
        </w:rPr>
        <w:t>processing</w:t>
      </w:r>
      <w:r w:rsidRPr="0075067A">
        <w:rPr>
          <w:b/>
          <w:lang w:eastAsia="zh-CN"/>
        </w:rPr>
        <w:t xml:space="preserve"> </w:t>
      </w:r>
      <w:r w:rsidRPr="0075067A">
        <w:rPr>
          <w:b/>
          <w:vertAlign w:val="subscript"/>
          <w:lang w:eastAsia="zh-CN"/>
        </w:rPr>
        <w:t xml:space="preserve"> </w:t>
      </w:r>
      <w:r w:rsidRPr="0075067A">
        <w:rPr>
          <w:b/>
          <w:lang w:eastAsia="zh-CN"/>
        </w:rPr>
        <w:t>+ T</w:t>
      </w:r>
      <w:r w:rsidRPr="0075067A">
        <w:rPr>
          <w:b/>
          <w:vertAlign w:val="subscript"/>
          <w:lang w:eastAsia="zh-CN"/>
        </w:rPr>
        <w:t>∆</w:t>
      </w:r>
      <w:r w:rsidRPr="0075067A">
        <w:rPr>
          <w:b/>
          <w:lang w:eastAsia="zh-CN"/>
        </w:rPr>
        <w:t xml:space="preserve"> + T</w:t>
      </w:r>
      <w:r w:rsidRPr="0075067A">
        <w:rPr>
          <w:b/>
          <w:vertAlign w:val="subscript"/>
          <w:lang w:eastAsia="zh-CN"/>
        </w:rPr>
        <w:t>margin</w:t>
      </w:r>
      <w:r w:rsidRPr="0075067A">
        <w:rPr>
          <w:rFonts w:hint="eastAsia"/>
          <w:b/>
          <w:lang w:eastAsia="zh-CN"/>
        </w:rPr>
        <w:t xml:space="preserve">, where  </w:t>
      </w:r>
      <w:r w:rsidRPr="0075067A">
        <w:rPr>
          <w:rFonts w:hint="eastAsia"/>
          <w:b/>
          <w:lang w:val="en-US" w:eastAsia="zh-CN"/>
        </w:rPr>
        <w:t>T</w:t>
      </w:r>
      <w:r w:rsidRPr="0075067A">
        <w:rPr>
          <w:rFonts w:hint="eastAsia"/>
          <w:b/>
          <w:vertAlign w:val="subscript"/>
          <w:lang w:val="en-US" w:eastAsia="zh-CN"/>
        </w:rPr>
        <w:t>IU</w:t>
      </w:r>
      <w:r w:rsidRPr="0075067A">
        <w:rPr>
          <w:rFonts w:hint="eastAsia"/>
          <w:b/>
          <w:lang w:val="en-US" w:eastAsia="zh-CN"/>
        </w:rPr>
        <w:t xml:space="preserve"> is the uncertainty for </w:t>
      </w:r>
      <w:r w:rsidRPr="0075067A">
        <w:rPr>
          <w:b/>
          <w:lang w:val="en-US" w:eastAsia="zh-CN"/>
        </w:rPr>
        <w:t>acquiring</w:t>
      </w:r>
      <w:r w:rsidRPr="0075067A">
        <w:rPr>
          <w:rFonts w:hint="eastAsia"/>
          <w:b/>
          <w:lang w:val="en-US" w:eastAsia="zh-CN"/>
        </w:rPr>
        <w:t xml:space="preserve"> </w:t>
      </w:r>
      <w:r w:rsidRPr="0075067A">
        <w:rPr>
          <w:b/>
          <w:lang w:val="en-US" w:eastAsia="zh-CN"/>
        </w:rPr>
        <w:t>the</w:t>
      </w:r>
      <w:r w:rsidRPr="0075067A">
        <w:rPr>
          <w:rFonts w:hint="eastAsia"/>
          <w:b/>
          <w:lang w:val="en-US" w:eastAsia="zh-CN"/>
        </w:rPr>
        <w:t xml:space="preserve"> first UL reporting resource and the other components are same as the legacy NTN handover.</w:t>
      </w:r>
    </w:p>
    <w:p w:rsidR="0075067A" w:rsidRDefault="009529F5" w:rsidP="000B1FA7">
      <w:pPr>
        <w:spacing w:beforeLines="50" w:before="120"/>
        <w:rPr>
          <w:lang w:val="en-US" w:eastAsia="zh-CN"/>
        </w:rPr>
      </w:pPr>
      <w:r>
        <w:rPr>
          <w:lang w:val="en-US" w:eastAsia="zh-CN"/>
        </w:rPr>
        <w:t>B</w:t>
      </w:r>
      <w:r>
        <w:rPr>
          <w:rFonts w:hint="eastAsia"/>
          <w:lang w:val="en-US" w:eastAsia="zh-CN"/>
        </w:rPr>
        <w:t>ased on RAN2 agreements in the Annex, group handover is not pursued in Rel-18 and RAN4 don</w:t>
      </w:r>
      <w:r>
        <w:rPr>
          <w:lang w:val="en-US" w:eastAsia="zh-CN"/>
        </w:rPr>
        <w:t>’</w:t>
      </w:r>
      <w:r>
        <w:rPr>
          <w:rFonts w:hint="eastAsia"/>
          <w:lang w:val="en-US" w:eastAsia="zh-CN"/>
        </w:rPr>
        <w:t xml:space="preserve">t need to </w:t>
      </w:r>
      <w:r>
        <w:rPr>
          <w:lang w:val="en-US" w:eastAsia="zh-CN"/>
        </w:rPr>
        <w:t>further</w:t>
      </w:r>
      <w:r>
        <w:rPr>
          <w:rFonts w:hint="eastAsia"/>
          <w:lang w:val="en-US" w:eastAsia="zh-CN"/>
        </w:rPr>
        <w:t xml:space="preserve"> discuss. </w:t>
      </w:r>
    </w:p>
    <w:p w:rsidR="009529F5" w:rsidRPr="0075067A" w:rsidRDefault="009529F5" w:rsidP="009529F5">
      <w:pPr>
        <w:spacing w:beforeLines="50" w:before="120"/>
        <w:rPr>
          <w:b/>
          <w:lang w:val="en-US" w:eastAsia="zh-CN"/>
        </w:rPr>
      </w:pPr>
      <w:r w:rsidRPr="0075067A">
        <w:rPr>
          <w:b/>
          <w:lang w:val="en-US" w:eastAsia="zh-CN"/>
        </w:rPr>
        <w:t>P</w:t>
      </w:r>
      <w:r w:rsidRPr="0075067A">
        <w:rPr>
          <w:rFonts w:hint="eastAsia"/>
          <w:b/>
          <w:lang w:val="en-US" w:eastAsia="zh-CN"/>
        </w:rPr>
        <w:t xml:space="preserve">roposal </w:t>
      </w:r>
      <w:r>
        <w:rPr>
          <w:rFonts w:hint="eastAsia"/>
          <w:b/>
          <w:lang w:val="en-US" w:eastAsia="zh-CN"/>
        </w:rPr>
        <w:t>6</w:t>
      </w:r>
      <w:r w:rsidRPr="0075067A">
        <w:rPr>
          <w:rFonts w:hint="eastAsia"/>
          <w:b/>
          <w:lang w:val="en-US" w:eastAsia="zh-CN"/>
        </w:rPr>
        <w:t xml:space="preserve">: </w:t>
      </w:r>
      <w:r>
        <w:rPr>
          <w:rFonts w:hint="eastAsia"/>
          <w:b/>
          <w:lang w:val="en-US" w:eastAsia="zh-CN"/>
        </w:rPr>
        <w:t>Group handover is not supported in Rel-18 based on RAN2 conclusion</w:t>
      </w:r>
      <w:r w:rsidRPr="0075067A">
        <w:rPr>
          <w:rFonts w:hint="eastAsia"/>
          <w:b/>
          <w:lang w:val="en-US" w:eastAsia="zh-CN"/>
        </w:rPr>
        <w:t>.</w:t>
      </w:r>
    </w:p>
    <w:p w:rsidR="00D137A8" w:rsidRPr="00C52F00" w:rsidRDefault="00FD5946" w:rsidP="00A16D08">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1F4417">
        <w:rPr>
          <w:rFonts w:hint="eastAsia"/>
          <w:lang w:val="en-US" w:eastAsia="zh-CN"/>
        </w:rPr>
        <w:t xml:space="preserve">we </w:t>
      </w:r>
      <w:r w:rsidR="00927368">
        <w:rPr>
          <w:rFonts w:hint="eastAsia"/>
          <w:lang w:val="en-US" w:eastAsia="zh-CN"/>
        </w:rPr>
        <w:t>have</w:t>
      </w:r>
      <w:r w:rsidR="001F4417">
        <w:rPr>
          <w:rFonts w:hint="eastAsia"/>
          <w:lang w:val="en-US" w:eastAsia="zh-CN"/>
        </w:rPr>
        <w:t xml:space="preserve"> some discussions on </w:t>
      </w:r>
      <w:r w:rsidR="005D504C">
        <w:rPr>
          <w:rFonts w:hint="eastAsia"/>
          <w:lang w:val="en-US" w:eastAsia="zh-CN"/>
        </w:rPr>
        <w:t>possible RRM impact for NTN enhancement</w:t>
      </w:r>
      <w:r w:rsidR="00190BE6">
        <w:rPr>
          <w:rFonts w:hint="eastAsia"/>
          <w:lang w:val="en-US" w:eastAsia="zh-CN"/>
        </w:rPr>
        <w:t xml:space="preserve">, </w:t>
      </w:r>
      <w:r w:rsidR="001F4417">
        <w:rPr>
          <w:rFonts w:hint="eastAsia"/>
          <w:lang w:val="en-US" w:eastAsia="zh-CN"/>
        </w:rPr>
        <w:t xml:space="preserve">the </w:t>
      </w:r>
      <w:r w:rsidR="00AD4048" w:rsidRPr="00D55E8E">
        <w:rPr>
          <w:rFonts w:hint="eastAsia"/>
          <w:lang w:val="en-US" w:eastAsia="zh-CN"/>
        </w:rPr>
        <w:t xml:space="preserve">following </w:t>
      </w:r>
      <w:r w:rsidR="009D09E7">
        <w:rPr>
          <w:rFonts w:hint="eastAsia"/>
          <w:lang w:val="en-US" w:eastAsia="zh-CN"/>
        </w:rPr>
        <w:t xml:space="preserve">observations and </w:t>
      </w:r>
      <w:r w:rsidR="00AD4048" w:rsidRPr="00D55E8E">
        <w:rPr>
          <w:rFonts w:hint="eastAsia"/>
          <w:lang w:val="en-US" w:eastAsia="zh-CN"/>
        </w:rPr>
        <w:t>proposals are given</w:t>
      </w:r>
      <w:r w:rsidR="00C04C0A">
        <w:rPr>
          <w:rFonts w:hint="eastAsia"/>
          <w:lang w:val="en-US" w:eastAsia="zh-CN"/>
        </w:rPr>
        <w:t xml:space="preserve">: </w:t>
      </w:r>
    </w:p>
    <w:p w:rsidR="00FC5C00" w:rsidRDefault="00FC5C00" w:rsidP="00FC5C00">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1</w:t>
      </w:r>
      <w:r w:rsidRPr="00BE1E07">
        <w:rPr>
          <w:rFonts w:hint="eastAsia"/>
          <w:b/>
          <w:lang w:val="en-US" w:eastAsia="zh-CN"/>
        </w:rPr>
        <w:t xml:space="preserve">: </w:t>
      </w:r>
      <w:r>
        <w:rPr>
          <w:rFonts w:hint="eastAsia"/>
          <w:b/>
          <w:lang w:val="en-US" w:eastAsia="zh-CN"/>
        </w:rPr>
        <w:t xml:space="preserve">For location-based cell reselection, </w:t>
      </w:r>
      <w:r w:rsidRPr="00F87B88">
        <w:rPr>
          <w:b/>
          <w:lang w:val="en-US" w:eastAsia="zh-CN"/>
        </w:rPr>
        <w:t xml:space="preserve">serving cell coverage information is </w:t>
      </w:r>
      <w:r>
        <w:rPr>
          <w:rFonts w:hint="eastAsia"/>
          <w:b/>
          <w:lang w:val="en-US" w:eastAsia="zh-CN"/>
        </w:rPr>
        <w:t>not</w:t>
      </w:r>
      <w:r w:rsidRPr="00F87B88">
        <w:rPr>
          <w:b/>
          <w:lang w:val="en-US" w:eastAsia="zh-CN"/>
        </w:rPr>
        <w:t xml:space="preserve"> necessary</w:t>
      </w:r>
      <w:r>
        <w:rPr>
          <w:rFonts w:hint="eastAsia"/>
          <w:b/>
          <w:lang w:val="en-US" w:eastAsia="zh-CN"/>
        </w:rPr>
        <w:t>.</w:t>
      </w:r>
      <w:r w:rsidRPr="00BE1E07">
        <w:rPr>
          <w:rFonts w:hint="eastAsia"/>
          <w:b/>
          <w:lang w:val="en-US" w:eastAsia="zh-CN"/>
        </w:rPr>
        <w:t xml:space="preserve"> </w:t>
      </w:r>
    </w:p>
    <w:p w:rsidR="00FC5C00" w:rsidRPr="006C3AD3" w:rsidRDefault="00FC5C00" w:rsidP="00FC5C00">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2</w:t>
      </w:r>
      <w:r w:rsidRPr="00BE1E07">
        <w:rPr>
          <w:rFonts w:hint="eastAsia"/>
          <w:b/>
          <w:lang w:val="en-US" w:eastAsia="zh-CN"/>
        </w:rPr>
        <w:t xml:space="preserve">: </w:t>
      </w:r>
      <w:r>
        <w:rPr>
          <w:rFonts w:hint="eastAsia"/>
          <w:b/>
          <w:lang w:val="en-US" w:eastAsia="zh-CN"/>
        </w:rPr>
        <w:t>RAN4 to add the clarification on the frequency coverage of neighbor cell in the cell reselection after RAN2 concludes it.</w:t>
      </w:r>
      <w:r w:rsidRPr="00BE1E07">
        <w:rPr>
          <w:rFonts w:hint="eastAsia"/>
          <w:b/>
          <w:lang w:val="en-US" w:eastAsia="zh-CN"/>
        </w:rPr>
        <w:t xml:space="preserve"> </w:t>
      </w:r>
    </w:p>
    <w:p w:rsidR="00FC5C00" w:rsidRPr="00752431" w:rsidRDefault="00FC5C00" w:rsidP="00FC5C00">
      <w:pPr>
        <w:spacing w:beforeLines="50" w:before="120"/>
        <w:rPr>
          <w:b/>
          <w:lang w:eastAsia="zh-CN"/>
        </w:rPr>
      </w:pPr>
      <w:r w:rsidRPr="00752431">
        <w:rPr>
          <w:b/>
          <w:lang w:val="en-US" w:eastAsia="zh-CN"/>
        </w:rPr>
        <w:t>P</w:t>
      </w:r>
      <w:r w:rsidRPr="00752431">
        <w:rPr>
          <w:rFonts w:hint="eastAsia"/>
          <w:b/>
          <w:lang w:val="en-US" w:eastAsia="zh-CN"/>
        </w:rPr>
        <w:t xml:space="preserve">roposal 3: </w:t>
      </w:r>
      <w:r w:rsidRPr="00752431">
        <w:rPr>
          <w:b/>
          <w:lang w:eastAsia="zh-CN"/>
        </w:rPr>
        <w:t>F</w:t>
      </w:r>
      <w:r w:rsidRPr="00752431">
        <w:rPr>
          <w:rFonts w:hint="eastAsia"/>
          <w:b/>
          <w:lang w:eastAsia="zh-CN"/>
        </w:rPr>
        <w:t>or NTN-to-TN cell reselection, UE is not required to perform measurement when the UE is out of TN coverage.</w:t>
      </w:r>
    </w:p>
    <w:p w:rsidR="00FC5C00" w:rsidRPr="00601A98" w:rsidRDefault="00FC5C00" w:rsidP="00FC5C00">
      <w:pPr>
        <w:spacing w:beforeLines="50" w:before="120"/>
        <w:rPr>
          <w:b/>
          <w:lang w:val="en-US" w:eastAsia="zh-CN"/>
        </w:rPr>
      </w:pPr>
      <w:r w:rsidRPr="00601A98">
        <w:rPr>
          <w:b/>
          <w:lang w:val="en-US" w:eastAsia="zh-CN"/>
        </w:rPr>
        <w:t>P</w:t>
      </w:r>
      <w:r w:rsidRPr="00601A98">
        <w:rPr>
          <w:rFonts w:hint="eastAsia"/>
          <w:b/>
          <w:lang w:val="en-US" w:eastAsia="zh-CN"/>
        </w:rPr>
        <w:t xml:space="preserve">roposal </w:t>
      </w:r>
      <w:r>
        <w:rPr>
          <w:rFonts w:hint="eastAsia"/>
          <w:b/>
          <w:lang w:val="en-US" w:eastAsia="zh-CN"/>
        </w:rPr>
        <w:t>4</w:t>
      </w:r>
      <w:r w:rsidRPr="00601A98">
        <w:rPr>
          <w:rFonts w:hint="eastAsia"/>
          <w:b/>
          <w:lang w:val="en-US" w:eastAsia="zh-CN"/>
        </w:rPr>
        <w:t xml:space="preserve">: Define requirements for TN-to-NTN cell reselection. </w:t>
      </w:r>
      <w:r w:rsidRPr="00601A98">
        <w:rPr>
          <w:b/>
          <w:lang w:val="en-US" w:eastAsia="zh-CN"/>
        </w:rPr>
        <w:t>A</w:t>
      </w:r>
      <w:r w:rsidRPr="00601A98">
        <w:rPr>
          <w:rFonts w:hint="eastAsia"/>
          <w:b/>
          <w:lang w:val="en-US" w:eastAsia="zh-CN"/>
        </w:rPr>
        <w:t xml:space="preserve">nd </w:t>
      </w:r>
      <w:r w:rsidRPr="00601A98">
        <w:rPr>
          <w:rFonts w:hint="eastAsia"/>
          <w:b/>
          <w:lang w:eastAsia="zh-CN"/>
        </w:rPr>
        <w:t>the side condition of assistance information in Rel-17 with the listed parameters of</w:t>
      </w:r>
      <w:r w:rsidRPr="00601A98">
        <w:rPr>
          <w:b/>
          <w:lang w:eastAsia="zh-CN"/>
        </w:rPr>
        <w:t xml:space="preserve"> target satellite </w:t>
      </w:r>
      <w:r w:rsidRPr="00601A98">
        <w:rPr>
          <w:rFonts w:hint="eastAsia"/>
          <w:b/>
          <w:lang w:eastAsia="zh-CN"/>
        </w:rPr>
        <w:t>can be used as the starting point</w:t>
      </w:r>
      <w:r w:rsidRPr="00601A98">
        <w:rPr>
          <w:b/>
          <w:lang w:eastAsia="zh-CN"/>
        </w:rPr>
        <w:t>.</w:t>
      </w:r>
      <w:r w:rsidRPr="00601A98">
        <w:rPr>
          <w:rFonts w:hint="eastAsia"/>
          <w:b/>
          <w:lang w:eastAsia="zh-CN"/>
        </w:rPr>
        <w:t xml:space="preserve"> </w:t>
      </w:r>
    </w:p>
    <w:p w:rsidR="00FC5C00" w:rsidRPr="0075067A" w:rsidRDefault="00FC5C00" w:rsidP="00FC5C00">
      <w:pPr>
        <w:spacing w:beforeLines="50" w:before="120"/>
        <w:rPr>
          <w:b/>
          <w:lang w:val="en-US" w:eastAsia="zh-CN"/>
        </w:rPr>
      </w:pPr>
      <w:r w:rsidRPr="0075067A">
        <w:rPr>
          <w:b/>
          <w:lang w:val="en-US" w:eastAsia="zh-CN"/>
        </w:rPr>
        <w:t>P</w:t>
      </w:r>
      <w:r w:rsidRPr="0075067A">
        <w:rPr>
          <w:rFonts w:hint="eastAsia"/>
          <w:b/>
          <w:lang w:val="en-US" w:eastAsia="zh-CN"/>
        </w:rPr>
        <w:t xml:space="preserve">roposal 5: The delay requirement for RACH-less HO is defined as </w:t>
      </w:r>
      <w:r w:rsidRPr="0075067A">
        <w:rPr>
          <w:b/>
        </w:rPr>
        <w:t>D</w:t>
      </w:r>
      <w:r w:rsidRPr="0075067A">
        <w:rPr>
          <w:b/>
          <w:vertAlign w:val="subscript"/>
        </w:rPr>
        <w:t>handover</w:t>
      </w:r>
      <w:r w:rsidRPr="0075067A">
        <w:rPr>
          <w:rFonts w:hint="eastAsia"/>
          <w:b/>
          <w:vertAlign w:val="subscript"/>
          <w:lang w:eastAsia="zh-CN"/>
        </w:rPr>
        <w:t xml:space="preserve"> </w:t>
      </w:r>
      <w:r w:rsidRPr="0075067A">
        <w:rPr>
          <w:rFonts w:hint="eastAsia"/>
          <w:b/>
          <w:lang w:eastAsia="zh-CN"/>
        </w:rPr>
        <w:t>=T</w:t>
      </w:r>
      <w:r w:rsidRPr="0075067A">
        <w:rPr>
          <w:rFonts w:hint="eastAsia"/>
          <w:b/>
          <w:vertAlign w:val="subscript"/>
          <w:lang w:eastAsia="zh-CN"/>
        </w:rPr>
        <w:t>RRC</w:t>
      </w:r>
      <w:r w:rsidRPr="0075067A">
        <w:rPr>
          <w:rFonts w:hint="eastAsia"/>
          <w:b/>
          <w:lang w:eastAsia="zh-CN"/>
        </w:rPr>
        <w:t xml:space="preserve"> + </w:t>
      </w:r>
      <w:r w:rsidRPr="0075067A">
        <w:rPr>
          <w:b/>
        </w:rPr>
        <w:t>T</w:t>
      </w:r>
      <w:r w:rsidRPr="0075067A">
        <w:rPr>
          <w:b/>
          <w:vertAlign w:val="subscript"/>
        </w:rPr>
        <w:t>search</w:t>
      </w:r>
      <w:r w:rsidRPr="0075067A">
        <w:rPr>
          <w:b/>
        </w:rPr>
        <w:t xml:space="preserve"> + T</w:t>
      </w:r>
      <w:r w:rsidRPr="0075067A">
        <w:rPr>
          <w:b/>
          <w:vertAlign w:val="subscript"/>
        </w:rPr>
        <w:t>IU</w:t>
      </w:r>
      <w:r w:rsidRPr="0075067A">
        <w:rPr>
          <w:b/>
        </w:rPr>
        <w:t xml:space="preserve"> + T</w:t>
      </w:r>
      <w:r w:rsidRPr="0075067A">
        <w:rPr>
          <w:b/>
          <w:vertAlign w:val="subscript"/>
          <w:lang w:eastAsia="zh-CN"/>
        </w:rPr>
        <w:t>processing</w:t>
      </w:r>
      <w:r w:rsidRPr="0075067A">
        <w:rPr>
          <w:b/>
          <w:lang w:eastAsia="zh-CN"/>
        </w:rPr>
        <w:t xml:space="preserve"> </w:t>
      </w:r>
      <w:r w:rsidRPr="0075067A">
        <w:rPr>
          <w:b/>
          <w:vertAlign w:val="subscript"/>
          <w:lang w:eastAsia="zh-CN"/>
        </w:rPr>
        <w:t xml:space="preserve"> </w:t>
      </w:r>
      <w:r w:rsidRPr="0075067A">
        <w:rPr>
          <w:b/>
          <w:lang w:eastAsia="zh-CN"/>
        </w:rPr>
        <w:t>+ T</w:t>
      </w:r>
      <w:r w:rsidRPr="0075067A">
        <w:rPr>
          <w:b/>
          <w:vertAlign w:val="subscript"/>
          <w:lang w:eastAsia="zh-CN"/>
        </w:rPr>
        <w:t>∆</w:t>
      </w:r>
      <w:r w:rsidRPr="0075067A">
        <w:rPr>
          <w:b/>
          <w:lang w:eastAsia="zh-CN"/>
        </w:rPr>
        <w:t xml:space="preserve"> + T</w:t>
      </w:r>
      <w:r w:rsidRPr="0075067A">
        <w:rPr>
          <w:b/>
          <w:vertAlign w:val="subscript"/>
          <w:lang w:eastAsia="zh-CN"/>
        </w:rPr>
        <w:t>margin</w:t>
      </w:r>
      <w:r w:rsidRPr="0075067A">
        <w:rPr>
          <w:rFonts w:hint="eastAsia"/>
          <w:b/>
          <w:lang w:eastAsia="zh-CN"/>
        </w:rPr>
        <w:t xml:space="preserve">, where  </w:t>
      </w:r>
      <w:r w:rsidRPr="0075067A">
        <w:rPr>
          <w:rFonts w:hint="eastAsia"/>
          <w:b/>
          <w:lang w:val="en-US" w:eastAsia="zh-CN"/>
        </w:rPr>
        <w:t>T</w:t>
      </w:r>
      <w:r w:rsidRPr="0075067A">
        <w:rPr>
          <w:rFonts w:hint="eastAsia"/>
          <w:b/>
          <w:vertAlign w:val="subscript"/>
          <w:lang w:val="en-US" w:eastAsia="zh-CN"/>
        </w:rPr>
        <w:t>IU</w:t>
      </w:r>
      <w:r w:rsidRPr="0075067A">
        <w:rPr>
          <w:rFonts w:hint="eastAsia"/>
          <w:b/>
          <w:lang w:val="en-US" w:eastAsia="zh-CN"/>
        </w:rPr>
        <w:t xml:space="preserve"> is the uncertainty for </w:t>
      </w:r>
      <w:r w:rsidRPr="0075067A">
        <w:rPr>
          <w:b/>
          <w:lang w:val="en-US" w:eastAsia="zh-CN"/>
        </w:rPr>
        <w:t>acquiring</w:t>
      </w:r>
      <w:r w:rsidRPr="0075067A">
        <w:rPr>
          <w:rFonts w:hint="eastAsia"/>
          <w:b/>
          <w:lang w:val="en-US" w:eastAsia="zh-CN"/>
        </w:rPr>
        <w:t xml:space="preserve"> </w:t>
      </w:r>
      <w:r w:rsidRPr="0075067A">
        <w:rPr>
          <w:b/>
          <w:lang w:val="en-US" w:eastAsia="zh-CN"/>
        </w:rPr>
        <w:t>the</w:t>
      </w:r>
      <w:r w:rsidRPr="0075067A">
        <w:rPr>
          <w:rFonts w:hint="eastAsia"/>
          <w:b/>
          <w:lang w:val="en-US" w:eastAsia="zh-CN"/>
        </w:rPr>
        <w:t xml:space="preserve"> first UL reporting resource and the other components are same as the legacy NTN handover.</w:t>
      </w:r>
    </w:p>
    <w:p w:rsidR="00655889" w:rsidRPr="00FC5C00" w:rsidRDefault="00FC5C00" w:rsidP="00FC5C00">
      <w:pPr>
        <w:spacing w:beforeLines="50" w:before="120"/>
        <w:rPr>
          <w:b/>
          <w:lang w:val="en-US" w:eastAsia="zh-CN"/>
        </w:rPr>
      </w:pPr>
      <w:r w:rsidRPr="0075067A">
        <w:rPr>
          <w:b/>
          <w:lang w:val="en-US" w:eastAsia="zh-CN"/>
        </w:rPr>
        <w:t>P</w:t>
      </w:r>
      <w:r w:rsidRPr="0075067A">
        <w:rPr>
          <w:rFonts w:hint="eastAsia"/>
          <w:b/>
          <w:lang w:val="en-US" w:eastAsia="zh-CN"/>
        </w:rPr>
        <w:t xml:space="preserve">roposal </w:t>
      </w:r>
      <w:r>
        <w:rPr>
          <w:rFonts w:hint="eastAsia"/>
          <w:b/>
          <w:lang w:val="en-US" w:eastAsia="zh-CN"/>
        </w:rPr>
        <w:t>6</w:t>
      </w:r>
      <w:r w:rsidRPr="0075067A">
        <w:rPr>
          <w:rFonts w:hint="eastAsia"/>
          <w:b/>
          <w:lang w:val="en-US" w:eastAsia="zh-CN"/>
        </w:rPr>
        <w:t xml:space="preserve">: </w:t>
      </w:r>
      <w:r>
        <w:rPr>
          <w:rFonts w:hint="eastAsia"/>
          <w:b/>
          <w:lang w:val="en-US" w:eastAsia="zh-CN"/>
        </w:rPr>
        <w:t>Group handover is not supported in Rel-18 based on RAN2 conclusion</w:t>
      </w:r>
      <w:r w:rsidRPr="0075067A">
        <w:rPr>
          <w:rFonts w:hint="eastAsia"/>
          <w:b/>
          <w:lang w:val="en-US" w:eastAsia="zh-CN"/>
        </w:rPr>
        <w:t>.</w:t>
      </w:r>
      <w:r>
        <w:rPr>
          <w:rFonts w:hint="eastAsia"/>
          <w:b/>
          <w:lang w:val="en-US" w:eastAsia="zh-CN"/>
        </w:rPr>
        <w:t xml:space="preserve"> </w:t>
      </w:r>
    </w:p>
    <w:p w:rsidR="00451C3D" w:rsidRPr="00451C3D" w:rsidRDefault="00FD5946" w:rsidP="005E230F">
      <w:pPr>
        <w:pStyle w:val="1"/>
        <w:rPr>
          <w:lang w:val="en-US" w:eastAsia="zh-CN"/>
        </w:rPr>
      </w:pPr>
      <w:r>
        <w:rPr>
          <w:rFonts w:hint="eastAsia"/>
          <w:lang w:val="en-US" w:eastAsia="zh-CN"/>
        </w:rPr>
        <w:t xml:space="preserve">4 </w:t>
      </w:r>
      <w:r w:rsidR="0032738F" w:rsidRPr="00AC7DE5">
        <w:rPr>
          <w:lang w:val="en-US" w:eastAsia="zh-CN"/>
        </w:rPr>
        <w:t>References</w:t>
      </w:r>
    </w:p>
    <w:p w:rsidR="00A00493" w:rsidRPr="00A00493" w:rsidRDefault="00D9675C" w:rsidP="00D9675C">
      <w:pPr>
        <w:pStyle w:val="af8"/>
        <w:numPr>
          <w:ilvl w:val="0"/>
          <w:numId w:val="3"/>
        </w:numPr>
        <w:ind w:firstLineChars="0"/>
        <w:rPr>
          <w:sz w:val="20"/>
        </w:rPr>
      </w:pPr>
      <w:r w:rsidRPr="00D9675C">
        <w:rPr>
          <w:sz w:val="20"/>
        </w:rPr>
        <w:t>R4-2310168</w:t>
      </w:r>
      <w:r>
        <w:rPr>
          <w:rFonts w:hint="eastAsia"/>
          <w:sz w:val="20"/>
        </w:rPr>
        <w:t xml:space="preserve"> </w:t>
      </w:r>
      <w:r w:rsidRPr="00D9675C">
        <w:rPr>
          <w:sz w:val="20"/>
        </w:rPr>
        <w:t>WF on NR NTN enhancements RRM requirements</w:t>
      </w:r>
      <w:r w:rsidR="00A00493">
        <w:rPr>
          <w:rFonts w:hint="eastAsia"/>
          <w:sz w:val="20"/>
        </w:rPr>
        <w:t>, Qualcomm, RAN4#10</w:t>
      </w:r>
      <w:r>
        <w:rPr>
          <w:rFonts w:hint="eastAsia"/>
          <w:sz w:val="20"/>
        </w:rPr>
        <w:t>7</w:t>
      </w:r>
    </w:p>
    <w:p w:rsidR="007E2B96" w:rsidRDefault="00B66F5D" w:rsidP="00B66F5D">
      <w:pPr>
        <w:pStyle w:val="af8"/>
        <w:numPr>
          <w:ilvl w:val="0"/>
          <w:numId w:val="3"/>
        </w:numPr>
        <w:ind w:firstLineChars="0"/>
        <w:rPr>
          <w:sz w:val="20"/>
        </w:rPr>
      </w:pPr>
      <w:r w:rsidRPr="00B66F5D">
        <w:rPr>
          <w:sz w:val="20"/>
        </w:rPr>
        <w:t>R4-2309971</w:t>
      </w:r>
      <w:r>
        <w:rPr>
          <w:rFonts w:hint="eastAsia"/>
          <w:sz w:val="20"/>
        </w:rPr>
        <w:t xml:space="preserve"> </w:t>
      </w:r>
      <w:r w:rsidRPr="00B66F5D">
        <w:rPr>
          <w:sz w:val="20"/>
        </w:rPr>
        <w:t>Topic summary for [107][226] NR_NTN_enh</w:t>
      </w:r>
      <w:r w:rsidR="007E2B96">
        <w:rPr>
          <w:rFonts w:hint="eastAsia"/>
          <w:sz w:val="20"/>
        </w:rPr>
        <w:t>, Qualcomm, RAN4#10</w:t>
      </w:r>
      <w:r>
        <w:rPr>
          <w:rFonts w:hint="eastAsia"/>
          <w:sz w:val="20"/>
        </w:rPr>
        <w:t>7</w:t>
      </w:r>
    </w:p>
    <w:p w:rsidR="00DD3C1F" w:rsidRDefault="00DD3C1F" w:rsidP="00DD3C1F">
      <w:pPr>
        <w:rPr>
          <w:lang w:eastAsia="zh-CN"/>
        </w:rPr>
      </w:pPr>
    </w:p>
    <w:p w:rsidR="00DD3C1F" w:rsidRPr="00DD3C1F" w:rsidRDefault="00DD3C1F" w:rsidP="00DD3C1F">
      <w:pPr>
        <w:pStyle w:val="1"/>
        <w:rPr>
          <w:lang w:val="en-US" w:eastAsia="zh-CN"/>
        </w:rPr>
      </w:pPr>
      <w:r>
        <w:rPr>
          <w:rFonts w:hint="eastAsia"/>
          <w:lang w:val="en-US" w:eastAsia="zh-CN"/>
        </w:rPr>
        <w:lastRenderedPageBreak/>
        <w:t>Annex RAN2#12</w:t>
      </w:r>
      <w:r w:rsidR="00AB41C7">
        <w:rPr>
          <w:rFonts w:hint="eastAsia"/>
          <w:lang w:val="en-US" w:eastAsia="zh-CN"/>
        </w:rPr>
        <w:t>2</w:t>
      </w:r>
      <w:r>
        <w:rPr>
          <w:rFonts w:hint="eastAsia"/>
          <w:lang w:val="en-US" w:eastAsia="zh-CN"/>
        </w:rPr>
        <w:t xml:space="preserve"> agreements on NTN enhancement</w:t>
      </w:r>
    </w:p>
    <w:p w:rsidR="00DD3C1F" w:rsidRPr="00DD3C1F" w:rsidRDefault="00DD3C1F" w:rsidP="00DD3C1F">
      <w:pPr>
        <w:rPr>
          <w:lang w:val="en-US" w:eastAsia="zh-CN"/>
        </w:rPr>
      </w:pPr>
      <w:r>
        <w:rPr>
          <w:rFonts w:hint="eastAsia"/>
          <w:lang w:val="en-US" w:eastAsia="zh-CN"/>
        </w:rPr>
        <w:t>NTN-TN cell reselection enhancement</w:t>
      </w:r>
    </w:p>
    <w:tbl>
      <w:tblPr>
        <w:tblStyle w:val="af3"/>
        <w:tblW w:w="0" w:type="auto"/>
        <w:tblLook w:val="04A0" w:firstRow="1" w:lastRow="0" w:firstColumn="1" w:lastColumn="0" w:noHBand="0" w:noVBand="1"/>
      </w:tblPr>
      <w:tblGrid>
        <w:gridCol w:w="9857"/>
      </w:tblGrid>
      <w:tr w:rsidR="00DD3C1F" w:rsidTr="00DD3C1F">
        <w:tc>
          <w:tcPr>
            <w:tcW w:w="9857" w:type="dxa"/>
          </w:tcPr>
          <w:p w:rsidR="005515D7" w:rsidRDefault="005515D7" w:rsidP="005515D7">
            <w:pPr>
              <w:rPr>
                <w:lang w:eastAsia="zh-CN"/>
              </w:rPr>
            </w:pPr>
            <w:r>
              <w:rPr>
                <w:lang w:eastAsia="zh-CN"/>
              </w:rPr>
              <w:t>Agreements:</w:t>
            </w:r>
          </w:p>
          <w:p w:rsidR="005515D7" w:rsidRDefault="005515D7" w:rsidP="005515D7">
            <w:pPr>
              <w:rPr>
                <w:lang w:eastAsia="zh-CN"/>
              </w:rPr>
            </w:pPr>
            <w:r>
              <w:rPr>
                <w:lang w:eastAsia="zh-CN"/>
              </w:rPr>
              <w:t>1.</w:t>
            </w:r>
            <w:r>
              <w:rPr>
                <w:lang w:eastAsia="zh-CN"/>
              </w:rPr>
              <w:tab/>
              <w:t>An RRC_IDLE/RRC_INACTIVE UE is not required to perform neighbour cell measurements for cell reselection for a TN frequency in the area, if configured, where there is no coverage of that frequency, regardless of the frequency priority</w:t>
            </w:r>
          </w:p>
          <w:p w:rsidR="005515D7" w:rsidRDefault="005515D7" w:rsidP="005515D7">
            <w:pPr>
              <w:rPr>
                <w:lang w:eastAsia="zh-CN"/>
              </w:rPr>
            </w:pPr>
            <w:r>
              <w:rPr>
                <w:lang w:eastAsia="zh-CN"/>
              </w:rPr>
              <w:t>2.</w:t>
            </w:r>
            <w:r>
              <w:rPr>
                <w:lang w:eastAsia="zh-CN"/>
              </w:rPr>
              <w:tab/>
              <w:t>Reuse the same format of Rel-17 referenceLocation and distanceThresh for signaling the TN coverage area centre and radius</w:t>
            </w:r>
          </w:p>
          <w:p w:rsidR="005515D7" w:rsidRDefault="005515D7" w:rsidP="005515D7">
            <w:pPr>
              <w:rPr>
                <w:lang w:eastAsia="zh-CN"/>
              </w:rPr>
            </w:pPr>
            <w:r>
              <w:rPr>
                <w:lang w:eastAsia="zh-CN"/>
              </w:rPr>
              <w:t>3.</w:t>
            </w:r>
            <w:r>
              <w:rPr>
                <w:lang w:eastAsia="zh-CN"/>
              </w:rPr>
              <w:tab/>
              <w:t>TN coverage info is NOT included in SIB19. FFS if we use an existing SIB or a new one</w:t>
            </w:r>
          </w:p>
          <w:p w:rsidR="00B8135F" w:rsidRPr="005515D7" w:rsidRDefault="005515D7" w:rsidP="00B8135F">
            <w:pPr>
              <w:rPr>
                <w:lang w:eastAsia="zh-CN"/>
              </w:rPr>
            </w:pPr>
            <w:r>
              <w:rPr>
                <w:lang w:eastAsia="zh-CN"/>
              </w:rPr>
              <w:t>4.</w:t>
            </w:r>
            <w:r>
              <w:rPr>
                <w:lang w:eastAsia="zh-CN"/>
              </w:rPr>
              <w:tab/>
              <w:t>We don’t introduce RRC dedicated signalling to provide more accurate TN coverage information</w:t>
            </w:r>
          </w:p>
        </w:tc>
      </w:tr>
    </w:tbl>
    <w:p w:rsidR="00DD3C1F" w:rsidRDefault="00DD3C1F" w:rsidP="00DD3C1F">
      <w:pPr>
        <w:rPr>
          <w:lang w:eastAsia="zh-CN"/>
        </w:rPr>
      </w:pPr>
    </w:p>
    <w:p w:rsidR="00406E96" w:rsidRDefault="00406E96" w:rsidP="00DD3C1F">
      <w:pPr>
        <w:rPr>
          <w:lang w:eastAsia="zh-CN"/>
        </w:rPr>
      </w:pPr>
      <w:r>
        <w:rPr>
          <w:rFonts w:hint="eastAsia"/>
          <w:lang w:eastAsia="zh-CN"/>
        </w:rPr>
        <w:t>NTN-NTN cell reselection</w:t>
      </w:r>
    </w:p>
    <w:tbl>
      <w:tblPr>
        <w:tblStyle w:val="af3"/>
        <w:tblW w:w="0" w:type="auto"/>
        <w:tblLook w:val="04A0" w:firstRow="1" w:lastRow="0" w:firstColumn="1" w:lastColumn="0" w:noHBand="0" w:noVBand="1"/>
      </w:tblPr>
      <w:tblGrid>
        <w:gridCol w:w="9857"/>
      </w:tblGrid>
      <w:tr w:rsidR="00406E96" w:rsidTr="00406E96">
        <w:tc>
          <w:tcPr>
            <w:tcW w:w="9857" w:type="dxa"/>
          </w:tcPr>
          <w:p w:rsidR="00B8135F" w:rsidRDefault="00B8135F" w:rsidP="00B8135F">
            <w:pPr>
              <w:rPr>
                <w:lang w:eastAsia="zh-CN"/>
              </w:rPr>
            </w:pPr>
            <w:r>
              <w:rPr>
                <w:lang w:eastAsia="zh-CN"/>
              </w:rPr>
              <w:t>1.</w:t>
            </w:r>
            <w:r>
              <w:rPr>
                <w:lang w:eastAsia="zh-CN"/>
              </w:rPr>
              <w:tab/>
              <w:t>Re-use epochTime-r17 in ntn-Config IE to provide the time reference for an Earth moving cell reference location.</w:t>
            </w:r>
          </w:p>
          <w:p w:rsidR="00406E96" w:rsidRDefault="00B8135F" w:rsidP="00B8135F">
            <w:pPr>
              <w:rPr>
                <w:lang w:eastAsia="zh-CN"/>
              </w:rPr>
            </w:pPr>
            <w:r>
              <w:rPr>
                <w:lang w:eastAsia="zh-CN"/>
              </w:rPr>
              <w:t>2.</w:t>
            </w:r>
            <w:r>
              <w:rPr>
                <w:lang w:eastAsia="zh-CN"/>
              </w:rPr>
              <w:tab/>
              <w:t>Re-use t-Service-r17 format for the IE used to trigger UE neighbour cell measurements prior to cell replacement due to feeder link switch. FFS whether we reuse exactly the same IE name as in R17 (updating the field description) or a new one</w:t>
            </w:r>
          </w:p>
          <w:p w:rsidR="00C95CF7" w:rsidRDefault="00C95CF7" w:rsidP="00B8135F">
            <w:pPr>
              <w:rPr>
                <w:lang w:eastAsia="zh-CN"/>
              </w:rPr>
            </w:pPr>
          </w:p>
          <w:p w:rsidR="00C95CF7" w:rsidRDefault="00C95CF7" w:rsidP="00C95CF7">
            <w:pPr>
              <w:rPr>
                <w:lang w:eastAsia="zh-CN"/>
              </w:rPr>
            </w:pPr>
            <w:r>
              <w:rPr>
                <w:lang w:eastAsia="zh-CN"/>
              </w:rPr>
              <w:t>Agreements:</w:t>
            </w:r>
          </w:p>
          <w:p w:rsidR="00C95CF7" w:rsidRPr="00C95CF7" w:rsidRDefault="00C95CF7" w:rsidP="00C95CF7">
            <w:pPr>
              <w:rPr>
                <w:lang w:eastAsia="zh-CN"/>
              </w:rPr>
            </w:pPr>
            <w:r>
              <w:rPr>
                <w:lang w:eastAsia="zh-CN"/>
              </w:rPr>
              <w:t>1.</w:t>
            </w:r>
            <w:r>
              <w:rPr>
                <w:lang w:eastAsia="zh-CN"/>
              </w:rPr>
              <w:tab/>
              <w:t>Location-based cell reselection criteria are not pursued in R18.</w:t>
            </w:r>
          </w:p>
        </w:tc>
      </w:tr>
    </w:tbl>
    <w:p w:rsidR="00406E96" w:rsidRDefault="00406E96" w:rsidP="00DD3C1F">
      <w:pPr>
        <w:rPr>
          <w:lang w:eastAsia="zh-CN"/>
        </w:rPr>
      </w:pPr>
    </w:p>
    <w:p w:rsidR="00B667C9" w:rsidRDefault="00B667C9" w:rsidP="00DD3C1F">
      <w:pPr>
        <w:rPr>
          <w:lang w:eastAsia="zh-CN"/>
        </w:rPr>
      </w:pPr>
      <w:r>
        <w:rPr>
          <w:rFonts w:hint="eastAsia"/>
          <w:lang w:eastAsia="zh-CN"/>
        </w:rPr>
        <w:t>NTN-NTN handover</w:t>
      </w:r>
    </w:p>
    <w:tbl>
      <w:tblPr>
        <w:tblStyle w:val="af3"/>
        <w:tblW w:w="0" w:type="auto"/>
        <w:tblLook w:val="04A0" w:firstRow="1" w:lastRow="0" w:firstColumn="1" w:lastColumn="0" w:noHBand="0" w:noVBand="1"/>
      </w:tblPr>
      <w:tblGrid>
        <w:gridCol w:w="9857"/>
      </w:tblGrid>
      <w:tr w:rsidR="00B667C9" w:rsidTr="00B667C9">
        <w:tc>
          <w:tcPr>
            <w:tcW w:w="9857" w:type="dxa"/>
          </w:tcPr>
          <w:p w:rsidR="00616ECB" w:rsidRDefault="00616ECB" w:rsidP="00616ECB">
            <w:pPr>
              <w:rPr>
                <w:lang w:eastAsia="zh-CN"/>
              </w:rPr>
            </w:pPr>
            <w:r>
              <w:rPr>
                <w:lang w:eastAsia="zh-CN"/>
              </w:rPr>
              <w:t>Agreements:</w:t>
            </w:r>
          </w:p>
          <w:p w:rsidR="00616ECB" w:rsidRDefault="00616ECB" w:rsidP="00616ECB">
            <w:pPr>
              <w:rPr>
                <w:lang w:eastAsia="zh-CN"/>
              </w:rPr>
            </w:pPr>
            <w:r>
              <w:rPr>
                <w:lang w:eastAsia="zh-CN"/>
              </w:rPr>
              <w:t></w:t>
            </w:r>
            <w:r>
              <w:rPr>
                <w:lang w:eastAsia="zh-CN"/>
              </w:rPr>
              <w:tab/>
              <w:t>Come back to the proposal to broadcast the target cell’s servingCellConfigCommon (as common (C)HO signalling) after feedback from RAN3</w:t>
            </w:r>
          </w:p>
          <w:p w:rsidR="00616ECB" w:rsidRDefault="00616ECB" w:rsidP="00616ECB">
            <w:pPr>
              <w:rPr>
                <w:lang w:eastAsia="zh-CN"/>
              </w:rPr>
            </w:pPr>
            <w:r>
              <w:rPr>
                <w:lang w:eastAsia="zh-CN"/>
              </w:rPr>
              <w:t></w:t>
            </w:r>
            <w:r>
              <w:rPr>
                <w:lang w:eastAsia="zh-CN"/>
              </w:rPr>
              <w:tab/>
              <w:t>Send al LS to RAN3 asking whether, in case target cell’s servingCellConfigCommon is broadcast in the source cell (as common (C)HO signalling), the target cell’s servingCellConfigCommon can be transferred to the source cell in the inter-gNB HO case in R18</w:t>
            </w:r>
          </w:p>
          <w:p w:rsidR="007110B4" w:rsidRDefault="00616ECB" w:rsidP="00616ECB">
            <w:pPr>
              <w:rPr>
                <w:lang w:eastAsia="zh-CN"/>
              </w:rPr>
            </w:pPr>
            <w:r>
              <w:rPr>
                <w:lang w:eastAsia="zh-CN"/>
              </w:rPr>
              <w:t></w:t>
            </w:r>
            <w:r>
              <w:rPr>
                <w:lang w:eastAsia="zh-CN"/>
              </w:rPr>
              <w:tab/>
              <w:t>Group handover related to P1~P4 from R2-2304736 is not supported in Rel-18.</w:t>
            </w:r>
          </w:p>
          <w:p w:rsidR="00DA5B07" w:rsidRDefault="00DA5B07" w:rsidP="00616ECB">
            <w:pPr>
              <w:rPr>
                <w:lang w:eastAsia="zh-CN"/>
              </w:rPr>
            </w:pPr>
          </w:p>
          <w:p w:rsidR="00DA5B07" w:rsidRDefault="00DA5B07" w:rsidP="00DA5B07">
            <w:pPr>
              <w:rPr>
                <w:lang w:eastAsia="zh-CN"/>
              </w:rPr>
            </w:pPr>
            <w:r>
              <w:rPr>
                <w:lang w:eastAsia="zh-CN"/>
              </w:rPr>
              <w:t>Agreements:</w:t>
            </w:r>
          </w:p>
          <w:p w:rsidR="00DA5B07" w:rsidRDefault="00DA5B07" w:rsidP="00376A81">
            <w:pPr>
              <w:rPr>
                <w:lang w:eastAsia="zh-CN"/>
              </w:rPr>
            </w:pPr>
            <w:r>
              <w:rPr>
                <w:lang w:eastAsia="zh-CN"/>
              </w:rPr>
              <w:t>In NTN RACH-less handover, NW either indicates NTA in the target cell is identical to the source cell, or the NTA explicitly provided by the NW is 0. RAN2 will not discuss the case where NTA does not equal to 0</w:t>
            </w:r>
          </w:p>
          <w:p w:rsidR="00481BB9" w:rsidRDefault="00481BB9" w:rsidP="00481BB9">
            <w:pPr>
              <w:rPr>
                <w:lang w:eastAsia="zh-CN"/>
              </w:rPr>
            </w:pPr>
          </w:p>
          <w:p w:rsidR="00481BB9" w:rsidRDefault="00481BB9" w:rsidP="00481BB9">
            <w:pPr>
              <w:rPr>
                <w:lang w:eastAsia="zh-CN"/>
              </w:rPr>
            </w:pPr>
            <w:r>
              <w:rPr>
                <w:lang w:eastAsia="zh-CN"/>
              </w:rPr>
              <w:t>Agreements:</w:t>
            </w:r>
          </w:p>
          <w:p w:rsidR="00481BB9" w:rsidRDefault="00481BB9" w:rsidP="00481BB9">
            <w:pPr>
              <w:rPr>
                <w:lang w:eastAsia="zh-CN"/>
              </w:rPr>
            </w:pPr>
            <w:r>
              <w:rPr>
                <w:lang w:eastAsia="zh-CN"/>
              </w:rPr>
              <w:t>1.</w:t>
            </w:r>
            <w:r>
              <w:rPr>
                <w:lang w:eastAsia="zh-CN"/>
              </w:rPr>
              <w:tab/>
              <w:t>From RAN2 perspective synchronization among source and target cells is not an issue in NTN RACH-less HO</w:t>
            </w:r>
          </w:p>
          <w:p w:rsidR="00481BB9" w:rsidRDefault="00481BB9" w:rsidP="00481BB9">
            <w:pPr>
              <w:rPr>
                <w:lang w:eastAsia="zh-CN"/>
              </w:rPr>
            </w:pPr>
            <w:r>
              <w:rPr>
                <w:lang w:eastAsia="zh-CN"/>
              </w:rPr>
              <w:t>2.</w:t>
            </w:r>
            <w:r>
              <w:rPr>
                <w:lang w:eastAsia="zh-CN"/>
              </w:rPr>
              <w:tab/>
              <w:t>Release pre-allocated UL grant after RACH-less HO completion</w:t>
            </w:r>
          </w:p>
          <w:p w:rsidR="00481BB9" w:rsidRDefault="00481BB9" w:rsidP="00481BB9">
            <w:pPr>
              <w:rPr>
                <w:lang w:eastAsia="zh-CN"/>
              </w:rPr>
            </w:pPr>
            <w:r>
              <w:rPr>
                <w:lang w:eastAsia="zh-CN"/>
              </w:rPr>
              <w:t>3.</w:t>
            </w:r>
            <w:r>
              <w:rPr>
                <w:lang w:eastAsia="zh-CN"/>
              </w:rPr>
              <w:tab/>
              <w:t xml:space="preserve">LTE approach (of confirming the HO completion) is reused for both pre-allocated grant and dynamic grant. FFS any enhancement to the confirmation of RACH-less HO completion, e.g. the NW does not send the UE Contention </w:t>
            </w:r>
            <w:r>
              <w:rPr>
                <w:lang w:eastAsia="zh-CN"/>
              </w:rPr>
              <w:lastRenderedPageBreak/>
              <w:t>Resolution Identity MAC CE, and sends PDCCH/PDSCH addressed to C-RNTI</w:t>
            </w:r>
          </w:p>
          <w:p w:rsidR="00481BB9" w:rsidRDefault="00481BB9" w:rsidP="00481BB9">
            <w:pPr>
              <w:rPr>
                <w:lang w:eastAsia="zh-CN"/>
              </w:rPr>
            </w:pPr>
            <w:r>
              <w:rPr>
                <w:lang w:eastAsia="zh-CN"/>
              </w:rPr>
              <w:t>4.</w:t>
            </w:r>
            <w:r>
              <w:rPr>
                <w:lang w:eastAsia="zh-CN"/>
              </w:rPr>
              <w:tab/>
              <w:t>Remove “FFS how to perform RACH-less UL synchronization to NTN target cell”, RAN2 assumes the UL sync handling in the target cell is the same in RACH-based HO and RACH-less HO, except how to acquire NTA (FFS on the spec impact , if any)</w:t>
            </w:r>
          </w:p>
          <w:p w:rsidR="00376A81" w:rsidRDefault="00376A81" w:rsidP="00481BB9">
            <w:pPr>
              <w:rPr>
                <w:lang w:eastAsia="zh-CN"/>
              </w:rPr>
            </w:pPr>
          </w:p>
          <w:p w:rsidR="00376A81" w:rsidRDefault="00376A81" w:rsidP="00376A81">
            <w:pPr>
              <w:rPr>
                <w:lang w:eastAsia="zh-CN"/>
              </w:rPr>
            </w:pPr>
            <w:r>
              <w:rPr>
                <w:lang w:eastAsia="zh-CN"/>
              </w:rPr>
              <w:t>Agreements:</w:t>
            </w:r>
          </w:p>
          <w:p w:rsidR="00376A81" w:rsidRDefault="00376A81" w:rsidP="00376A81">
            <w:pPr>
              <w:rPr>
                <w:lang w:eastAsia="zh-CN"/>
              </w:rPr>
            </w:pPr>
            <w:r>
              <w:rPr>
                <w:lang w:eastAsia="zh-CN"/>
              </w:rPr>
              <w:t></w:t>
            </w:r>
            <w:r>
              <w:rPr>
                <w:lang w:eastAsia="zh-CN"/>
              </w:rPr>
              <w:tab/>
              <w:t>t-Service in SIB19 can also be interpreted by Rel-18 UE in Connected mode to know that a satellite change or feeder link change happens</w:t>
            </w:r>
          </w:p>
          <w:p w:rsidR="00376A81" w:rsidRPr="00B667C9" w:rsidRDefault="00376A81" w:rsidP="00376A81">
            <w:pPr>
              <w:rPr>
                <w:lang w:eastAsia="zh-CN"/>
              </w:rPr>
            </w:pPr>
            <w:r>
              <w:rPr>
                <w:lang w:eastAsia="zh-CN"/>
              </w:rPr>
              <w:t></w:t>
            </w:r>
            <w:r>
              <w:rPr>
                <w:lang w:eastAsia="zh-CN"/>
              </w:rPr>
              <w:tab/>
              <w:t>In hard switch unchanged PCI scenario (i.e. no handover), the UE needs to know the time the UE attempts to re-synchronize. (FFS whether a new “t-Start” / a t-gap is needed or whether t-Service can be reused (i.e. no other IE) if the gap is very short/zero).</w:t>
            </w:r>
          </w:p>
        </w:tc>
      </w:tr>
    </w:tbl>
    <w:p w:rsidR="00B667C9" w:rsidRPr="00DD3C1F" w:rsidRDefault="00B667C9" w:rsidP="00DD3C1F">
      <w:pPr>
        <w:rPr>
          <w:lang w:eastAsia="zh-CN"/>
        </w:rPr>
      </w:pPr>
    </w:p>
    <w:sectPr w:rsidR="00B667C9" w:rsidRPr="00DD3C1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C70" w:rsidRDefault="00630C70">
      <w:r>
        <w:separator/>
      </w:r>
    </w:p>
  </w:endnote>
  <w:endnote w:type="continuationSeparator" w:id="0">
    <w:p w:rsidR="00630C70" w:rsidRDefault="00630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C70" w:rsidRDefault="00630C70">
      <w:r>
        <w:separator/>
      </w:r>
    </w:p>
  </w:footnote>
  <w:footnote w:type="continuationSeparator" w:id="0">
    <w:p w:rsidR="00630C70" w:rsidRDefault="00630C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15B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0F619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266BE2"/>
    <w:multiLevelType w:val="hybridMultilevel"/>
    <w:tmpl w:val="23C82FF2"/>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E53A0A"/>
    <w:multiLevelType w:val="hybridMultilevel"/>
    <w:tmpl w:val="043E21C6"/>
    <w:lvl w:ilvl="0" w:tplc="101A38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B825C14"/>
    <w:multiLevelType w:val="hybridMultilevel"/>
    <w:tmpl w:val="36E8E6FE"/>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A934B8A2">
      <w:start w:val="1"/>
      <w:numFmt w:val="bullet"/>
      <w:lvlText w:val="•"/>
      <w:lvlJc w:val="left"/>
      <w:pPr>
        <w:ind w:left="1260" w:hanging="420"/>
      </w:pPr>
      <w:rPr>
        <w:rFonts w:ascii="Arial" w:hAnsi="Arial" w:hint="default"/>
      </w:rPr>
    </w:lvl>
    <w:lvl w:ilvl="3" w:tplc="B31A5CE6">
      <w:start w:val="1"/>
      <w:numFmt w:val="bullet"/>
      <w:lvlText w:val="▪"/>
      <w:lvlJc w:val="left"/>
      <w:pPr>
        <w:ind w:left="1680" w:hanging="420"/>
      </w:pPr>
      <w:rPr>
        <w:rFonts w:ascii="Calibri" w:hAnsi="Calibri" w:hint="default"/>
      </w:rPr>
    </w:lvl>
    <w:lvl w:ilvl="4" w:tplc="B31A5CE6">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1">
    <w:nsid w:val="405B2014"/>
    <w:multiLevelType w:val="hybridMultilevel"/>
    <w:tmpl w:val="C9FAF48E"/>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95F74A0"/>
    <w:multiLevelType w:val="hybridMultilevel"/>
    <w:tmpl w:val="E618D9B4"/>
    <w:lvl w:ilvl="0" w:tplc="5C6C2CFC">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5432BB4"/>
    <w:multiLevelType w:val="hybridMultilevel"/>
    <w:tmpl w:val="206AF5FA"/>
    <w:lvl w:ilvl="0" w:tplc="4140AA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71D3E15"/>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AA82B9C"/>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2319B7"/>
    <w:multiLevelType w:val="hybridMultilevel"/>
    <w:tmpl w:val="5FD03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20"/>
  </w:num>
  <w:num w:numId="6">
    <w:abstractNumId w:val="14"/>
  </w:num>
  <w:num w:numId="7">
    <w:abstractNumId w:val="11"/>
  </w:num>
  <w:num w:numId="8">
    <w:abstractNumId w:val="19"/>
  </w:num>
  <w:num w:numId="9">
    <w:abstractNumId w:val="8"/>
  </w:num>
  <w:num w:numId="10">
    <w:abstractNumId w:val="6"/>
  </w:num>
  <w:num w:numId="11">
    <w:abstractNumId w:val="9"/>
  </w:num>
  <w:num w:numId="12">
    <w:abstractNumId w:val="2"/>
  </w:num>
  <w:num w:numId="13">
    <w:abstractNumId w:val="22"/>
  </w:num>
  <w:num w:numId="14">
    <w:abstractNumId w:val="23"/>
  </w:num>
  <w:num w:numId="15">
    <w:abstractNumId w:val="3"/>
  </w:num>
  <w:num w:numId="16">
    <w:abstractNumId w:val="4"/>
  </w:num>
  <w:num w:numId="17">
    <w:abstractNumId w:val="10"/>
  </w:num>
  <w:num w:numId="18">
    <w:abstractNumId w:val="15"/>
  </w:num>
  <w:num w:numId="19">
    <w:abstractNumId w:val="17"/>
  </w:num>
  <w:num w:numId="20">
    <w:abstractNumId w:val="21"/>
  </w:num>
  <w:num w:numId="21">
    <w:abstractNumId w:val="26"/>
  </w:num>
  <w:num w:numId="22">
    <w:abstractNumId w:val="25"/>
  </w:num>
  <w:num w:numId="23">
    <w:abstractNumId w:val="13"/>
  </w:num>
  <w:num w:numId="24">
    <w:abstractNumId w:val="24"/>
  </w:num>
  <w:num w:numId="25">
    <w:abstractNumId w:val="18"/>
  </w:num>
  <w:num w:numId="26">
    <w:abstractNumId w:val="20"/>
  </w:num>
  <w:num w:numId="27">
    <w:abstractNumId w:val="16"/>
  </w:num>
  <w:num w:numId="28">
    <w:abstractNumId w:val="20"/>
  </w:num>
  <w:num w:numId="29">
    <w:abstractNumId w:val="5"/>
  </w:num>
  <w:num w:numId="3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63F"/>
    <w:rsid w:val="000007D2"/>
    <w:rsid w:val="00000C38"/>
    <w:rsid w:val="00001845"/>
    <w:rsid w:val="00001BD8"/>
    <w:rsid w:val="000025B8"/>
    <w:rsid w:val="00002ACC"/>
    <w:rsid w:val="00002E05"/>
    <w:rsid w:val="00003660"/>
    <w:rsid w:val="000047C9"/>
    <w:rsid w:val="00004D73"/>
    <w:rsid w:val="00005063"/>
    <w:rsid w:val="000051AF"/>
    <w:rsid w:val="000058EE"/>
    <w:rsid w:val="00005AD7"/>
    <w:rsid w:val="000062AE"/>
    <w:rsid w:val="000062D3"/>
    <w:rsid w:val="00006E2E"/>
    <w:rsid w:val="00006EA3"/>
    <w:rsid w:val="000101F9"/>
    <w:rsid w:val="00010E63"/>
    <w:rsid w:val="00011828"/>
    <w:rsid w:val="00011D5E"/>
    <w:rsid w:val="000124CB"/>
    <w:rsid w:val="0001374E"/>
    <w:rsid w:val="00014A77"/>
    <w:rsid w:val="00014AC9"/>
    <w:rsid w:val="000150B3"/>
    <w:rsid w:val="00015E1E"/>
    <w:rsid w:val="00016509"/>
    <w:rsid w:val="00016A5E"/>
    <w:rsid w:val="00017759"/>
    <w:rsid w:val="00017C52"/>
    <w:rsid w:val="000201EA"/>
    <w:rsid w:val="00020294"/>
    <w:rsid w:val="00020C9D"/>
    <w:rsid w:val="00020DA7"/>
    <w:rsid w:val="00021378"/>
    <w:rsid w:val="000217C3"/>
    <w:rsid w:val="00022FFB"/>
    <w:rsid w:val="000233A0"/>
    <w:rsid w:val="00023D1F"/>
    <w:rsid w:val="00023FF9"/>
    <w:rsid w:val="000244C4"/>
    <w:rsid w:val="000279C4"/>
    <w:rsid w:val="00030027"/>
    <w:rsid w:val="00030A5F"/>
    <w:rsid w:val="00031366"/>
    <w:rsid w:val="000314B9"/>
    <w:rsid w:val="00031509"/>
    <w:rsid w:val="00033B63"/>
    <w:rsid w:val="00034B44"/>
    <w:rsid w:val="00035AD0"/>
    <w:rsid w:val="00035FDE"/>
    <w:rsid w:val="0003612C"/>
    <w:rsid w:val="00036439"/>
    <w:rsid w:val="000374B0"/>
    <w:rsid w:val="00037FAF"/>
    <w:rsid w:val="000403AB"/>
    <w:rsid w:val="0004092A"/>
    <w:rsid w:val="00040E82"/>
    <w:rsid w:val="0004165F"/>
    <w:rsid w:val="00041BC4"/>
    <w:rsid w:val="00043645"/>
    <w:rsid w:val="000440FD"/>
    <w:rsid w:val="000454EB"/>
    <w:rsid w:val="000458FA"/>
    <w:rsid w:val="00045905"/>
    <w:rsid w:val="00045B0C"/>
    <w:rsid w:val="00045BE5"/>
    <w:rsid w:val="00045D62"/>
    <w:rsid w:val="000462FC"/>
    <w:rsid w:val="00046B06"/>
    <w:rsid w:val="00046B14"/>
    <w:rsid w:val="00046B3D"/>
    <w:rsid w:val="000470A9"/>
    <w:rsid w:val="0005062A"/>
    <w:rsid w:val="00050E22"/>
    <w:rsid w:val="00051213"/>
    <w:rsid w:val="00051BD5"/>
    <w:rsid w:val="00052192"/>
    <w:rsid w:val="000526E4"/>
    <w:rsid w:val="000532B0"/>
    <w:rsid w:val="00053605"/>
    <w:rsid w:val="00053D6F"/>
    <w:rsid w:val="00053DFF"/>
    <w:rsid w:val="00053E4B"/>
    <w:rsid w:val="00053F4F"/>
    <w:rsid w:val="0005410E"/>
    <w:rsid w:val="00054263"/>
    <w:rsid w:val="000542EB"/>
    <w:rsid w:val="000546C3"/>
    <w:rsid w:val="00054A7F"/>
    <w:rsid w:val="00054C90"/>
    <w:rsid w:val="0005640B"/>
    <w:rsid w:val="000575FE"/>
    <w:rsid w:val="00057801"/>
    <w:rsid w:val="000579FC"/>
    <w:rsid w:val="00060586"/>
    <w:rsid w:val="00060D43"/>
    <w:rsid w:val="00060E45"/>
    <w:rsid w:val="00060ECD"/>
    <w:rsid w:val="00061385"/>
    <w:rsid w:val="000617F9"/>
    <w:rsid w:val="0006185D"/>
    <w:rsid w:val="00061E66"/>
    <w:rsid w:val="00061E69"/>
    <w:rsid w:val="00062479"/>
    <w:rsid w:val="00062C76"/>
    <w:rsid w:val="000639CC"/>
    <w:rsid w:val="00063E03"/>
    <w:rsid w:val="00064334"/>
    <w:rsid w:val="0006459A"/>
    <w:rsid w:val="00064858"/>
    <w:rsid w:val="00065C1E"/>
    <w:rsid w:val="00065FE1"/>
    <w:rsid w:val="00066715"/>
    <w:rsid w:val="00067E19"/>
    <w:rsid w:val="00070288"/>
    <w:rsid w:val="000707A2"/>
    <w:rsid w:val="00070DF9"/>
    <w:rsid w:val="00070EA7"/>
    <w:rsid w:val="000710F2"/>
    <w:rsid w:val="00071C1C"/>
    <w:rsid w:val="00071F3B"/>
    <w:rsid w:val="000730E3"/>
    <w:rsid w:val="00073D4A"/>
    <w:rsid w:val="00074971"/>
    <w:rsid w:val="00074BC2"/>
    <w:rsid w:val="00075A8A"/>
    <w:rsid w:val="0007600C"/>
    <w:rsid w:val="0007705C"/>
    <w:rsid w:val="0007742E"/>
    <w:rsid w:val="000776F4"/>
    <w:rsid w:val="00081A16"/>
    <w:rsid w:val="00081F31"/>
    <w:rsid w:val="00083FFB"/>
    <w:rsid w:val="000847D2"/>
    <w:rsid w:val="00084AD3"/>
    <w:rsid w:val="00084BF6"/>
    <w:rsid w:val="00084ED8"/>
    <w:rsid w:val="0008537B"/>
    <w:rsid w:val="000853F2"/>
    <w:rsid w:val="0008604D"/>
    <w:rsid w:val="00086410"/>
    <w:rsid w:val="0008698B"/>
    <w:rsid w:val="00086B62"/>
    <w:rsid w:val="00086E35"/>
    <w:rsid w:val="00087146"/>
    <w:rsid w:val="000874A0"/>
    <w:rsid w:val="00090708"/>
    <w:rsid w:val="000908F0"/>
    <w:rsid w:val="000913A9"/>
    <w:rsid w:val="00092517"/>
    <w:rsid w:val="0009258C"/>
    <w:rsid w:val="000928D2"/>
    <w:rsid w:val="00092EFE"/>
    <w:rsid w:val="00093DF8"/>
    <w:rsid w:val="000943AD"/>
    <w:rsid w:val="00095433"/>
    <w:rsid w:val="000962DC"/>
    <w:rsid w:val="00096AEC"/>
    <w:rsid w:val="0009702D"/>
    <w:rsid w:val="0009736B"/>
    <w:rsid w:val="00097812"/>
    <w:rsid w:val="000A05CE"/>
    <w:rsid w:val="000A067F"/>
    <w:rsid w:val="000A0738"/>
    <w:rsid w:val="000A0AD4"/>
    <w:rsid w:val="000A2318"/>
    <w:rsid w:val="000A2788"/>
    <w:rsid w:val="000A2D09"/>
    <w:rsid w:val="000A3639"/>
    <w:rsid w:val="000A3CA4"/>
    <w:rsid w:val="000A4844"/>
    <w:rsid w:val="000A48CE"/>
    <w:rsid w:val="000A5A4A"/>
    <w:rsid w:val="000A5C53"/>
    <w:rsid w:val="000A6F7D"/>
    <w:rsid w:val="000A7396"/>
    <w:rsid w:val="000A769F"/>
    <w:rsid w:val="000A7BEF"/>
    <w:rsid w:val="000B0C01"/>
    <w:rsid w:val="000B0D62"/>
    <w:rsid w:val="000B0F12"/>
    <w:rsid w:val="000B1FA7"/>
    <w:rsid w:val="000B1FED"/>
    <w:rsid w:val="000B26BD"/>
    <w:rsid w:val="000B28A5"/>
    <w:rsid w:val="000B3288"/>
    <w:rsid w:val="000B4296"/>
    <w:rsid w:val="000B4B48"/>
    <w:rsid w:val="000B51BA"/>
    <w:rsid w:val="000B5238"/>
    <w:rsid w:val="000B5F1C"/>
    <w:rsid w:val="000B6E8A"/>
    <w:rsid w:val="000B78F0"/>
    <w:rsid w:val="000B7C61"/>
    <w:rsid w:val="000C05F5"/>
    <w:rsid w:val="000C095C"/>
    <w:rsid w:val="000C1358"/>
    <w:rsid w:val="000C1957"/>
    <w:rsid w:val="000C3080"/>
    <w:rsid w:val="000C362C"/>
    <w:rsid w:val="000C3782"/>
    <w:rsid w:val="000C3A92"/>
    <w:rsid w:val="000C42A5"/>
    <w:rsid w:val="000C54D4"/>
    <w:rsid w:val="000C58C4"/>
    <w:rsid w:val="000C5F0D"/>
    <w:rsid w:val="000C6901"/>
    <w:rsid w:val="000C7B3F"/>
    <w:rsid w:val="000C7E45"/>
    <w:rsid w:val="000D0435"/>
    <w:rsid w:val="000D0BEA"/>
    <w:rsid w:val="000D0C71"/>
    <w:rsid w:val="000D13D1"/>
    <w:rsid w:val="000D1A62"/>
    <w:rsid w:val="000D2793"/>
    <w:rsid w:val="000D2927"/>
    <w:rsid w:val="000D3465"/>
    <w:rsid w:val="000D3D6E"/>
    <w:rsid w:val="000D4F6C"/>
    <w:rsid w:val="000D5A76"/>
    <w:rsid w:val="000D5CBC"/>
    <w:rsid w:val="000D5EF5"/>
    <w:rsid w:val="000D61DE"/>
    <w:rsid w:val="000D63C4"/>
    <w:rsid w:val="000D6A9F"/>
    <w:rsid w:val="000D7CB6"/>
    <w:rsid w:val="000E0C45"/>
    <w:rsid w:val="000E108E"/>
    <w:rsid w:val="000E11C2"/>
    <w:rsid w:val="000E1572"/>
    <w:rsid w:val="000E1775"/>
    <w:rsid w:val="000E237A"/>
    <w:rsid w:val="000E26FB"/>
    <w:rsid w:val="000E2D5B"/>
    <w:rsid w:val="000E416B"/>
    <w:rsid w:val="000E48C6"/>
    <w:rsid w:val="000E4CEF"/>
    <w:rsid w:val="000E54F8"/>
    <w:rsid w:val="000E558E"/>
    <w:rsid w:val="000E63B4"/>
    <w:rsid w:val="000E671F"/>
    <w:rsid w:val="000E67E5"/>
    <w:rsid w:val="000E695E"/>
    <w:rsid w:val="000F0D2C"/>
    <w:rsid w:val="000F0DC1"/>
    <w:rsid w:val="000F0F34"/>
    <w:rsid w:val="000F152F"/>
    <w:rsid w:val="000F238C"/>
    <w:rsid w:val="000F30CA"/>
    <w:rsid w:val="000F3956"/>
    <w:rsid w:val="000F41FA"/>
    <w:rsid w:val="000F4862"/>
    <w:rsid w:val="000F4B84"/>
    <w:rsid w:val="000F4FB2"/>
    <w:rsid w:val="000F5559"/>
    <w:rsid w:val="000F5972"/>
    <w:rsid w:val="000F5D40"/>
    <w:rsid w:val="000F6527"/>
    <w:rsid w:val="000F6744"/>
    <w:rsid w:val="000F6952"/>
    <w:rsid w:val="0010027E"/>
    <w:rsid w:val="001019B2"/>
    <w:rsid w:val="00101CE3"/>
    <w:rsid w:val="0010383F"/>
    <w:rsid w:val="00104CF4"/>
    <w:rsid w:val="00104DEA"/>
    <w:rsid w:val="00106112"/>
    <w:rsid w:val="00106586"/>
    <w:rsid w:val="00106CB1"/>
    <w:rsid w:val="0010791F"/>
    <w:rsid w:val="00107E28"/>
    <w:rsid w:val="00110491"/>
    <w:rsid w:val="0011135B"/>
    <w:rsid w:val="00111600"/>
    <w:rsid w:val="00111869"/>
    <w:rsid w:val="00111CD3"/>
    <w:rsid w:val="00111ED9"/>
    <w:rsid w:val="0011291B"/>
    <w:rsid w:val="001131D7"/>
    <w:rsid w:val="0011369B"/>
    <w:rsid w:val="00113F53"/>
    <w:rsid w:val="001144D4"/>
    <w:rsid w:val="00114EAB"/>
    <w:rsid w:val="00115C80"/>
    <w:rsid w:val="00116C8E"/>
    <w:rsid w:val="00120291"/>
    <w:rsid w:val="0012110B"/>
    <w:rsid w:val="0012110E"/>
    <w:rsid w:val="0012265D"/>
    <w:rsid w:val="001229E3"/>
    <w:rsid w:val="00123245"/>
    <w:rsid w:val="00123827"/>
    <w:rsid w:val="00123E01"/>
    <w:rsid w:val="00124276"/>
    <w:rsid w:val="00124CE0"/>
    <w:rsid w:val="00124E11"/>
    <w:rsid w:val="00124F36"/>
    <w:rsid w:val="00124FCE"/>
    <w:rsid w:val="001253EC"/>
    <w:rsid w:val="001254B1"/>
    <w:rsid w:val="00125825"/>
    <w:rsid w:val="00125F42"/>
    <w:rsid w:val="00126D00"/>
    <w:rsid w:val="00127995"/>
    <w:rsid w:val="00127F87"/>
    <w:rsid w:val="001309BB"/>
    <w:rsid w:val="00130B1C"/>
    <w:rsid w:val="00130B39"/>
    <w:rsid w:val="0013267C"/>
    <w:rsid w:val="00132C34"/>
    <w:rsid w:val="001346AD"/>
    <w:rsid w:val="00134B58"/>
    <w:rsid w:val="00134EE4"/>
    <w:rsid w:val="00134FA6"/>
    <w:rsid w:val="00135552"/>
    <w:rsid w:val="00135844"/>
    <w:rsid w:val="00135ADE"/>
    <w:rsid w:val="00136013"/>
    <w:rsid w:val="0013606F"/>
    <w:rsid w:val="00136092"/>
    <w:rsid w:val="0013655C"/>
    <w:rsid w:val="00136B22"/>
    <w:rsid w:val="00136B40"/>
    <w:rsid w:val="00136E8D"/>
    <w:rsid w:val="00137056"/>
    <w:rsid w:val="001375BC"/>
    <w:rsid w:val="00137FEA"/>
    <w:rsid w:val="001400AE"/>
    <w:rsid w:val="001402A2"/>
    <w:rsid w:val="001405BD"/>
    <w:rsid w:val="00140E4A"/>
    <w:rsid w:val="00141553"/>
    <w:rsid w:val="00142058"/>
    <w:rsid w:val="00142665"/>
    <w:rsid w:val="001428E6"/>
    <w:rsid w:val="00142A57"/>
    <w:rsid w:val="001430B8"/>
    <w:rsid w:val="0014373B"/>
    <w:rsid w:val="001439C5"/>
    <w:rsid w:val="00143D33"/>
    <w:rsid w:val="001446B5"/>
    <w:rsid w:val="00144A4E"/>
    <w:rsid w:val="00145047"/>
    <w:rsid w:val="00145D24"/>
    <w:rsid w:val="00146498"/>
    <w:rsid w:val="00146B20"/>
    <w:rsid w:val="00146E26"/>
    <w:rsid w:val="00147009"/>
    <w:rsid w:val="001470AF"/>
    <w:rsid w:val="001470F1"/>
    <w:rsid w:val="0014733C"/>
    <w:rsid w:val="00147767"/>
    <w:rsid w:val="00150780"/>
    <w:rsid w:val="00150D6C"/>
    <w:rsid w:val="0015119C"/>
    <w:rsid w:val="0015164D"/>
    <w:rsid w:val="00151A45"/>
    <w:rsid w:val="001527B8"/>
    <w:rsid w:val="0015298D"/>
    <w:rsid w:val="00152C5A"/>
    <w:rsid w:val="00152FEE"/>
    <w:rsid w:val="001530E5"/>
    <w:rsid w:val="00153382"/>
    <w:rsid w:val="00153453"/>
    <w:rsid w:val="00153721"/>
    <w:rsid w:val="00153D2B"/>
    <w:rsid w:val="00154216"/>
    <w:rsid w:val="00154E54"/>
    <w:rsid w:val="00154FD8"/>
    <w:rsid w:val="0015557E"/>
    <w:rsid w:val="00155585"/>
    <w:rsid w:val="00155B73"/>
    <w:rsid w:val="0015631F"/>
    <w:rsid w:val="00156E66"/>
    <w:rsid w:val="00156F1D"/>
    <w:rsid w:val="00157C8D"/>
    <w:rsid w:val="00157DA6"/>
    <w:rsid w:val="00157F4E"/>
    <w:rsid w:val="00160FF6"/>
    <w:rsid w:val="001610F1"/>
    <w:rsid w:val="001618CC"/>
    <w:rsid w:val="00162021"/>
    <w:rsid w:val="00162B33"/>
    <w:rsid w:val="00162C05"/>
    <w:rsid w:val="00162C5A"/>
    <w:rsid w:val="00163741"/>
    <w:rsid w:val="00163F8B"/>
    <w:rsid w:val="001641D5"/>
    <w:rsid w:val="0016492E"/>
    <w:rsid w:val="00165123"/>
    <w:rsid w:val="00165190"/>
    <w:rsid w:val="00165194"/>
    <w:rsid w:val="001651B6"/>
    <w:rsid w:val="001669AD"/>
    <w:rsid w:val="001672DC"/>
    <w:rsid w:val="001672E6"/>
    <w:rsid w:val="001675B5"/>
    <w:rsid w:val="00167616"/>
    <w:rsid w:val="0016761A"/>
    <w:rsid w:val="0016770D"/>
    <w:rsid w:val="00167F4B"/>
    <w:rsid w:val="0017013D"/>
    <w:rsid w:val="0017022E"/>
    <w:rsid w:val="001709C4"/>
    <w:rsid w:val="0017117D"/>
    <w:rsid w:val="00171E00"/>
    <w:rsid w:val="00172609"/>
    <w:rsid w:val="00172990"/>
    <w:rsid w:val="00173598"/>
    <w:rsid w:val="001735C2"/>
    <w:rsid w:val="001750CD"/>
    <w:rsid w:val="00175612"/>
    <w:rsid w:val="001769D3"/>
    <w:rsid w:val="00177076"/>
    <w:rsid w:val="00177D51"/>
    <w:rsid w:val="00181002"/>
    <w:rsid w:val="00181649"/>
    <w:rsid w:val="00181BEC"/>
    <w:rsid w:val="00181E87"/>
    <w:rsid w:val="00182B75"/>
    <w:rsid w:val="00182D37"/>
    <w:rsid w:val="0018340D"/>
    <w:rsid w:val="00183782"/>
    <w:rsid w:val="00183D7E"/>
    <w:rsid w:val="001844EB"/>
    <w:rsid w:val="00184D32"/>
    <w:rsid w:val="00185128"/>
    <w:rsid w:val="00185324"/>
    <w:rsid w:val="00185C8E"/>
    <w:rsid w:val="00185DC1"/>
    <w:rsid w:val="00185FB4"/>
    <w:rsid w:val="00185FEA"/>
    <w:rsid w:val="0018602D"/>
    <w:rsid w:val="001867DE"/>
    <w:rsid w:val="00186FFF"/>
    <w:rsid w:val="0018703C"/>
    <w:rsid w:val="0018752C"/>
    <w:rsid w:val="00187887"/>
    <w:rsid w:val="0018791D"/>
    <w:rsid w:val="00187D90"/>
    <w:rsid w:val="00187F13"/>
    <w:rsid w:val="00190BE6"/>
    <w:rsid w:val="001911CC"/>
    <w:rsid w:val="0019167A"/>
    <w:rsid w:val="00192560"/>
    <w:rsid w:val="001942A7"/>
    <w:rsid w:val="001942D1"/>
    <w:rsid w:val="001943E5"/>
    <w:rsid w:val="00194716"/>
    <w:rsid w:val="00194F2B"/>
    <w:rsid w:val="00195AB4"/>
    <w:rsid w:val="00195DE6"/>
    <w:rsid w:val="00195E8A"/>
    <w:rsid w:val="00196290"/>
    <w:rsid w:val="001964BC"/>
    <w:rsid w:val="00196945"/>
    <w:rsid w:val="001970A7"/>
    <w:rsid w:val="00197276"/>
    <w:rsid w:val="001972D6"/>
    <w:rsid w:val="001976D3"/>
    <w:rsid w:val="00197880"/>
    <w:rsid w:val="001979CD"/>
    <w:rsid w:val="00197C07"/>
    <w:rsid w:val="001A14F7"/>
    <w:rsid w:val="001A1F48"/>
    <w:rsid w:val="001A3425"/>
    <w:rsid w:val="001A39EC"/>
    <w:rsid w:val="001A3CD5"/>
    <w:rsid w:val="001A3E41"/>
    <w:rsid w:val="001A490C"/>
    <w:rsid w:val="001A4E94"/>
    <w:rsid w:val="001A6C50"/>
    <w:rsid w:val="001A7125"/>
    <w:rsid w:val="001A733B"/>
    <w:rsid w:val="001A7600"/>
    <w:rsid w:val="001B0918"/>
    <w:rsid w:val="001B214A"/>
    <w:rsid w:val="001B249D"/>
    <w:rsid w:val="001B2AD7"/>
    <w:rsid w:val="001B2BCF"/>
    <w:rsid w:val="001B32B4"/>
    <w:rsid w:val="001B32F4"/>
    <w:rsid w:val="001B379B"/>
    <w:rsid w:val="001B37A6"/>
    <w:rsid w:val="001B3C6D"/>
    <w:rsid w:val="001B3D54"/>
    <w:rsid w:val="001B538C"/>
    <w:rsid w:val="001B54ED"/>
    <w:rsid w:val="001B6B7B"/>
    <w:rsid w:val="001B70B3"/>
    <w:rsid w:val="001B73FD"/>
    <w:rsid w:val="001C00AB"/>
    <w:rsid w:val="001C029E"/>
    <w:rsid w:val="001C1C99"/>
    <w:rsid w:val="001C29B4"/>
    <w:rsid w:val="001C29E5"/>
    <w:rsid w:val="001C41B8"/>
    <w:rsid w:val="001C4306"/>
    <w:rsid w:val="001C4460"/>
    <w:rsid w:val="001C4CAB"/>
    <w:rsid w:val="001C4F1D"/>
    <w:rsid w:val="001C53A3"/>
    <w:rsid w:val="001C548B"/>
    <w:rsid w:val="001C5EB9"/>
    <w:rsid w:val="001C6556"/>
    <w:rsid w:val="001C68BB"/>
    <w:rsid w:val="001C7720"/>
    <w:rsid w:val="001D018C"/>
    <w:rsid w:val="001D0923"/>
    <w:rsid w:val="001D0EF4"/>
    <w:rsid w:val="001D0FF3"/>
    <w:rsid w:val="001D1704"/>
    <w:rsid w:val="001D1716"/>
    <w:rsid w:val="001D1C87"/>
    <w:rsid w:val="001D20F0"/>
    <w:rsid w:val="001D23A9"/>
    <w:rsid w:val="001D2702"/>
    <w:rsid w:val="001D30E4"/>
    <w:rsid w:val="001D3334"/>
    <w:rsid w:val="001D36A3"/>
    <w:rsid w:val="001D481A"/>
    <w:rsid w:val="001D5745"/>
    <w:rsid w:val="001D5F10"/>
    <w:rsid w:val="001D6035"/>
    <w:rsid w:val="001D690E"/>
    <w:rsid w:val="001D6C10"/>
    <w:rsid w:val="001D7752"/>
    <w:rsid w:val="001D7ABA"/>
    <w:rsid w:val="001D7B11"/>
    <w:rsid w:val="001E0882"/>
    <w:rsid w:val="001E0B64"/>
    <w:rsid w:val="001E141D"/>
    <w:rsid w:val="001E15B2"/>
    <w:rsid w:val="001E1B6B"/>
    <w:rsid w:val="001E1F53"/>
    <w:rsid w:val="001E28C9"/>
    <w:rsid w:val="001E2D52"/>
    <w:rsid w:val="001E3206"/>
    <w:rsid w:val="001E3B0B"/>
    <w:rsid w:val="001E3C14"/>
    <w:rsid w:val="001E3C61"/>
    <w:rsid w:val="001E3EF2"/>
    <w:rsid w:val="001E40AB"/>
    <w:rsid w:val="001E4951"/>
    <w:rsid w:val="001E4DBB"/>
    <w:rsid w:val="001E50D6"/>
    <w:rsid w:val="001E6E3E"/>
    <w:rsid w:val="001E779F"/>
    <w:rsid w:val="001F0A1C"/>
    <w:rsid w:val="001F0ED6"/>
    <w:rsid w:val="001F1685"/>
    <w:rsid w:val="001F18CC"/>
    <w:rsid w:val="001F29FA"/>
    <w:rsid w:val="001F2EA7"/>
    <w:rsid w:val="001F2EFC"/>
    <w:rsid w:val="001F3621"/>
    <w:rsid w:val="001F3734"/>
    <w:rsid w:val="001F3BE9"/>
    <w:rsid w:val="001F3F9A"/>
    <w:rsid w:val="001F42C8"/>
    <w:rsid w:val="001F4417"/>
    <w:rsid w:val="001F4697"/>
    <w:rsid w:val="001F4BB2"/>
    <w:rsid w:val="001F4F40"/>
    <w:rsid w:val="001F5023"/>
    <w:rsid w:val="001F5413"/>
    <w:rsid w:val="001F555B"/>
    <w:rsid w:val="001F56A8"/>
    <w:rsid w:val="001F7044"/>
    <w:rsid w:val="001F7F8A"/>
    <w:rsid w:val="001F7FD2"/>
    <w:rsid w:val="002014DD"/>
    <w:rsid w:val="00201609"/>
    <w:rsid w:val="0020180C"/>
    <w:rsid w:val="002019FB"/>
    <w:rsid w:val="00201D75"/>
    <w:rsid w:val="002021A8"/>
    <w:rsid w:val="002025CE"/>
    <w:rsid w:val="002035AF"/>
    <w:rsid w:val="002037C5"/>
    <w:rsid w:val="00204358"/>
    <w:rsid w:val="00204E98"/>
    <w:rsid w:val="00205637"/>
    <w:rsid w:val="00205D57"/>
    <w:rsid w:val="00205D76"/>
    <w:rsid w:val="0020659F"/>
    <w:rsid w:val="002068B6"/>
    <w:rsid w:val="00206AC4"/>
    <w:rsid w:val="00206E5B"/>
    <w:rsid w:val="00206E93"/>
    <w:rsid w:val="00207032"/>
    <w:rsid w:val="002076FD"/>
    <w:rsid w:val="0020778B"/>
    <w:rsid w:val="00207C71"/>
    <w:rsid w:val="00207DB9"/>
    <w:rsid w:val="002102C3"/>
    <w:rsid w:val="002104E3"/>
    <w:rsid w:val="002105AC"/>
    <w:rsid w:val="00210C25"/>
    <w:rsid w:val="00211010"/>
    <w:rsid w:val="00211CCD"/>
    <w:rsid w:val="00212151"/>
    <w:rsid w:val="00212EA6"/>
    <w:rsid w:val="00213511"/>
    <w:rsid w:val="00213777"/>
    <w:rsid w:val="00213DEB"/>
    <w:rsid w:val="00214B73"/>
    <w:rsid w:val="00214DB0"/>
    <w:rsid w:val="0021500C"/>
    <w:rsid w:val="0021593B"/>
    <w:rsid w:val="00215A5B"/>
    <w:rsid w:val="00215ED8"/>
    <w:rsid w:val="00216301"/>
    <w:rsid w:val="00216C00"/>
    <w:rsid w:val="002179BE"/>
    <w:rsid w:val="0022005D"/>
    <w:rsid w:val="0022058A"/>
    <w:rsid w:val="00221294"/>
    <w:rsid w:val="00221959"/>
    <w:rsid w:val="00222A3B"/>
    <w:rsid w:val="00222A51"/>
    <w:rsid w:val="00222AA8"/>
    <w:rsid w:val="00223436"/>
    <w:rsid w:val="00223B10"/>
    <w:rsid w:val="00223B49"/>
    <w:rsid w:val="0022568E"/>
    <w:rsid w:val="0022598A"/>
    <w:rsid w:val="00226024"/>
    <w:rsid w:val="002271C5"/>
    <w:rsid w:val="0023077B"/>
    <w:rsid w:val="00230A71"/>
    <w:rsid w:val="00230F0D"/>
    <w:rsid w:val="00232C53"/>
    <w:rsid w:val="00232D8E"/>
    <w:rsid w:val="00232F76"/>
    <w:rsid w:val="002333B7"/>
    <w:rsid w:val="002336D8"/>
    <w:rsid w:val="00233B47"/>
    <w:rsid w:val="00233BCF"/>
    <w:rsid w:val="00234913"/>
    <w:rsid w:val="00234AE2"/>
    <w:rsid w:val="00235203"/>
    <w:rsid w:val="0023581A"/>
    <w:rsid w:val="00235C82"/>
    <w:rsid w:val="00236893"/>
    <w:rsid w:val="00236AAE"/>
    <w:rsid w:val="00237469"/>
    <w:rsid w:val="0024033A"/>
    <w:rsid w:val="002411F5"/>
    <w:rsid w:val="00241276"/>
    <w:rsid w:val="00241879"/>
    <w:rsid w:val="0024233F"/>
    <w:rsid w:val="00242397"/>
    <w:rsid w:val="00242827"/>
    <w:rsid w:val="002431F4"/>
    <w:rsid w:val="002435F6"/>
    <w:rsid w:val="002447E1"/>
    <w:rsid w:val="00244A88"/>
    <w:rsid w:val="00244DD5"/>
    <w:rsid w:val="002459C7"/>
    <w:rsid w:val="002471C8"/>
    <w:rsid w:val="00247C00"/>
    <w:rsid w:val="00250304"/>
    <w:rsid w:val="00251501"/>
    <w:rsid w:val="002516C5"/>
    <w:rsid w:val="002519CF"/>
    <w:rsid w:val="002519FD"/>
    <w:rsid w:val="00252178"/>
    <w:rsid w:val="00252907"/>
    <w:rsid w:val="002529FB"/>
    <w:rsid w:val="00252FC2"/>
    <w:rsid w:val="00253993"/>
    <w:rsid w:val="00254190"/>
    <w:rsid w:val="002542CE"/>
    <w:rsid w:val="002545B3"/>
    <w:rsid w:val="00255256"/>
    <w:rsid w:val="002554C1"/>
    <w:rsid w:val="00256E04"/>
    <w:rsid w:val="00257C49"/>
    <w:rsid w:val="00257D54"/>
    <w:rsid w:val="00260A69"/>
    <w:rsid w:val="00260A7F"/>
    <w:rsid w:val="00261048"/>
    <w:rsid w:val="002610FA"/>
    <w:rsid w:val="0026120B"/>
    <w:rsid w:val="00262379"/>
    <w:rsid w:val="00263354"/>
    <w:rsid w:val="002636A2"/>
    <w:rsid w:val="00263C6E"/>
    <w:rsid w:val="002642A8"/>
    <w:rsid w:val="00265937"/>
    <w:rsid w:val="0026763E"/>
    <w:rsid w:val="002676B2"/>
    <w:rsid w:val="002678D2"/>
    <w:rsid w:val="00267BE3"/>
    <w:rsid w:val="00270239"/>
    <w:rsid w:val="0027031C"/>
    <w:rsid w:val="0027095F"/>
    <w:rsid w:val="00270E41"/>
    <w:rsid w:val="00271ACF"/>
    <w:rsid w:val="00272256"/>
    <w:rsid w:val="00272259"/>
    <w:rsid w:val="002722C5"/>
    <w:rsid w:val="0027241D"/>
    <w:rsid w:val="002725A9"/>
    <w:rsid w:val="00272A40"/>
    <w:rsid w:val="0027376F"/>
    <w:rsid w:val="00273C91"/>
    <w:rsid w:val="00274EB3"/>
    <w:rsid w:val="00275561"/>
    <w:rsid w:val="00276237"/>
    <w:rsid w:val="00276A2B"/>
    <w:rsid w:val="00276B89"/>
    <w:rsid w:val="00277A00"/>
    <w:rsid w:val="00277A44"/>
    <w:rsid w:val="00277CC2"/>
    <w:rsid w:val="00277E90"/>
    <w:rsid w:val="002803CF"/>
    <w:rsid w:val="002805B8"/>
    <w:rsid w:val="00280A4C"/>
    <w:rsid w:val="00280F2E"/>
    <w:rsid w:val="002816A3"/>
    <w:rsid w:val="002816D9"/>
    <w:rsid w:val="002818AD"/>
    <w:rsid w:val="00281F6B"/>
    <w:rsid w:val="0028301E"/>
    <w:rsid w:val="00283976"/>
    <w:rsid w:val="002850C5"/>
    <w:rsid w:val="00285C1E"/>
    <w:rsid w:val="00285DAB"/>
    <w:rsid w:val="00286B08"/>
    <w:rsid w:val="00286E24"/>
    <w:rsid w:val="00286FA7"/>
    <w:rsid w:val="00290091"/>
    <w:rsid w:val="0029035C"/>
    <w:rsid w:val="002903A1"/>
    <w:rsid w:val="0029073F"/>
    <w:rsid w:val="002907B6"/>
    <w:rsid w:val="00290FC0"/>
    <w:rsid w:val="0029175B"/>
    <w:rsid w:val="00291B8A"/>
    <w:rsid w:val="002921DD"/>
    <w:rsid w:val="0029229C"/>
    <w:rsid w:val="00292C51"/>
    <w:rsid w:val="0029335A"/>
    <w:rsid w:val="0029356B"/>
    <w:rsid w:val="002937E8"/>
    <w:rsid w:val="0029385D"/>
    <w:rsid w:val="0029390E"/>
    <w:rsid w:val="002946D9"/>
    <w:rsid w:val="00294B74"/>
    <w:rsid w:val="00294DBA"/>
    <w:rsid w:val="00295694"/>
    <w:rsid w:val="00295B70"/>
    <w:rsid w:val="0029625A"/>
    <w:rsid w:val="002962B0"/>
    <w:rsid w:val="00297212"/>
    <w:rsid w:val="002A02F3"/>
    <w:rsid w:val="002A03CF"/>
    <w:rsid w:val="002A0A0B"/>
    <w:rsid w:val="002A0EF8"/>
    <w:rsid w:val="002A2095"/>
    <w:rsid w:val="002A34CB"/>
    <w:rsid w:val="002A3BA6"/>
    <w:rsid w:val="002A4387"/>
    <w:rsid w:val="002A46C2"/>
    <w:rsid w:val="002A49F9"/>
    <w:rsid w:val="002A5240"/>
    <w:rsid w:val="002A57D8"/>
    <w:rsid w:val="002A5FBA"/>
    <w:rsid w:val="002A6A38"/>
    <w:rsid w:val="002A75E3"/>
    <w:rsid w:val="002A76AC"/>
    <w:rsid w:val="002A7795"/>
    <w:rsid w:val="002A7EA3"/>
    <w:rsid w:val="002B0120"/>
    <w:rsid w:val="002B0138"/>
    <w:rsid w:val="002B1993"/>
    <w:rsid w:val="002B2597"/>
    <w:rsid w:val="002B3DB9"/>
    <w:rsid w:val="002B40EC"/>
    <w:rsid w:val="002B4DB1"/>
    <w:rsid w:val="002B513B"/>
    <w:rsid w:val="002B623D"/>
    <w:rsid w:val="002B63E7"/>
    <w:rsid w:val="002B7132"/>
    <w:rsid w:val="002B73BF"/>
    <w:rsid w:val="002B7CC6"/>
    <w:rsid w:val="002C01F8"/>
    <w:rsid w:val="002C0B50"/>
    <w:rsid w:val="002C10DD"/>
    <w:rsid w:val="002C1F6F"/>
    <w:rsid w:val="002C20E1"/>
    <w:rsid w:val="002C2317"/>
    <w:rsid w:val="002C2329"/>
    <w:rsid w:val="002C25AD"/>
    <w:rsid w:val="002C2D12"/>
    <w:rsid w:val="002C365C"/>
    <w:rsid w:val="002C3F87"/>
    <w:rsid w:val="002C4E12"/>
    <w:rsid w:val="002C4E85"/>
    <w:rsid w:val="002C4EAF"/>
    <w:rsid w:val="002C4EB9"/>
    <w:rsid w:val="002C5A43"/>
    <w:rsid w:val="002C5B33"/>
    <w:rsid w:val="002C642A"/>
    <w:rsid w:val="002C66E8"/>
    <w:rsid w:val="002C6B88"/>
    <w:rsid w:val="002C7581"/>
    <w:rsid w:val="002C7B54"/>
    <w:rsid w:val="002D0011"/>
    <w:rsid w:val="002D0D10"/>
    <w:rsid w:val="002D1EF9"/>
    <w:rsid w:val="002D2C06"/>
    <w:rsid w:val="002D345D"/>
    <w:rsid w:val="002D3E69"/>
    <w:rsid w:val="002D4DCC"/>
    <w:rsid w:val="002D55B1"/>
    <w:rsid w:val="002D5BE9"/>
    <w:rsid w:val="002D5F84"/>
    <w:rsid w:val="002D742C"/>
    <w:rsid w:val="002D789D"/>
    <w:rsid w:val="002E0460"/>
    <w:rsid w:val="002E1633"/>
    <w:rsid w:val="002E2426"/>
    <w:rsid w:val="002E24AD"/>
    <w:rsid w:val="002E27E3"/>
    <w:rsid w:val="002E2823"/>
    <w:rsid w:val="002E2C76"/>
    <w:rsid w:val="002E2FC8"/>
    <w:rsid w:val="002E2FED"/>
    <w:rsid w:val="002E3D14"/>
    <w:rsid w:val="002E4921"/>
    <w:rsid w:val="002E4AD4"/>
    <w:rsid w:val="002E4FBD"/>
    <w:rsid w:val="002E53BC"/>
    <w:rsid w:val="002E54AC"/>
    <w:rsid w:val="002E6800"/>
    <w:rsid w:val="002E781E"/>
    <w:rsid w:val="002E7D3A"/>
    <w:rsid w:val="002F0153"/>
    <w:rsid w:val="002F04EB"/>
    <w:rsid w:val="002F10DA"/>
    <w:rsid w:val="002F1457"/>
    <w:rsid w:val="002F3231"/>
    <w:rsid w:val="002F36DC"/>
    <w:rsid w:val="002F3DD8"/>
    <w:rsid w:val="002F4597"/>
    <w:rsid w:val="002F4896"/>
    <w:rsid w:val="002F4DB0"/>
    <w:rsid w:val="002F556D"/>
    <w:rsid w:val="002F55AC"/>
    <w:rsid w:val="002F5712"/>
    <w:rsid w:val="002F5ED1"/>
    <w:rsid w:val="002F7659"/>
    <w:rsid w:val="002F7A6D"/>
    <w:rsid w:val="003009B9"/>
    <w:rsid w:val="00300B51"/>
    <w:rsid w:val="00300DF6"/>
    <w:rsid w:val="0030163E"/>
    <w:rsid w:val="0030188F"/>
    <w:rsid w:val="00301BD6"/>
    <w:rsid w:val="00302C22"/>
    <w:rsid w:val="00303416"/>
    <w:rsid w:val="00303ED0"/>
    <w:rsid w:val="00304554"/>
    <w:rsid w:val="003046E4"/>
    <w:rsid w:val="00306145"/>
    <w:rsid w:val="00306612"/>
    <w:rsid w:val="00306A65"/>
    <w:rsid w:val="00306EEE"/>
    <w:rsid w:val="00307209"/>
    <w:rsid w:val="00307975"/>
    <w:rsid w:val="003079F6"/>
    <w:rsid w:val="00307EE8"/>
    <w:rsid w:val="00310AF2"/>
    <w:rsid w:val="003120D9"/>
    <w:rsid w:val="00312331"/>
    <w:rsid w:val="0031254B"/>
    <w:rsid w:val="0031254C"/>
    <w:rsid w:val="003136F7"/>
    <w:rsid w:val="00313749"/>
    <w:rsid w:val="00313E96"/>
    <w:rsid w:val="0031476E"/>
    <w:rsid w:val="003149DA"/>
    <w:rsid w:val="00314C59"/>
    <w:rsid w:val="003151B8"/>
    <w:rsid w:val="003154DE"/>
    <w:rsid w:val="003155D8"/>
    <w:rsid w:val="003164F4"/>
    <w:rsid w:val="003172DD"/>
    <w:rsid w:val="00317786"/>
    <w:rsid w:val="00317C8A"/>
    <w:rsid w:val="003207E3"/>
    <w:rsid w:val="003208A0"/>
    <w:rsid w:val="003209F7"/>
    <w:rsid w:val="00320B3D"/>
    <w:rsid w:val="00321A2E"/>
    <w:rsid w:val="00321D10"/>
    <w:rsid w:val="00321DE5"/>
    <w:rsid w:val="00322096"/>
    <w:rsid w:val="003227C2"/>
    <w:rsid w:val="0032293D"/>
    <w:rsid w:val="0032319C"/>
    <w:rsid w:val="00323D06"/>
    <w:rsid w:val="00324408"/>
    <w:rsid w:val="0032491F"/>
    <w:rsid w:val="00324932"/>
    <w:rsid w:val="00324A27"/>
    <w:rsid w:val="00324BE0"/>
    <w:rsid w:val="00324C71"/>
    <w:rsid w:val="0032631F"/>
    <w:rsid w:val="00326BC7"/>
    <w:rsid w:val="0032738F"/>
    <w:rsid w:val="003276B0"/>
    <w:rsid w:val="003300B0"/>
    <w:rsid w:val="003311C2"/>
    <w:rsid w:val="00331BC6"/>
    <w:rsid w:val="00331D5D"/>
    <w:rsid w:val="00331D7D"/>
    <w:rsid w:val="0033231A"/>
    <w:rsid w:val="0033258B"/>
    <w:rsid w:val="00332C3C"/>
    <w:rsid w:val="003331E1"/>
    <w:rsid w:val="00333B15"/>
    <w:rsid w:val="003340AA"/>
    <w:rsid w:val="0033430F"/>
    <w:rsid w:val="00334985"/>
    <w:rsid w:val="00335234"/>
    <w:rsid w:val="00335662"/>
    <w:rsid w:val="003357A8"/>
    <w:rsid w:val="003358C0"/>
    <w:rsid w:val="00336031"/>
    <w:rsid w:val="00336B92"/>
    <w:rsid w:val="003370DD"/>
    <w:rsid w:val="003373DD"/>
    <w:rsid w:val="003374A8"/>
    <w:rsid w:val="003375EF"/>
    <w:rsid w:val="00337BA2"/>
    <w:rsid w:val="0034091A"/>
    <w:rsid w:val="003419C1"/>
    <w:rsid w:val="00341B8D"/>
    <w:rsid w:val="003424A4"/>
    <w:rsid w:val="003430AA"/>
    <w:rsid w:val="00343369"/>
    <w:rsid w:val="00343646"/>
    <w:rsid w:val="003439A8"/>
    <w:rsid w:val="00343BDC"/>
    <w:rsid w:val="00343FE0"/>
    <w:rsid w:val="0034468B"/>
    <w:rsid w:val="00344748"/>
    <w:rsid w:val="003453FD"/>
    <w:rsid w:val="003457BD"/>
    <w:rsid w:val="00345CDB"/>
    <w:rsid w:val="00345EA2"/>
    <w:rsid w:val="00346372"/>
    <w:rsid w:val="003466D2"/>
    <w:rsid w:val="0034698B"/>
    <w:rsid w:val="00346B9D"/>
    <w:rsid w:val="00346CB3"/>
    <w:rsid w:val="003506C7"/>
    <w:rsid w:val="00350E23"/>
    <w:rsid w:val="00352376"/>
    <w:rsid w:val="0035240F"/>
    <w:rsid w:val="00352B43"/>
    <w:rsid w:val="00352BEE"/>
    <w:rsid w:val="00353390"/>
    <w:rsid w:val="0035339D"/>
    <w:rsid w:val="00353FC0"/>
    <w:rsid w:val="00354F09"/>
    <w:rsid w:val="003555E8"/>
    <w:rsid w:val="00355B4F"/>
    <w:rsid w:val="003577A7"/>
    <w:rsid w:val="00357CB6"/>
    <w:rsid w:val="00360A7C"/>
    <w:rsid w:val="003610C1"/>
    <w:rsid w:val="0036176D"/>
    <w:rsid w:val="0036183D"/>
    <w:rsid w:val="00361A82"/>
    <w:rsid w:val="00361D5B"/>
    <w:rsid w:val="0036309A"/>
    <w:rsid w:val="00363396"/>
    <w:rsid w:val="00363404"/>
    <w:rsid w:val="00363871"/>
    <w:rsid w:val="00363986"/>
    <w:rsid w:val="00363EB3"/>
    <w:rsid w:val="0036457E"/>
    <w:rsid w:val="0036465D"/>
    <w:rsid w:val="00364B95"/>
    <w:rsid w:val="003655F6"/>
    <w:rsid w:val="00365C08"/>
    <w:rsid w:val="003661FB"/>
    <w:rsid w:val="003663B8"/>
    <w:rsid w:val="0036796D"/>
    <w:rsid w:val="00370E34"/>
    <w:rsid w:val="00370F3A"/>
    <w:rsid w:val="00372094"/>
    <w:rsid w:val="003726CF"/>
    <w:rsid w:val="003727E0"/>
    <w:rsid w:val="00372B69"/>
    <w:rsid w:val="00373334"/>
    <w:rsid w:val="003733B5"/>
    <w:rsid w:val="0037392D"/>
    <w:rsid w:val="00374962"/>
    <w:rsid w:val="00374A0A"/>
    <w:rsid w:val="0037584B"/>
    <w:rsid w:val="00375D44"/>
    <w:rsid w:val="00375D81"/>
    <w:rsid w:val="00375F15"/>
    <w:rsid w:val="00376492"/>
    <w:rsid w:val="00376A18"/>
    <w:rsid w:val="00376A81"/>
    <w:rsid w:val="00376F1A"/>
    <w:rsid w:val="00377170"/>
    <w:rsid w:val="00377B5C"/>
    <w:rsid w:val="00377D4E"/>
    <w:rsid w:val="00377DA8"/>
    <w:rsid w:val="0038009C"/>
    <w:rsid w:val="00380148"/>
    <w:rsid w:val="0038068F"/>
    <w:rsid w:val="003806E2"/>
    <w:rsid w:val="003808FE"/>
    <w:rsid w:val="00381115"/>
    <w:rsid w:val="00382DDF"/>
    <w:rsid w:val="003832B0"/>
    <w:rsid w:val="00383560"/>
    <w:rsid w:val="003835F3"/>
    <w:rsid w:val="00383623"/>
    <w:rsid w:val="003837F6"/>
    <w:rsid w:val="00383A56"/>
    <w:rsid w:val="00383D06"/>
    <w:rsid w:val="00384902"/>
    <w:rsid w:val="00384F0C"/>
    <w:rsid w:val="00385199"/>
    <w:rsid w:val="00385F7D"/>
    <w:rsid w:val="0038609C"/>
    <w:rsid w:val="00386397"/>
    <w:rsid w:val="00386442"/>
    <w:rsid w:val="003867BF"/>
    <w:rsid w:val="00386CB7"/>
    <w:rsid w:val="0038735F"/>
    <w:rsid w:val="0038763B"/>
    <w:rsid w:val="003877E3"/>
    <w:rsid w:val="003877FB"/>
    <w:rsid w:val="0038783F"/>
    <w:rsid w:val="00387A57"/>
    <w:rsid w:val="00387A5D"/>
    <w:rsid w:val="0039048D"/>
    <w:rsid w:val="00391082"/>
    <w:rsid w:val="003913A9"/>
    <w:rsid w:val="00391BC2"/>
    <w:rsid w:val="00392224"/>
    <w:rsid w:val="003922D1"/>
    <w:rsid w:val="00392BF4"/>
    <w:rsid w:val="00392C88"/>
    <w:rsid w:val="0039300E"/>
    <w:rsid w:val="00393815"/>
    <w:rsid w:val="00394018"/>
    <w:rsid w:val="0039485C"/>
    <w:rsid w:val="00394C9D"/>
    <w:rsid w:val="00395141"/>
    <w:rsid w:val="003951F5"/>
    <w:rsid w:val="00396C26"/>
    <w:rsid w:val="00396F7E"/>
    <w:rsid w:val="00397361"/>
    <w:rsid w:val="003973A0"/>
    <w:rsid w:val="0039751C"/>
    <w:rsid w:val="003A06CF"/>
    <w:rsid w:val="003A139C"/>
    <w:rsid w:val="003A24A3"/>
    <w:rsid w:val="003A3380"/>
    <w:rsid w:val="003A3579"/>
    <w:rsid w:val="003A38B9"/>
    <w:rsid w:val="003A3FB9"/>
    <w:rsid w:val="003A4643"/>
    <w:rsid w:val="003A4BE7"/>
    <w:rsid w:val="003A5337"/>
    <w:rsid w:val="003A57E9"/>
    <w:rsid w:val="003A6595"/>
    <w:rsid w:val="003A689C"/>
    <w:rsid w:val="003A6F40"/>
    <w:rsid w:val="003A727F"/>
    <w:rsid w:val="003A734A"/>
    <w:rsid w:val="003A7B6D"/>
    <w:rsid w:val="003B0143"/>
    <w:rsid w:val="003B018C"/>
    <w:rsid w:val="003B0323"/>
    <w:rsid w:val="003B0409"/>
    <w:rsid w:val="003B149B"/>
    <w:rsid w:val="003B1907"/>
    <w:rsid w:val="003B197A"/>
    <w:rsid w:val="003B1991"/>
    <w:rsid w:val="003B1F38"/>
    <w:rsid w:val="003B221F"/>
    <w:rsid w:val="003B39AC"/>
    <w:rsid w:val="003B3C9F"/>
    <w:rsid w:val="003B4065"/>
    <w:rsid w:val="003B4798"/>
    <w:rsid w:val="003B49ED"/>
    <w:rsid w:val="003B4B3B"/>
    <w:rsid w:val="003B5249"/>
    <w:rsid w:val="003B55F1"/>
    <w:rsid w:val="003B5FCA"/>
    <w:rsid w:val="003B6156"/>
    <w:rsid w:val="003B6457"/>
    <w:rsid w:val="003B6BFC"/>
    <w:rsid w:val="003B6DEE"/>
    <w:rsid w:val="003B6F69"/>
    <w:rsid w:val="003B7A50"/>
    <w:rsid w:val="003C0AAA"/>
    <w:rsid w:val="003C1633"/>
    <w:rsid w:val="003C1ACD"/>
    <w:rsid w:val="003C1F4E"/>
    <w:rsid w:val="003C21D0"/>
    <w:rsid w:val="003C243C"/>
    <w:rsid w:val="003C3376"/>
    <w:rsid w:val="003C48C3"/>
    <w:rsid w:val="003C4C2F"/>
    <w:rsid w:val="003C4D2A"/>
    <w:rsid w:val="003C51F7"/>
    <w:rsid w:val="003C5F49"/>
    <w:rsid w:val="003C604B"/>
    <w:rsid w:val="003C6050"/>
    <w:rsid w:val="003C67FF"/>
    <w:rsid w:val="003C6813"/>
    <w:rsid w:val="003C6EBC"/>
    <w:rsid w:val="003C743C"/>
    <w:rsid w:val="003C783B"/>
    <w:rsid w:val="003C7AD7"/>
    <w:rsid w:val="003C7DA6"/>
    <w:rsid w:val="003D093C"/>
    <w:rsid w:val="003D0A16"/>
    <w:rsid w:val="003D0D2C"/>
    <w:rsid w:val="003D0E88"/>
    <w:rsid w:val="003D0F4F"/>
    <w:rsid w:val="003D191A"/>
    <w:rsid w:val="003D1CCC"/>
    <w:rsid w:val="003D2344"/>
    <w:rsid w:val="003D2714"/>
    <w:rsid w:val="003D2A41"/>
    <w:rsid w:val="003D348C"/>
    <w:rsid w:val="003D3A57"/>
    <w:rsid w:val="003D4831"/>
    <w:rsid w:val="003D59B7"/>
    <w:rsid w:val="003D609D"/>
    <w:rsid w:val="003D61EC"/>
    <w:rsid w:val="003D68FF"/>
    <w:rsid w:val="003E099B"/>
    <w:rsid w:val="003E0C5E"/>
    <w:rsid w:val="003E0C94"/>
    <w:rsid w:val="003E0D73"/>
    <w:rsid w:val="003E13FE"/>
    <w:rsid w:val="003E1505"/>
    <w:rsid w:val="003E164F"/>
    <w:rsid w:val="003E1681"/>
    <w:rsid w:val="003E18F2"/>
    <w:rsid w:val="003E1AE7"/>
    <w:rsid w:val="003E273C"/>
    <w:rsid w:val="003E2C93"/>
    <w:rsid w:val="003E3A19"/>
    <w:rsid w:val="003E453E"/>
    <w:rsid w:val="003E463E"/>
    <w:rsid w:val="003E6298"/>
    <w:rsid w:val="003E67E4"/>
    <w:rsid w:val="003E757E"/>
    <w:rsid w:val="003E7EDD"/>
    <w:rsid w:val="003F03AE"/>
    <w:rsid w:val="003F09D6"/>
    <w:rsid w:val="003F14BA"/>
    <w:rsid w:val="003F1608"/>
    <w:rsid w:val="003F1C82"/>
    <w:rsid w:val="003F219A"/>
    <w:rsid w:val="003F2AC1"/>
    <w:rsid w:val="003F5543"/>
    <w:rsid w:val="003F5836"/>
    <w:rsid w:val="003F691B"/>
    <w:rsid w:val="003F7465"/>
    <w:rsid w:val="003F7697"/>
    <w:rsid w:val="003F795B"/>
    <w:rsid w:val="004004CB"/>
    <w:rsid w:val="004011F6"/>
    <w:rsid w:val="00401571"/>
    <w:rsid w:val="00401656"/>
    <w:rsid w:val="00401692"/>
    <w:rsid w:val="00401C4C"/>
    <w:rsid w:val="00401E82"/>
    <w:rsid w:val="0040228D"/>
    <w:rsid w:val="004027B9"/>
    <w:rsid w:val="00402F6D"/>
    <w:rsid w:val="004036AA"/>
    <w:rsid w:val="004037C5"/>
    <w:rsid w:val="00403A21"/>
    <w:rsid w:val="004054DC"/>
    <w:rsid w:val="00406E96"/>
    <w:rsid w:val="004102C5"/>
    <w:rsid w:val="00410AFD"/>
    <w:rsid w:val="00410F78"/>
    <w:rsid w:val="00411273"/>
    <w:rsid w:val="00411499"/>
    <w:rsid w:val="00413D8A"/>
    <w:rsid w:val="00413FC7"/>
    <w:rsid w:val="00414D92"/>
    <w:rsid w:val="0041512D"/>
    <w:rsid w:val="004152B9"/>
    <w:rsid w:val="00415A76"/>
    <w:rsid w:val="004166B1"/>
    <w:rsid w:val="004173EC"/>
    <w:rsid w:val="0041762A"/>
    <w:rsid w:val="004206C9"/>
    <w:rsid w:val="00420BF9"/>
    <w:rsid w:val="00420D67"/>
    <w:rsid w:val="00421223"/>
    <w:rsid w:val="00421734"/>
    <w:rsid w:val="00421A57"/>
    <w:rsid w:val="00421E27"/>
    <w:rsid w:val="004224E2"/>
    <w:rsid w:val="0042364D"/>
    <w:rsid w:val="00424131"/>
    <w:rsid w:val="004241AD"/>
    <w:rsid w:val="004243D1"/>
    <w:rsid w:val="0042457A"/>
    <w:rsid w:val="004246CC"/>
    <w:rsid w:val="004248E9"/>
    <w:rsid w:val="00424C6A"/>
    <w:rsid w:val="00424E8C"/>
    <w:rsid w:val="0042610B"/>
    <w:rsid w:val="00426DB7"/>
    <w:rsid w:val="00427C86"/>
    <w:rsid w:val="004307B1"/>
    <w:rsid w:val="00431077"/>
    <w:rsid w:val="00431158"/>
    <w:rsid w:val="004318C7"/>
    <w:rsid w:val="00431A2F"/>
    <w:rsid w:val="00432570"/>
    <w:rsid w:val="0043296B"/>
    <w:rsid w:val="00433B9C"/>
    <w:rsid w:val="00434F14"/>
    <w:rsid w:val="004351D9"/>
    <w:rsid w:val="00435322"/>
    <w:rsid w:val="00435D7B"/>
    <w:rsid w:val="004365E4"/>
    <w:rsid w:val="0043751B"/>
    <w:rsid w:val="004400EE"/>
    <w:rsid w:val="004406AB"/>
    <w:rsid w:val="0044087A"/>
    <w:rsid w:val="00440B01"/>
    <w:rsid w:val="00441161"/>
    <w:rsid w:val="004420F5"/>
    <w:rsid w:val="00442165"/>
    <w:rsid w:val="004429BA"/>
    <w:rsid w:val="004439EA"/>
    <w:rsid w:val="00443C32"/>
    <w:rsid w:val="00444217"/>
    <w:rsid w:val="00444532"/>
    <w:rsid w:val="00444760"/>
    <w:rsid w:val="00444A27"/>
    <w:rsid w:val="0044541C"/>
    <w:rsid w:val="004464F0"/>
    <w:rsid w:val="004466A3"/>
    <w:rsid w:val="00446720"/>
    <w:rsid w:val="00446FCD"/>
    <w:rsid w:val="004470DA"/>
    <w:rsid w:val="0044760C"/>
    <w:rsid w:val="004478DF"/>
    <w:rsid w:val="0045061C"/>
    <w:rsid w:val="0045091E"/>
    <w:rsid w:val="004513B7"/>
    <w:rsid w:val="00451C3D"/>
    <w:rsid w:val="004521EF"/>
    <w:rsid w:val="0045237A"/>
    <w:rsid w:val="0045243E"/>
    <w:rsid w:val="004525E3"/>
    <w:rsid w:val="00453681"/>
    <w:rsid w:val="00454162"/>
    <w:rsid w:val="00454779"/>
    <w:rsid w:val="004549FA"/>
    <w:rsid w:val="00454B1B"/>
    <w:rsid w:val="00454CBD"/>
    <w:rsid w:val="00454CF0"/>
    <w:rsid w:val="00454DFA"/>
    <w:rsid w:val="004554BB"/>
    <w:rsid w:val="00455E77"/>
    <w:rsid w:val="00456A4B"/>
    <w:rsid w:val="00456FE6"/>
    <w:rsid w:val="004571C4"/>
    <w:rsid w:val="004572B5"/>
    <w:rsid w:val="00457724"/>
    <w:rsid w:val="0046044D"/>
    <w:rsid w:val="00460570"/>
    <w:rsid w:val="004616B0"/>
    <w:rsid w:val="00461DB8"/>
    <w:rsid w:val="004620AB"/>
    <w:rsid w:val="00462245"/>
    <w:rsid w:val="00462A40"/>
    <w:rsid w:val="004633AE"/>
    <w:rsid w:val="00464E53"/>
    <w:rsid w:val="00465220"/>
    <w:rsid w:val="00466AE7"/>
    <w:rsid w:val="00466BE0"/>
    <w:rsid w:val="00466D51"/>
    <w:rsid w:val="004672DE"/>
    <w:rsid w:val="00467361"/>
    <w:rsid w:val="0046756D"/>
    <w:rsid w:val="004676E5"/>
    <w:rsid w:val="004677E9"/>
    <w:rsid w:val="0047023C"/>
    <w:rsid w:val="00471BE4"/>
    <w:rsid w:val="00471EAE"/>
    <w:rsid w:val="00472573"/>
    <w:rsid w:val="00473060"/>
    <w:rsid w:val="00473552"/>
    <w:rsid w:val="00473DB7"/>
    <w:rsid w:val="00474192"/>
    <w:rsid w:val="00474C78"/>
    <w:rsid w:val="00475075"/>
    <w:rsid w:val="00475870"/>
    <w:rsid w:val="00475A02"/>
    <w:rsid w:val="004763F3"/>
    <w:rsid w:val="004768DB"/>
    <w:rsid w:val="004769C4"/>
    <w:rsid w:val="00477EED"/>
    <w:rsid w:val="00477F38"/>
    <w:rsid w:val="00480321"/>
    <w:rsid w:val="004803ED"/>
    <w:rsid w:val="00480DBD"/>
    <w:rsid w:val="00480EC4"/>
    <w:rsid w:val="004811C5"/>
    <w:rsid w:val="0048131C"/>
    <w:rsid w:val="004818B0"/>
    <w:rsid w:val="00481BB9"/>
    <w:rsid w:val="00481CEB"/>
    <w:rsid w:val="004827B0"/>
    <w:rsid w:val="0048282B"/>
    <w:rsid w:val="00482B70"/>
    <w:rsid w:val="0048374E"/>
    <w:rsid w:val="00483EEA"/>
    <w:rsid w:val="004847BD"/>
    <w:rsid w:val="00484DD7"/>
    <w:rsid w:val="00484F40"/>
    <w:rsid w:val="00485244"/>
    <w:rsid w:val="00485534"/>
    <w:rsid w:val="00486DA0"/>
    <w:rsid w:val="00487A8C"/>
    <w:rsid w:val="00487B6E"/>
    <w:rsid w:val="00487C1E"/>
    <w:rsid w:val="00487CBD"/>
    <w:rsid w:val="00487D9C"/>
    <w:rsid w:val="00490303"/>
    <w:rsid w:val="0049056B"/>
    <w:rsid w:val="0049059D"/>
    <w:rsid w:val="00490D7F"/>
    <w:rsid w:val="00490DCD"/>
    <w:rsid w:val="00491164"/>
    <w:rsid w:val="00491980"/>
    <w:rsid w:val="0049216A"/>
    <w:rsid w:val="004921C9"/>
    <w:rsid w:val="0049246E"/>
    <w:rsid w:val="00494E94"/>
    <w:rsid w:val="00495163"/>
    <w:rsid w:val="004951B1"/>
    <w:rsid w:val="0049553B"/>
    <w:rsid w:val="004958B9"/>
    <w:rsid w:val="0049645A"/>
    <w:rsid w:val="00496C93"/>
    <w:rsid w:val="004972F0"/>
    <w:rsid w:val="004978E6"/>
    <w:rsid w:val="004978F4"/>
    <w:rsid w:val="00497CFF"/>
    <w:rsid w:val="00497FAE"/>
    <w:rsid w:val="004A0714"/>
    <w:rsid w:val="004A0E6C"/>
    <w:rsid w:val="004A1866"/>
    <w:rsid w:val="004A1C94"/>
    <w:rsid w:val="004A233A"/>
    <w:rsid w:val="004A30B4"/>
    <w:rsid w:val="004A4A60"/>
    <w:rsid w:val="004A4E0B"/>
    <w:rsid w:val="004A4EE2"/>
    <w:rsid w:val="004A4FF5"/>
    <w:rsid w:val="004A5084"/>
    <w:rsid w:val="004A5E99"/>
    <w:rsid w:val="004A5F09"/>
    <w:rsid w:val="004A6DE8"/>
    <w:rsid w:val="004A7911"/>
    <w:rsid w:val="004B0724"/>
    <w:rsid w:val="004B1A42"/>
    <w:rsid w:val="004B2569"/>
    <w:rsid w:val="004B2F0D"/>
    <w:rsid w:val="004B415E"/>
    <w:rsid w:val="004B546C"/>
    <w:rsid w:val="004B59EB"/>
    <w:rsid w:val="004B5B90"/>
    <w:rsid w:val="004B632F"/>
    <w:rsid w:val="004B6368"/>
    <w:rsid w:val="004B6B8C"/>
    <w:rsid w:val="004B743C"/>
    <w:rsid w:val="004B7D85"/>
    <w:rsid w:val="004B7FF8"/>
    <w:rsid w:val="004C02A9"/>
    <w:rsid w:val="004C04B8"/>
    <w:rsid w:val="004C0B83"/>
    <w:rsid w:val="004C1E80"/>
    <w:rsid w:val="004C2187"/>
    <w:rsid w:val="004C236F"/>
    <w:rsid w:val="004C2573"/>
    <w:rsid w:val="004C3F4A"/>
    <w:rsid w:val="004C4072"/>
    <w:rsid w:val="004C4726"/>
    <w:rsid w:val="004C4A33"/>
    <w:rsid w:val="004C54CD"/>
    <w:rsid w:val="004C5AB3"/>
    <w:rsid w:val="004C5F3C"/>
    <w:rsid w:val="004C6048"/>
    <w:rsid w:val="004C6849"/>
    <w:rsid w:val="004C6A4B"/>
    <w:rsid w:val="004D02B8"/>
    <w:rsid w:val="004D0469"/>
    <w:rsid w:val="004D0584"/>
    <w:rsid w:val="004D0912"/>
    <w:rsid w:val="004D1023"/>
    <w:rsid w:val="004D11AD"/>
    <w:rsid w:val="004D231D"/>
    <w:rsid w:val="004D279C"/>
    <w:rsid w:val="004D29C5"/>
    <w:rsid w:val="004D6650"/>
    <w:rsid w:val="004D769C"/>
    <w:rsid w:val="004D7EC3"/>
    <w:rsid w:val="004E08CB"/>
    <w:rsid w:val="004E1D58"/>
    <w:rsid w:val="004E3016"/>
    <w:rsid w:val="004E3158"/>
    <w:rsid w:val="004E31E3"/>
    <w:rsid w:val="004E335C"/>
    <w:rsid w:val="004E35B4"/>
    <w:rsid w:val="004E3CFE"/>
    <w:rsid w:val="004E4488"/>
    <w:rsid w:val="004E4BAE"/>
    <w:rsid w:val="004E559C"/>
    <w:rsid w:val="004E657E"/>
    <w:rsid w:val="004E6DFB"/>
    <w:rsid w:val="004E7020"/>
    <w:rsid w:val="004E7CE6"/>
    <w:rsid w:val="004F017F"/>
    <w:rsid w:val="004F0C32"/>
    <w:rsid w:val="004F0DC5"/>
    <w:rsid w:val="004F1B03"/>
    <w:rsid w:val="004F208E"/>
    <w:rsid w:val="004F2162"/>
    <w:rsid w:val="004F229E"/>
    <w:rsid w:val="004F3235"/>
    <w:rsid w:val="004F36B7"/>
    <w:rsid w:val="004F3BCE"/>
    <w:rsid w:val="004F5166"/>
    <w:rsid w:val="004F5775"/>
    <w:rsid w:val="004F6068"/>
    <w:rsid w:val="004F673A"/>
    <w:rsid w:val="004F7C26"/>
    <w:rsid w:val="004F7F95"/>
    <w:rsid w:val="0050002E"/>
    <w:rsid w:val="005011AD"/>
    <w:rsid w:val="005012BE"/>
    <w:rsid w:val="00501404"/>
    <w:rsid w:val="0050144D"/>
    <w:rsid w:val="005016EA"/>
    <w:rsid w:val="0050179E"/>
    <w:rsid w:val="00501EAA"/>
    <w:rsid w:val="00502FA4"/>
    <w:rsid w:val="0050325F"/>
    <w:rsid w:val="00503B97"/>
    <w:rsid w:val="00503EF1"/>
    <w:rsid w:val="00505A2B"/>
    <w:rsid w:val="00507001"/>
    <w:rsid w:val="0050730E"/>
    <w:rsid w:val="00507922"/>
    <w:rsid w:val="00507BC2"/>
    <w:rsid w:val="00510525"/>
    <w:rsid w:val="00510B41"/>
    <w:rsid w:val="00510DD5"/>
    <w:rsid w:val="00510F49"/>
    <w:rsid w:val="00511CD5"/>
    <w:rsid w:val="00511E98"/>
    <w:rsid w:val="00511F51"/>
    <w:rsid w:val="00512667"/>
    <w:rsid w:val="00512849"/>
    <w:rsid w:val="00512D9A"/>
    <w:rsid w:val="00512ECC"/>
    <w:rsid w:val="0051359B"/>
    <w:rsid w:val="00513761"/>
    <w:rsid w:val="00514223"/>
    <w:rsid w:val="0051541F"/>
    <w:rsid w:val="0051578D"/>
    <w:rsid w:val="00515C72"/>
    <w:rsid w:val="00516AAB"/>
    <w:rsid w:val="00516D6F"/>
    <w:rsid w:val="00516F60"/>
    <w:rsid w:val="005172C0"/>
    <w:rsid w:val="005173E0"/>
    <w:rsid w:val="00517D3F"/>
    <w:rsid w:val="005202E0"/>
    <w:rsid w:val="005207E3"/>
    <w:rsid w:val="0052349C"/>
    <w:rsid w:val="005239C7"/>
    <w:rsid w:val="00523CF7"/>
    <w:rsid w:val="00524648"/>
    <w:rsid w:val="005250B3"/>
    <w:rsid w:val="005252E5"/>
    <w:rsid w:val="00525FE5"/>
    <w:rsid w:val="005263D7"/>
    <w:rsid w:val="005265AA"/>
    <w:rsid w:val="005270CD"/>
    <w:rsid w:val="0053085A"/>
    <w:rsid w:val="00530D33"/>
    <w:rsid w:val="0053160C"/>
    <w:rsid w:val="0053164F"/>
    <w:rsid w:val="0053177C"/>
    <w:rsid w:val="00531B8B"/>
    <w:rsid w:val="00532779"/>
    <w:rsid w:val="005327D0"/>
    <w:rsid w:val="00532985"/>
    <w:rsid w:val="005336FC"/>
    <w:rsid w:val="00533BC0"/>
    <w:rsid w:val="00533C97"/>
    <w:rsid w:val="00535818"/>
    <w:rsid w:val="0053649E"/>
    <w:rsid w:val="005371A7"/>
    <w:rsid w:val="00537533"/>
    <w:rsid w:val="00537954"/>
    <w:rsid w:val="00537BF1"/>
    <w:rsid w:val="00537F5A"/>
    <w:rsid w:val="00540522"/>
    <w:rsid w:val="005408A1"/>
    <w:rsid w:val="005409E8"/>
    <w:rsid w:val="00540EA8"/>
    <w:rsid w:val="0054221C"/>
    <w:rsid w:val="005434D3"/>
    <w:rsid w:val="00543E3B"/>
    <w:rsid w:val="005443DC"/>
    <w:rsid w:val="005445D9"/>
    <w:rsid w:val="00544D22"/>
    <w:rsid w:val="005454CC"/>
    <w:rsid w:val="005457A1"/>
    <w:rsid w:val="00545DF4"/>
    <w:rsid w:val="0054770B"/>
    <w:rsid w:val="00550336"/>
    <w:rsid w:val="00550682"/>
    <w:rsid w:val="00550854"/>
    <w:rsid w:val="0055112C"/>
    <w:rsid w:val="0055139B"/>
    <w:rsid w:val="005515D7"/>
    <w:rsid w:val="00551872"/>
    <w:rsid w:val="0055198A"/>
    <w:rsid w:val="00551BC5"/>
    <w:rsid w:val="00551C27"/>
    <w:rsid w:val="005522BC"/>
    <w:rsid w:val="005525E7"/>
    <w:rsid w:val="005526D9"/>
    <w:rsid w:val="00552E5B"/>
    <w:rsid w:val="00553860"/>
    <w:rsid w:val="005549A5"/>
    <w:rsid w:val="00554C6A"/>
    <w:rsid w:val="005557CE"/>
    <w:rsid w:val="005558E1"/>
    <w:rsid w:val="00555917"/>
    <w:rsid w:val="00555A0D"/>
    <w:rsid w:val="00556589"/>
    <w:rsid w:val="00556AB0"/>
    <w:rsid w:val="00557132"/>
    <w:rsid w:val="0055713D"/>
    <w:rsid w:val="0056011F"/>
    <w:rsid w:val="00560B95"/>
    <w:rsid w:val="0056217C"/>
    <w:rsid w:val="0056259C"/>
    <w:rsid w:val="00562947"/>
    <w:rsid w:val="00562C52"/>
    <w:rsid w:val="00563869"/>
    <w:rsid w:val="00563D2C"/>
    <w:rsid w:val="0056405B"/>
    <w:rsid w:val="00564958"/>
    <w:rsid w:val="005657D9"/>
    <w:rsid w:val="00565B46"/>
    <w:rsid w:val="00565B7E"/>
    <w:rsid w:val="00565DE5"/>
    <w:rsid w:val="00565F6E"/>
    <w:rsid w:val="00565FC6"/>
    <w:rsid w:val="00566C3C"/>
    <w:rsid w:val="005676B3"/>
    <w:rsid w:val="00567B93"/>
    <w:rsid w:val="00567C8F"/>
    <w:rsid w:val="0057056F"/>
    <w:rsid w:val="00571497"/>
    <w:rsid w:val="0057267C"/>
    <w:rsid w:val="00573AAF"/>
    <w:rsid w:val="0057406E"/>
    <w:rsid w:val="0057552A"/>
    <w:rsid w:val="00575D93"/>
    <w:rsid w:val="00576008"/>
    <w:rsid w:val="00576864"/>
    <w:rsid w:val="00577A65"/>
    <w:rsid w:val="00580389"/>
    <w:rsid w:val="00580E5A"/>
    <w:rsid w:val="005815BE"/>
    <w:rsid w:val="005816FB"/>
    <w:rsid w:val="0058194A"/>
    <w:rsid w:val="005822D1"/>
    <w:rsid w:val="00582761"/>
    <w:rsid w:val="00582DA8"/>
    <w:rsid w:val="0058366A"/>
    <w:rsid w:val="00583CD9"/>
    <w:rsid w:val="00584E6B"/>
    <w:rsid w:val="00585AB7"/>
    <w:rsid w:val="0058628D"/>
    <w:rsid w:val="00587951"/>
    <w:rsid w:val="00587D4C"/>
    <w:rsid w:val="005909F0"/>
    <w:rsid w:val="005918B9"/>
    <w:rsid w:val="00594062"/>
    <w:rsid w:val="00594670"/>
    <w:rsid w:val="00594AB5"/>
    <w:rsid w:val="00594EA9"/>
    <w:rsid w:val="00595141"/>
    <w:rsid w:val="00595AB8"/>
    <w:rsid w:val="00595E7E"/>
    <w:rsid w:val="00595F51"/>
    <w:rsid w:val="00596345"/>
    <w:rsid w:val="005966D6"/>
    <w:rsid w:val="00596A03"/>
    <w:rsid w:val="00597FA1"/>
    <w:rsid w:val="005A01D5"/>
    <w:rsid w:val="005A142A"/>
    <w:rsid w:val="005A1468"/>
    <w:rsid w:val="005A276F"/>
    <w:rsid w:val="005A2CCF"/>
    <w:rsid w:val="005A2D48"/>
    <w:rsid w:val="005A3886"/>
    <w:rsid w:val="005A38F2"/>
    <w:rsid w:val="005A45F5"/>
    <w:rsid w:val="005A5590"/>
    <w:rsid w:val="005A5EA3"/>
    <w:rsid w:val="005A639A"/>
    <w:rsid w:val="005A69CF"/>
    <w:rsid w:val="005A6C21"/>
    <w:rsid w:val="005A7AF3"/>
    <w:rsid w:val="005A7BDF"/>
    <w:rsid w:val="005B0A44"/>
    <w:rsid w:val="005B19AE"/>
    <w:rsid w:val="005B1B3E"/>
    <w:rsid w:val="005B2150"/>
    <w:rsid w:val="005B29AF"/>
    <w:rsid w:val="005B3B0A"/>
    <w:rsid w:val="005B4CB8"/>
    <w:rsid w:val="005B512C"/>
    <w:rsid w:val="005B54EF"/>
    <w:rsid w:val="005B586F"/>
    <w:rsid w:val="005B59CB"/>
    <w:rsid w:val="005B5C27"/>
    <w:rsid w:val="005B665A"/>
    <w:rsid w:val="005B7D0B"/>
    <w:rsid w:val="005C09A7"/>
    <w:rsid w:val="005C1F1D"/>
    <w:rsid w:val="005C255D"/>
    <w:rsid w:val="005C264C"/>
    <w:rsid w:val="005C28B9"/>
    <w:rsid w:val="005C2F67"/>
    <w:rsid w:val="005C33D9"/>
    <w:rsid w:val="005C39C6"/>
    <w:rsid w:val="005C39E8"/>
    <w:rsid w:val="005C3A5A"/>
    <w:rsid w:val="005C4BD6"/>
    <w:rsid w:val="005C4C9A"/>
    <w:rsid w:val="005C5147"/>
    <w:rsid w:val="005C60C7"/>
    <w:rsid w:val="005C6B26"/>
    <w:rsid w:val="005C6E26"/>
    <w:rsid w:val="005C6F60"/>
    <w:rsid w:val="005C7364"/>
    <w:rsid w:val="005C7E67"/>
    <w:rsid w:val="005D0E65"/>
    <w:rsid w:val="005D1FD1"/>
    <w:rsid w:val="005D25FB"/>
    <w:rsid w:val="005D2DF7"/>
    <w:rsid w:val="005D2E79"/>
    <w:rsid w:val="005D387A"/>
    <w:rsid w:val="005D38EE"/>
    <w:rsid w:val="005D440C"/>
    <w:rsid w:val="005D4845"/>
    <w:rsid w:val="005D4F10"/>
    <w:rsid w:val="005D504C"/>
    <w:rsid w:val="005D5B4F"/>
    <w:rsid w:val="005D5EBF"/>
    <w:rsid w:val="005D5F22"/>
    <w:rsid w:val="005D600E"/>
    <w:rsid w:val="005D6677"/>
    <w:rsid w:val="005D7ED3"/>
    <w:rsid w:val="005E0151"/>
    <w:rsid w:val="005E0230"/>
    <w:rsid w:val="005E0D0C"/>
    <w:rsid w:val="005E0D94"/>
    <w:rsid w:val="005E0DCD"/>
    <w:rsid w:val="005E110D"/>
    <w:rsid w:val="005E117E"/>
    <w:rsid w:val="005E1687"/>
    <w:rsid w:val="005E196C"/>
    <w:rsid w:val="005E1B47"/>
    <w:rsid w:val="005E1CFC"/>
    <w:rsid w:val="005E1DE3"/>
    <w:rsid w:val="005E230F"/>
    <w:rsid w:val="005E2B99"/>
    <w:rsid w:val="005E3281"/>
    <w:rsid w:val="005E33D1"/>
    <w:rsid w:val="005E429D"/>
    <w:rsid w:val="005E47CD"/>
    <w:rsid w:val="005E4AC3"/>
    <w:rsid w:val="005E55DB"/>
    <w:rsid w:val="005E5986"/>
    <w:rsid w:val="005E6271"/>
    <w:rsid w:val="005E6AC1"/>
    <w:rsid w:val="005F0380"/>
    <w:rsid w:val="005F0C0D"/>
    <w:rsid w:val="005F13D9"/>
    <w:rsid w:val="005F1CE4"/>
    <w:rsid w:val="005F2035"/>
    <w:rsid w:val="005F25B3"/>
    <w:rsid w:val="005F303F"/>
    <w:rsid w:val="005F312E"/>
    <w:rsid w:val="005F356B"/>
    <w:rsid w:val="005F3821"/>
    <w:rsid w:val="005F3AC9"/>
    <w:rsid w:val="005F3B5F"/>
    <w:rsid w:val="005F3BD8"/>
    <w:rsid w:val="005F4699"/>
    <w:rsid w:val="005F4723"/>
    <w:rsid w:val="005F5405"/>
    <w:rsid w:val="005F6978"/>
    <w:rsid w:val="005F72E1"/>
    <w:rsid w:val="005F773A"/>
    <w:rsid w:val="005F7878"/>
    <w:rsid w:val="005F7C28"/>
    <w:rsid w:val="00600199"/>
    <w:rsid w:val="00600991"/>
    <w:rsid w:val="00600C4D"/>
    <w:rsid w:val="00601A98"/>
    <w:rsid w:val="00601D38"/>
    <w:rsid w:val="0060300B"/>
    <w:rsid w:val="00603230"/>
    <w:rsid w:val="00603C52"/>
    <w:rsid w:val="00604810"/>
    <w:rsid w:val="00604C71"/>
    <w:rsid w:val="0060608B"/>
    <w:rsid w:val="0060669E"/>
    <w:rsid w:val="00606AFB"/>
    <w:rsid w:val="00606E5C"/>
    <w:rsid w:val="00607E0A"/>
    <w:rsid w:val="0061024E"/>
    <w:rsid w:val="0061103E"/>
    <w:rsid w:val="0061150C"/>
    <w:rsid w:val="00611D12"/>
    <w:rsid w:val="0061280B"/>
    <w:rsid w:val="006130BB"/>
    <w:rsid w:val="0061324C"/>
    <w:rsid w:val="006138A1"/>
    <w:rsid w:val="006144B2"/>
    <w:rsid w:val="0061484E"/>
    <w:rsid w:val="00614D0E"/>
    <w:rsid w:val="00615436"/>
    <w:rsid w:val="006156B0"/>
    <w:rsid w:val="00615773"/>
    <w:rsid w:val="00615AE3"/>
    <w:rsid w:val="00616029"/>
    <w:rsid w:val="0061695C"/>
    <w:rsid w:val="00616ECB"/>
    <w:rsid w:val="00616ECD"/>
    <w:rsid w:val="0061778B"/>
    <w:rsid w:val="00617FF4"/>
    <w:rsid w:val="00620AB3"/>
    <w:rsid w:val="0062176F"/>
    <w:rsid w:val="0062217F"/>
    <w:rsid w:val="006223F3"/>
    <w:rsid w:val="00623582"/>
    <w:rsid w:val="00623710"/>
    <w:rsid w:val="006239F6"/>
    <w:rsid w:val="0062415C"/>
    <w:rsid w:val="006241B6"/>
    <w:rsid w:val="006241BA"/>
    <w:rsid w:val="00624635"/>
    <w:rsid w:val="006249C0"/>
    <w:rsid w:val="00624E27"/>
    <w:rsid w:val="00624F97"/>
    <w:rsid w:val="00625627"/>
    <w:rsid w:val="006257E2"/>
    <w:rsid w:val="00626978"/>
    <w:rsid w:val="00627868"/>
    <w:rsid w:val="006303BD"/>
    <w:rsid w:val="0063044B"/>
    <w:rsid w:val="00630A9F"/>
    <w:rsid w:val="00630C70"/>
    <w:rsid w:val="00631196"/>
    <w:rsid w:val="0063138C"/>
    <w:rsid w:val="00631472"/>
    <w:rsid w:val="006316E6"/>
    <w:rsid w:val="00631F60"/>
    <w:rsid w:val="00632FDD"/>
    <w:rsid w:val="006330D9"/>
    <w:rsid w:val="00633173"/>
    <w:rsid w:val="00634791"/>
    <w:rsid w:val="00634D3E"/>
    <w:rsid w:val="00635A45"/>
    <w:rsid w:val="006367BB"/>
    <w:rsid w:val="00640F0E"/>
    <w:rsid w:val="00643DF5"/>
    <w:rsid w:val="006441E4"/>
    <w:rsid w:val="0064425B"/>
    <w:rsid w:val="006443B2"/>
    <w:rsid w:val="00644813"/>
    <w:rsid w:val="00644979"/>
    <w:rsid w:val="0064615C"/>
    <w:rsid w:val="00646999"/>
    <w:rsid w:val="00646CF3"/>
    <w:rsid w:val="006471C9"/>
    <w:rsid w:val="00647BD1"/>
    <w:rsid w:val="00652600"/>
    <w:rsid w:val="00653379"/>
    <w:rsid w:val="00653652"/>
    <w:rsid w:val="0065391B"/>
    <w:rsid w:val="0065469F"/>
    <w:rsid w:val="00654800"/>
    <w:rsid w:val="00654898"/>
    <w:rsid w:val="00654B94"/>
    <w:rsid w:val="00654BFF"/>
    <w:rsid w:val="00654F56"/>
    <w:rsid w:val="006551DA"/>
    <w:rsid w:val="00655889"/>
    <w:rsid w:val="00655FD9"/>
    <w:rsid w:val="00656045"/>
    <w:rsid w:val="00656F3F"/>
    <w:rsid w:val="00657290"/>
    <w:rsid w:val="00660849"/>
    <w:rsid w:val="00660C5A"/>
    <w:rsid w:val="00660CF0"/>
    <w:rsid w:val="00660F50"/>
    <w:rsid w:val="00661076"/>
    <w:rsid w:val="00661C3C"/>
    <w:rsid w:val="00661EBD"/>
    <w:rsid w:val="00663098"/>
    <w:rsid w:val="00664628"/>
    <w:rsid w:val="00664EE0"/>
    <w:rsid w:val="00665222"/>
    <w:rsid w:val="006652C7"/>
    <w:rsid w:val="00665B48"/>
    <w:rsid w:val="0066609E"/>
    <w:rsid w:val="006677F5"/>
    <w:rsid w:val="006702CF"/>
    <w:rsid w:val="0067031E"/>
    <w:rsid w:val="0067087D"/>
    <w:rsid w:val="00670951"/>
    <w:rsid w:val="00670B95"/>
    <w:rsid w:val="00670DBA"/>
    <w:rsid w:val="00671052"/>
    <w:rsid w:val="006719B5"/>
    <w:rsid w:val="00671C92"/>
    <w:rsid w:val="00671D7E"/>
    <w:rsid w:val="006721CA"/>
    <w:rsid w:val="00672536"/>
    <w:rsid w:val="00672FA4"/>
    <w:rsid w:val="00673525"/>
    <w:rsid w:val="0067355A"/>
    <w:rsid w:val="00673926"/>
    <w:rsid w:val="00673CC0"/>
    <w:rsid w:val="006742F3"/>
    <w:rsid w:val="006749B3"/>
    <w:rsid w:val="00674FB2"/>
    <w:rsid w:val="006750FB"/>
    <w:rsid w:val="006756F5"/>
    <w:rsid w:val="00675EF3"/>
    <w:rsid w:val="00676016"/>
    <w:rsid w:val="00676A88"/>
    <w:rsid w:val="006811D0"/>
    <w:rsid w:val="00681FBB"/>
    <w:rsid w:val="0068248F"/>
    <w:rsid w:val="00682914"/>
    <w:rsid w:val="006829A0"/>
    <w:rsid w:val="00682A64"/>
    <w:rsid w:val="00684944"/>
    <w:rsid w:val="00684A72"/>
    <w:rsid w:val="0068597B"/>
    <w:rsid w:val="006863CE"/>
    <w:rsid w:val="00686843"/>
    <w:rsid w:val="006869B0"/>
    <w:rsid w:val="00687077"/>
    <w:rsid w:val="006870E1"/>
    <w:rsid w:val="00687140"/>
    <w:rsid w:val="00687C90"/>
    <w:rsid w:val="00690220"/>
    <w:rsid w:val="00693062"/>
    <w:rsid w:val="00693260"/>
    <w:rsid w:val="0069389F"/>
    <w:rsid w:val="0069407A"/>
    <w:rsid w:val="00694773"/>
    <w:rsid w:val="00694C26"/>
    <w:rsid w:val="00695016"/>
    <w:rsid w:val="00695423"/>
    <w:rsid w:val="00696149"/>
    <w:rsid w:val="00696C11"/>
    <w:rsid w:val="006973B0"/>
    <w:rsid w:val="006A045D"/>
    <w:rsid w:val="006A05F4"/>
    <w:rsid w:val="006A0854"/>
    <w:rsid w:val="006A1A90"/>
    <w:rsid w:val="006A1CE1"/>
    <w:rsid w:val="006A215A"/>
    <w:rsid w:val="006A24BA"/>
    <w:rsid w:val="006A3170"/>
    <w:rsid w:val="006A33A5"/>
    <w:rsid w:val="006A4DB0"/>
    <w:rsid w:val="006A6113"/>
    <w:rsid w:val="006A6572"/>
    <w:rsid w:val="006A6795"/>
    <w:rsid w:val="006A6B85"/>
    <w:rsid w:val="006A74BE"/>
    <w:rsid w:val="006A7C56"/>
    <w:rsid w:val="006B0E3A"/>
    <w:rsid w:val="006B1D02"/>
    <w:rsid w:val="006B1D44"/>
    <w:rsid w:val="006B25B0"/>
    <w:rsid w:val="006B375A"/>
    <w:rsid w:val="006B43A5"/>
    <w:rsid w:val="006B476E"/>
    <w:rsid w:val="006B4B52"/>
    <w:rsid w:val="006B67FE"/>
    <w:rsid w:val="006B7461"/>
    <w:rsid w:val="006B7517"/>
    <w:rsid w:val="006B76E0"/>
    <w:rsid w:val="006B7CCF"/>
    <w:rsid w:val="006B7EFF"/>
    <w:rsid w:val="006B7FE3"/>
    <w:rsid w:val="006C0F3D"/>
    <w:rsid w:val="006C15CA"/>
    <w:rsid w:val="006C16EC"/>
    <w:rsid w:val="006C2192"/>
    <w:rsid w:val="006C390D"/>
    <w:rsid w:val="006C3AD3"/>
    <w:rsid w:val="006C452B"/>
    <w:rsid w:val="006C4901"/>
    <w:rsid w:val="006C54DD"/>
    <w:rsid w:val="006C5E72"/>
    <w:rsid w:val="006C6007"/>
    <w:rsid w:val="006C6A8F"/>
    <w:rsid w:val="006C6E4D"/>
    <w:rsid w:val="006C7300"/>
    <w:rsid w:val="006C76B6"/>
    <w:rsid w:val="006C7AAF"/>
    <w:rsid w:val="006D0C83"/>
    <w:rsid w:val="006D2094"/>
    <w:rsid w:val="006D2C2A"/>
    <w:rsid w:val="006D2EED"/>
    <w:rsid w:val="006D3937"/>
    <w:rsid w:val="006D3B7F"/>
    <w:rsid w:val="006D464B"/>
    <w:rsid w:val="006D472F"/>
    <w:rsid w:val="006D53CA"/>
    <w:rsid w:val="006D5994"/>
    <w:rsid w:val="006D68A3"/>
    <w:rsid w:val="006D6F15"/>
    <w:rsid w:val="006D7550"/>
    <w:rsid w:val="006D7C47"/>
    <w:rsid w:val="006E01CC"/>
    <w:rsid w:val="006E0425"/>
    <w:rsid w:val="006E05C2"/>
    <w:rsid w:val="006E093B"/>
    <w:rsid w:val="006E0FC5"/>
    <w:rsid w:val="006E100A"/>
    <w:rsid w:val="006E1102"/>
    <w:rsid w:val="006E222E"/>
    <w:rsid w:val="006E2583"/>
    <w:rsid w:val="006E38AF"/>
    <w:rsid w:val="006E3E8E"/>
    <w:rsid w:val="006E410A"/>
    <w:rsid w:val="006E42B9"/>
    <w:rsid w:val="006E4485"/>
    <w:rsid w:val="006E56B2"/>
    <w:rsid w:val="006E5EFD"/>
    <w:rsid w:val="006E674D"/>
    <w:rsid w:val="006E686D"/>
    <w:rsid w:val="006E71A2"/>
    <w:rsid w:val="006E747B"/>
    <w:rsid w:val="006E7A7E"/>
    <w:rsid w:val="006E7C22"/>
    <w:rsid w:val="006F0015"/>
    <w:rsid w:val="006F0017"/>
    <w:rsid w:val="006F00A6"/>
    <w:rsid w:val="006F07BB"/>
    <w:rsid w:val="006F134C"/>
    <w:rsid w:val="006F143F"/>
    <w:rsid w:val="006F2BFF"/>
    <w:rsid w:val="006F2D4B"/>
    <w:rsid w:val="006F2FEC"/>
    <w:rsid w:val="006F301B"/>
    <w:rsid w:val="006F3169"/>
    <w:rsid w:val="006F33C0"/>
    <w:rsid w:val="006F421D"/>
    <w:rsid w:val="006F4379"/>
    <w:rsid w:val="006F4422"/>
    <w:rsid w:val="006F525C"/>
    <w:rsid w:val="006F5FEE"/>
    <w:rsid w:val="006F61EC"/>
    <w:rsid w:val="006F6318"/>
    <w:rsid w:val="006F697C"/>
    <w:rsid w:val="006F6E7D"/>
    <w:rsid w:val="006F77CE"/>
    <w:rsid w:val="006F7B8C"/>
    <w:rsid w:val="006F7CF7"/>
    <w:rsid w:val="007004BA"/>
    <w:rsid w:val="00700AD7"/>
    <w:rsid w:val="00700CF1"/>
    <w:rsid w:val="007032FF"/>
    <w:rsid w:val="00704365"/>
    <w:rsid w:val="00704370"/>
    <w:rsid w:val="00704F81"/>
    <w:rsid w:val="007053C2"/>
    <w:rsid w:val="007054BC"/>
    <w:rsid w:val="00705BB1"/>
    <w:rsid w:val="007060AE"/>
    <w:rsid w:val="007062D5"/>
    <w:rsid w:val="00706573"/>
    <w:rsid w:val="00706919"/>
    <w:rsid w:val="00706CA1"/>
    <w:rsid w:val="00707BC2"/>
    <w:rsid w:val="00707EF6"/>
    <w:rsid w:val="0071014E"/>
    <w:rsid w:val="007103FD"/>
    <w:rsid w:val="00711077"/>
    <w:rsid w:val="007110B4"/>
    <w:rsid w:val="00711777"/>
    <w:rsid w:val="00711EDB"/>
    <w:rsid w:val="0071212C"/>
    <w:rsid w:val="0071227D"/>
    <w:rsid w:val="00712D54"/>
    <w:rsid w:val="007138D7"/>
    <w:rsid w:val="0071505D"/>
    <w:rsid w:val="00715396"/>
    <w:rsid w:val="00715E08"/>
    <w:rsid w:val="0071626D"/>
    <w:rsid w:val="00716632"/>
    <w:rsid w:val="00716EAF"/>
    <w:rsid w:val="00717767"/>
    <w:rsid w:val="00717B65"/>
    <w:rsid w:val="00720ADF"/>
    <w:rsid w:val="00721172"/>
    <w:rsid w:val="007211D7"/>
    <w:rsid w:val="00721427"/>
    <w:rsid w:val="007219EB"/>
    <w:rsid w:val="00721F6E"/>
    <w:rsid w:val="0072206F"/>
    <w:rsid w:val="007220BF"/>
    <w:rsid w:val="007223A8"/>
    <w:rsid w:val="007226B0"/>
    <w:rsid w:val="00722ADE"/>
    <w:rsid w:val="00722FAD"/>
    <w:rsid w:val="00724A2E"/>
    <w:rsid w:val="00725348"/>
    <w:rsid w:val="007255FA"/>
    <w:rsid w:val="00726441"/>
    <w:rsid w:val="0072674B"/>
    <w:rsid w:val="00726E9F"/>
    <w:rsid w:val="00726F29"/>
    <w:rsid w:val="0072769E"/>
    <w:rsid w:val="00727B04"/>
    <w:rsid w:val="0073035C"/>
    <w:rsid w:val="00730842"/>
    <w:rsid w:val="00730913"/>
    <w:rsid w:val="00730CC7"/>
    <w:rsid w:val="00731D45"/>
    <w:rsid w:val="00731D47"/>
    <w:rsid w:val="00731D91"/>
    <w:rsid w:val="00732463"/>
    <w:rsid w:val="00732802"/>
    <w:rsid w:val="00732E7C"/>
    <w:rsid w:val="00732EAC"/>
    <w:rsid w:val="007331FF"/>
    <w:rsid w:val="007333AD"/>
    <w:rsid w:val="00733BDC"/>
    <w:rsid w:val="00733D7B"/>
    <w:rsid w:val="007348DB"/>
    <w:rsid w:val="0073516D"/>
    <w:rsid w:val="007354A8"/>
    <w:rsid w:val="00735FAA"/>
    <w:rsid w:val="007361CC"/>
    <w:rsid w:val="00736351"/>
    <w:rsid w:val="007363C5"/>
    <w:rsid w:val="0073661C"/>
    <w:rsid w:val="00736B27"/>
    <w:rsid w:val="0073710F"/>
    <w:rsid w:val="007373C5"/>
    <w:rsid w:val="00740032"/>
    <w:rsid w:val="0074035F"/>
    <w:rsid w:val="00740B14"/>
    <w:rsid w:val="00740B1A"/>
    <w:rsid w:val="00741459"/>
    <w:rsid w:val="00741650"/>
    <w:rsid w:val="007419AC"/>
    <w:rsid w:val="00741AFE"/>
    <w:rsid w:val="00741BBA"/>
    <w:rsid w:val="00741CC2"/>
    <w:rsid w:val="00741EEF"/>
    <w:rsid w:val="007423C0"/>
    <w:rsid w:val="00742C01"/>
    <w:rsid w:val="00742EC3"/>
    <w:rsid w:val="007438AF"/>
    <w:rsid w:val="007442A1"/>
    <w:rsid w:val="00744488"/>
    <w:rsid w:val="00744AEA"/>
    <w:rsid w:val="00745E29"/>
    <w:rsid w:val="0074613B"/>
    <w:rsid w:val="00746A77"/>
    <w:rsid w:val="00746D2D"/>
    <w:rsid w:val="00746E2A"/>
    <w:rsid w:val="00747427"/>
    <w:rsid w:val="00747C33"/>
    <w:rsid w:val="0075067A"/>
    <w:rsid w:val="00750AAB"/>
    <w:rsid w:val="00750D04"/>
    <w:rsid w:val="00751920"/>
    <w:rsid w:val="00751F66"/>
    <w:rsid w:val="0075223D"/>
    <w:rsid w:val="00752431"/>
    <w:rsid w:val="00752449"/>
    <w:rsid w:val="00752CF0"/>
    <w:rsid w:val="0075328F"/>
    <w:rsid w:val="007544E1"/>
    <w:rsid w:val="00754D81"/>
    <w:rsid w:val="00754ED3"/>
    <w:rsid w:val="0075556A"/>
    <w:rsid w:val="00755ABE"/>
    <w:rsid w:val="00755ECC"/>
    <w:rsid w:val="00756416"/>
    <w:rsid w:val="00756744"/>
    <w:rsid w:val="00756873"/>
    <w:rsid w:val="00756A35"/>
    <w:rsid w:val="00756C45"/>
    <w:rsid w:val="00757154"/>
    <w:rsid w:val="00757182"/>
    <w:rsid w:val="0075747D"/>
    <w:rsid w:val="007578E8"/>
    <w:rsid w:val="00757C92"/>
    <w:rsid w:val="00760189"/>
    <w:rsid w:val="007607EB"/>
    <w:rsid w:val="00761CE3"/>
    <w:rsid w:val="00761E10"/>
    <w:rsid w:val="00761F50"/>
    <w:rsid w:val="00761F78"/>
    <w:rsid w:val="0076234A"/>
    <w:rsid w:val="00763E96"/>
    <w:rsid w:val="00763F16"/>
    <w:rsid w:val="007641AA"/>
    <w:rsid w:val="00765901"/>
    <w:rsid w:val="00765E0B"/>
    <w:rsid w:val="00765EDD"/>
    <w:rsid w:val="00766847"/>
    <w:rsid w:val="00766912"/>
    <w:rsid w:val="007707EE"/>
    <w:rsid w:val="007722F9"/>
    <w:rsid w:val="00772320"/>
    <w:rsid w:val="00772410"/>
    <w:rsid w:val="0077269A"/>
    <w:rsid w:val="00772D1B"/>
    <w:rsid w:val="00773CA8"/>
    <w:rsid w:val="007740F5"/>
    <w:rsid w:val="0077410D"/>
    <w:rsid w:val="00774CE2"/>
    <w:rsid w:val="00774D66"/>
    <w:rsid w:val="00774E63"/>
    <w:rsid w:val="0077600A"/>
    <w:rsid w:val="007760B1"/>
    <w:rsid w:val="007762E7"/>
    <w:rsid w:val="007762EF"/>
    <w:rsid w:val="007768DE"/>
    <w:rsid w:val="00781587"/>
    <w:rsid w:val="007819A5"/>
    <w:rsid w:val="00781CFA"/>
    <w:rsid w:val="00782363"/>
    <w:rsid w:val="0078244A"/>
    <w:rsid w:val="00782790"/>
    <w:rsid w:val="00782E7E"/>
    <w:rsid w:val="007833A6"/>
    <w:rsid w:val="007839CF"/>
    <w:rsid w:val="00784128"/>
    <w:rsid w:val="00784A8E"/>
    <w:rsid w:val="00784BF1"/>
    <w:rsid w:val="00784C05"/>
    <w:rsid w:val="007858D4"/>
    <w:rsid w:val="00785A3E"/>
    <w:rsid w:val="00785E52"/>
    <w:rsid w:val="00786013"/>
    <w:rsid w:val="00786827"/>
    <w:rsid w:val="0078722E"/>
    <w:rsid w:val="007872D5"/>
    <w:rsid w:val="00787E73"/>
    <w:rsid w:val="00787EA7"/>
    <w:rsid w:val="00790CC9"/>
    <w:rsid w:val="007919F3"/>
    <w:rsid w:val="007924C0"/>
    <w:rsid w:val="00793A2E"/>
    <w:rsid w:val="00794BDF"/>
    <w:rsid w:val="00794EAD"/>
    <w:rsid w:val="00795746"/>
    <w:rsid w:val="00796147"/>
    <w:rsid w:val="00796CDA"/>
    <w:rsid w:val="00796FAA"/>
    <w:rsid w:val="0079701C"/>
    <w:rsid w:val="007A011C"/>
    <w:rsid w:val="007A02EE"/>
    <w:rsid w:val="007A047E"/>
    <w:rsid w:val="007A080E"/>
    <w:rsid w:val="007A165B"/>
    <w:rsid w:val="007A2109"/>
    <w:rsid w:val="007A284D"/>
    <w:rsid w:val="007A288A"/>
    <w:rsid w:val="007A4922"/>
    <w:rsid w:val="007A613E"/>
    <w:rsid w:val="007A7198"/>
    <w:rsid w:val="007B00EE"/>
    <w:rsid w:val="007B0419"/>
    <w:rsid w:val="007B0472"/>
    <w:rsid w:val="007B0FC8"/>
    <w:rsid w:val="007B10D9"/>
    <w:rsid w:val="007B1ACD"/>
    <w:rsid w:val="007B1AFC"/>
    <w:rsid w:val="007B29C3"/>
    <w:rsid w:val="007B2B03"/>
    <w:rsid w:val="007B3095"/>
    <w:rsid w:val="007B30A0"/>
    <w:rsid w:val="007B3C6D"/>
    <w:rsid w:val="007B418D"/>
    <w:rsid w:val="007B48E0"/>
    <w:rsid w:val="007B4B4B"/>
    <w:rsid w:val="007B529D"/>
    <w:rsid w:val="007B5D65"/>
    <w:rsid w:val="007B5DB8"/>
    <w:rsid w:val="007B6BB9"/>
    <w:rsid w:val="007C06A1"/>
    <w:rsid w:val="007C0805"/>
    <w:rsid w:val="007C09CF"/>
    <w:rsid w:val="007C10AB"/>
    <w:rsid w:val="007C15CE"/>
    <w:rsid w:val="007C16B7"/>
    <w:rsid w:val="007C1B87"/>
    <w:rsid w:val="007C2984"/>
    <w:rsid w:val="007C2B4A"/>
    <w:rsid w:val="007C2FAC"/>
    <w:rsid w:val="007C335E"/>
    <w:rsid w:val="007C5937"/>
    <w:rsid w:val="007C5B7D"/>
    <w:rsid w:val="007C62A6"/>
    <w:rsid w:val="007C6514"/>
    <w:rsid w:val="007D02B3"/>
    <w:rsid w:val="007D2969"/>
    <w:rsid w:val="007D29F1"/>
    <w:rsid w:val="007D2A8E"/>
    <w:rsid w:val="007D345A"/>
    <w:rsid w:val="007D4522"/>
    <w:rsid w:val="007D4E20"/>
    <w:rsid w:val="007D4FC7"/>
    <w:rsid w:val="007D5524"/>
    <w:rsid w:val="007D5F01"/>
    <w:rsid w:val="007D6CBF"/>
    <w:rsid w:val="007D6CF6"/>
    <w:rsid w:val="007D78E3"/>
    <w:rsid w:val="007E06C0"/>
    <w:rsid w:val="007E0877"/>
    <w:rsid w:val="007E13E9"/>
    <w:rsid w:val="007E269E"/>
    <w:rsid w:val="007E2B96"/>
    <w:rsid w:val="007E4856"/>
    <w:rsid w:val="007E55A6"/>
    <w:rsid w:val="007E59A3"/>
    <w:rsid w:val="007E612D"/>
    <w:rsid w:val="007E6474"/>
    <w:rsid w:val="007E6BAA"/>
    <w:rsid w:val="007E70A4"/>
    <w:rsid w:val="007F02CB"/>
    <w:rsid w:val="007F03F4"/>
    <w:rsid w:val="007F0621"/>
    <w:rsid w:val="007F137C"/>
    <w:rsid w:val="007F1B2B"/>
    <w:rsid w:val="007F1E78"/>
    <w:rsid w:val="007F207E"/>
    <w:rsid w:val="007F218E"/>
    <w:rsid w:val="007F23CB"/>
    <w:rsid w:val="007F34B3"/>
    <w:rsid w:val="007F34BD"/>
    <w:rsid w:val="007F3A34"/>
    <w:rsid w:val="007F5487"/>
    <w:rsid w:val="007F5C3B"/>
    <w:rsid w:val="007F5CCB"/>
    <w:rsid w:val="007F5DAC"/>
    <w:rsid w:val="007F6DAF"/>
    <w:rsid w:val="007F70A0"/>
    <w:rsid w:val="007F70B7"/>
    <w:rsid w:val="007F7907"/>
    <w:rsid w:val="007F7932"/>
    <w:rsid w:val="008011B8"/>
    <w:rsid w:val="008011C1"/>
    <w:rsid w:val="00802811"/>
    <w:rsid w:val="0080284C"/>
    <w:rsid w:val="0080314B"/>
    <w:rsid w:val="00803646"/>
    <w:rsid w:val="008037DC"/>
    <w:rsid w:val="00803824"/>
    <w:rsid w:val="00803A2C"/>
    <w:rsid w:val="008047D3"/>
    <w:rsid w:val="00804CC0"/>
    <w:rsid w:val="00805D8B"/>
    <w:rsid w:val="008069F1"/>
    <w:rsid w:val="008074C7"/>
    <w:rsid w:val="008076B9"/>
    <w:rsid w:val="008105E9"/>
    <w:rsid w:val="008112E5"/>
    <w:rsid w:val="0081166E"/>
    <w:rsid w:val="00811790"/>
    <w:rsid w:val="00812123"/>
    <w:rsid w:val="0081220B"/>
    <w:rsid w:val="008126BD"/>
    <w:rsid w:val="0081485D"/>
    <w:rsid w:val="00814C11"/>
    <w:rsid w:val="00815209"/>
    <w:rsid w:val="0081530F"/>
    <w:rsid w:val="008157C9"/>
    <w:rsid w:val="00815A16"/>
    <w:rsid w:val="008165A0"/>
    <w:rsid w:val="008166A7"/>
    <w:rsid w:val="00817101"/>
    <w:rsid w:val="00817246"/>
    <w:rsid w:val="00817426"/>
    <w:rsid w:val="00817977"/>
    <w:rsid w:val="00820098"/>
    <w:rsid w:val="00820A48"/>
    <w:rsid w:val="00820B6E"/>
    <w:rsid w:val="00820F38"/>
    <w:rsid w:val="0082107A"/>
    <w:rsid w:val="008212DB"/>
    <w:rsid w:val="00821399"/>
    <w:rsid w:val="00821EF3"/>
    <w:rsid w:val="008224E3"/>
    <w:rsid w:val="008226B5"/>
    <w:rsid w:val="00822771"/>
    <w:rsid w:val="00822E04"/>
    <w:rsid w:val="00823FE5"/>
    <w:rsid w:val="00824BA2"/>
    <w:rsid w:val="00825074"/>
    <w:rsid w:val="0082548B"/>
    <w:rsid w:val="008256A7"/>
    <w:rsid w:val="00825EC2"/>
    <w:rsid w:val="00825FEF"/>
    <w:rsid w:val="0082799B"/>
    <w:rsid w:val="0083162C"/>
    <w:rsid w:val="0083264B"/>
    <w:rsid w:val="008326CD"/>
    <w:rsid w:val="00834671"/>
    <w:rsid w:val="00834CBF"/>
    <w:rsid w:val="0083540D"/>
    <w:rsid w:val="00835B57"/>
    <w:rsid w:val="00835D96"/>
    <w:rsid w:val="00836124"/>
    <w:rsid w:val="00836EEC"/>
    <w:rsid w:val="00836FB3"/>
    <w:rsid w:val="00837008"/>
    <w:rsid w:val="008374B2"/>
    <w:rsid w:val="00837C49"/>
    <w:rsid w:val="00840F3F"/>
    <w:rsid w:val="00842ED3"/>
    <w:rsid w:val="008431EC"/>
    <w:rsid w:val="00843469"/>
    <w:rsid w:val="008438A4"/>
    <w:rsid w:val="00844C62"/>
    <w:rsid w:val="00844CC1"/>
    <w:rsid w:val="00844DB6"/>
    <w:rsid w:val="008453B1"/>
    <w:rsid w:val="008459E2"/>
    <w:rsid w:val="00850369"/>
    <w:rsid w:val="008510CD"/>
    <w:rsid w:val="0085130E"/>
    <w:rsid w:val="00851982"/>
    <w:rsid w:val="00851E84"/>
    <w:rsid w:val="008540EF"/>
    <w:rsid w:val="00854AB0"/>
    <w:rsid w:val="00855AA9"/>
    <w:rsid w:val="0085686A"/>
    <w:rsid w:val="00856FFE"/>
    <w:rsid w:val="00857252"/>
    <w:rsid w:val="008579F3"/>
    <w:rsid w:val="00857CF7"/>
    <w:rsid w:val="008600C8"/>
    <w:rsid w:val="00860BB0"/>
    <w:rsid w:val="008622A8"/>
    <w:rsid w:val="0086239E"/>
    <w:rsid w:val="00862482"/>
    <w:rsid w:val="00862C4E"/>
    <w:rsid w:val="00863294"/>
    <w:rsid w:val="00864A6A"/>
    <w:rsid w:val="00864AB9"/>
    <w:rsid w:val="008667B6"/>
    <w:rsid w:val="00866B16"/>
    <w:rsid w:val="00866C45"/>
    <w:rsid w:val="00866D76"/>
    <w:rsid w:val="00866DE2"/>
    <w:rsid w:val="00867676"/>
    <w:rsid w:val="00867F4C"/>
    <w:rsid w:val="0087062C"/>
    <w:rsid w:val="00871DC8"/>
    <w:rsid w:val="00872308"/>
    <w:rsid w:val="00872766"/>
    <w:rsid w:val="008729CD"/>
    <w:rsid w:val="00873132"/>
    <w:rsid w:val="008731C6"/>
    <w:rsid w:val="00874438"/>
    <w:rsid w:val="0087449D"/>
    <w:rsid w:val="00874749"/>
    <w:rsid w:val="00874979"/>
    <w:rsid w:val="00874A47"/>
    <w:rsid w:val="008753A5"/>
    <w:rsid w:val="0087595A"/>
    <w:rsid w:val="00875A0D"/>
    <w:rsid w:val="00875EAF"/>
    <w:rsid w:val="0087672B"/>
    <w:rsid w:val="00876883"/>
    <w:rsid w:val="00876ECB"/>
    <w:rsid w:val="0087750E"/>
    <w:rsid w:val="00877934"/>
    <w:rsid w:val="008800AF"/>
    <w:rsid w:val="00880433"/>
    <w:rsid w:val="008809A6"/>
    <w:rsid w:val="008813B9"/>
    <w:rsid w:val="00882BEC"/>
    <w:rsid w:val="00882D85"/>
    <w:rsid w:val="00882EF1"/>
    <w:rsid w:val="00883516"/>
    <w:rsid w:val="00883980"/>
    <w:rsid w:val="00883DFA"/>
    <w:rsid w:val="008840D9"/>
    <w:rsid w:val="008841DA"/>
    <w:rsid w:val="0088431F"/>
    <w:rsid w:val="00885104"/>
    <w:rsid w:val="008854A6"/>
    <w:rsid w:val="00885577"/>
    <w:rsid w:val="00885718"/>
    <w:rsid w:val="00885CD0"/>
    <w:rsid w:val="00886014"/>
    <w:rsid w:val="00886784"/>
    <w:rsid w:val="00886847"/>
    <w:rsid w:val="00886886"/>
    <w:rsid w:val="00886AEF"/>
    <w:rsid w:val="00887FB7"/>
    <w:rsid w:val="008901AC"/>
    <w:rsid w:val="0089088F"/>
    <w:rsid w:val="00890AFE"/>
    <w:rsid w:val="00891123"/>
    <w:rsid w:val="008911BE"/>
    <w:rsid w:val="00891873"/>
    <w:rsid w:val="0089377B"/>
    <w:rsid w:val="00893876"/>
    <w:rsid w:val="00894E7A"/>
    <w:rsid w:val="00894F15"/>
    <w:rsid w:val="00895DA8"/>
    <w:rsid w:val="00895DBF"/>
    <w:rsid w:val="0089655C"/>
    <w:rsid w:val="00896733"/>
    <w:rsid w:val="008972F4"/>
    <w:rsid w:val="008A06BF"/>
    <w:rsid w:val="008A0B85"/>
    <w:rsid w:val="008A0D77"/>
    <w:rsid w:val="008A0DBD"/>
    <w:rsid w:val="008A12B4"/>
    <w:rsid w:val="008A1539"/>
    <w:rsid w:val="008A2609"/>
    <w:rsid w:val="008A2FCE"/>
    <w:rsid w:val="008A385F"/>
    <w:rsid w:val="008A4385"/>
    <w:rsid w:val="008A43FA"/>
    <w:rsid w:val="008A49DD"/>
    <w:rsid w:val="008A4E99"/>
    <w:rsid w:val="008A56A7"/>
    <w:rsid w:val="008A5CCE"/>
    <w:rsid w:val="008A6348"/>
    <w:rsid w:val="008A65BD"/>
    <w:rsid w:val="008A662D"/>
    <w:rsid w:val="008A7764"/>
    <w:rsid w:val="008A7FBC"/>
    <w:rsid w:val="008B0313"/>
    <w:rsid w:val="008B09B6"/>
    <w:rsid w:val="008B0F29"/>
    <w:rsid w:val="008B1373"/>
    <w:rsid w:val="008B1523"/>
    <w:rsid w:val="008B19ED"/>
    <w:rsid w:val="008B2688"/>
    <w:rsid w:val="008B2B43"/>
    <w:rsid w:val="008B2BE1"/>
    <w:rsid w:val="008B341A"/>
    <w:rsid w:val="008B4781"/>
    <w:rsid w:val="008B4ABA"/>
    <w:rsid w:val="008B4CF7"/>
    <w:rsid w:val="008B5406"/>
    <w:rsid w:val="008B560B"/>
    <w:rsid w:val="008B6703"/>
    <w:rsid w:val="008B7181"/>
    <w:rsid w:val="008B7C3E"/>
    <w:rsid w:val="008C05AC"/>
    <w:rsid w:val="008C0E22"/>
    <w:rsid w:val="008C0F03"/>
    <w:rsid w:val="008C14D1"/>
    <w:rsid w:val="008C170B"/>
    <w:rsid w:val="008C1A0F"/>
    <w:rsid w:val="008C1DD2"/>
    <w:rsid w:val="008C1E6A"/>
    <w:rsid w:val="008C2D66"/>
    <w:rsid w:val="008C2D7B"/>
    <w:rsid w:val="008C3F49"/>
    <w:rsid w:val="008C459A"/>
    <w:rsid w:val="008C5966"/>
    <w:rsid w:val="008C5D29"/>
    <w:rsid w:val="008C6609"/>
    <w:rsid w:val="008C699D"/>
    <w:rsid w:val="008C6DBB"/>
    <w:rsid w:val="008C7047"/>
    <w:rsid w:val="008C7373"/>
    <w:rsid w:val="008C7FEC"/>
    <w:rsid w:val="008D01E2"/>
    <w:rsid w:val="008D022A"/>
    <w:rsid w:val="008D0487"/>
    <w:rsid w:val="008D0BCC"/>
    <w:rsid w:val="008D109A"/>
    <w:rsid w:val="008D17AE"/>
    <w:rsid w:val="008D1EDA"/>
    <w:rsid w:val="008D22F7"/>
    <w:rsid w:val="008D288D"/>
    <w:rsid w:val="008D2A7B"/>
    <w:rsid w:val="008D3FC5"/>
    <w:rsid w:val="008D5B60"/>
    <w:rsid w:val="008D5C69"/>
    <w:rsid w:val="008D5EA5"/>
    <w:rsid w:val="008D62BA"/>
    <w:rsid w:val="008D6578"/>
    <w:rsid w:val="008D66C8"/>
    <w:rsid w:val="008D6B1A"/>
    <w:rsid w:val="008D72C5"/>
    <w:rsid w:val="008E1006"/>
    <w:rsid w:val="008E13DD"/>
    <w:rsid w:val="008E170C"/>
    <w:rsid w:val="008E176B"/>
    <w:rsid w:val="008E1C6A"/>
    <w:rsid w:val="008E2180"/>
    <w:rsid w:val="008E2274"/>
    <w:rsid w:val="008E2A9A"/>
    <w:rsid w:val="008E2EEF"/>
    <w:rsid w:val="008E3AD1"/>
    <w:rsid w:val="008E4401"/>
    <w:rsid w:val="008E5D36"/>
    <w:rsid w:val="008E6655"/>
    <w:rsid w:val="008E7431"/>
    <w:rsid w:val="008E78FC"/>
    <w:rsid w:val="008E79B3"/>
    <w:rsid w:val="008F01D3"/>
    <w:rsid w:val="008F02A5"/>
    <w:rsid w:val="008F0455"/>
    <w:rsid w:val="008F0BD1"/>
    <w:rsid w:val="008F0DC9"/>
    <w:rsid w:val="008F1122"/>
    <w:rsid w:val="008F1A68"/>
    <w:rsid w:val="008F1B1F"/>
    <w:rsid w:val="008F1CCA"/>
    <w:rsid w:val="008F2000"/>
    <w:rsid w:val="008F2141"/>
    <w:rsid w:val="008F2302"/>
    <w:rsid w:val="008F29F3"/>
    <w:rsid w:val="008F2ADC"/>
    <w:rsid w:val="008F2F4E"/>
    <w:rsid w:val="008F3072"/>
    <w:rsid w:val="008F3611"/>
    <w:rsid w:val="008F389B"/>
    <w:rsid w:val="008F3A6D"/>
    <w:rsid w:val="008F3B32"/>
    <w:rsid w:val="008F3BF8"/>
    <w:rsid w:val="008F4428"/>
    <w:rsid w:val="008F5202"/>
    <w:rsid w:val="008F5521"/>
    <w:rsid w:val="008F55EC"/>
    <w:rsid w:val="008F5E1C"/>
    <w:rsid w:val="008F64CA"/>
    <w:rsid w:val="008F68B1"/>
    <w:rsid w:val="008F6B82"/>
    <w:rsid w:val="008F6E53"/>
    <w:rsid w:val="008F7A2D"/>
    <w:rsid w:val="008F7A46"/>
    <w:rsid w:val="00900191"/>
    <w:rsid w:val="0090020B"/>
    <w:rsid w:val="0090035C"/>
    <w:rsid w:val="00900544"/>
    <w:rsid w:val="00900563"/>
    <w:rsid w:val="00900C15"/>
    <w:rsid w:val="00901477"/>
    <w:rsid w:val="00901DE6"/>
    <w:rsid w:val="00901E40"/>
    <w:rsid w:val="0090216C"/>
    <w:rsid w:val="0090295A"/>
    <w:rsid w:val="00902D68"/>
    <w:rsid w:val="00903634"/>
    <w:rsid w:val="00903AE8"/>
    <w:rsid w:val="00903F82"/>
    <w:rsid w:val="0090439D"/>
    <w:rsid w:val="00904855"/>
    <w:rsid w:val="00905EAC"/>
    <w:rsid w:val="0090650F"/>
    <w:rsid w:val="00906D0F"/>
    <w:rsid w:val="00907184"/>
    <w:rsid w:val="00907366"/>
    <w:rsid w:val="00907692"/>
    <w:rsid w:val="00907D15"/>
    <w:rsid w:val="009108BD"/>
    <w:rsid w:val="00910B49"/>
    <w:rsid w:val="00910C50"/>
    <w:rsid w:val="009116E1"/>
    <w:rsid w:val="009119C9"/>
    <w:rsid w:val="00911DB0"/>
    <w:rsid w:val="009127D3"/>
    <w:rsid w:val="00912D10"/>
    <w:rsid w:val="00913A6D"/>
    <w:rsid w:val="00914277"/>
    <w:rsid w:val="00914CBC"/>
    <w:rsid w:val="00915575"/>
    <w:rsid w:val="00915DB1"/>
    <w:rsid w:val="0091681A"/>
    <w:rsid w:val="00916993"/>
    <w:rsid w:val="00916BE1"/>
    <w:rsid w:val="00917771"/>
    <w:rsid w:val="009201F9"/>
    <w:rsid w:val="00921346"/>
    <w:rsid w:val="00921AC3"/>
    <w:rsid w:val="00922536"/>
    <w:rsid w:val="00923064"/>
    <w:rsid w:val="009236C1"/>
    <w:rsid w:val="0092396D"/>
    <w:rsid w:val="00923A99"/>
    <w:rsid w:val="00923CA5"/>
    <w:rsid w:val="00924495"/>
    <w:rsid w:val="009246F7"/>
    <w:rsid w:val="0092487A"/>
    <w:rsid w:val="00924BB7"/>
    <w:rsid w:val="00924C6C"/>
    <w:rsid w:val="009255B7"/>
    <w:rsid w:val="0092567F"/>
    <w:rsid w:val="00925B7B"/>
    <w:rsid w:val="00926481"/>
    <w:rsid w:val="00927368"/>
    <w:rsid w:val="009273A4"/>
    <w:rsid w:val="00927778"/>
    <w:rsid w:val="00927843"/>
    <w:rsid w:val="009279E2"/>
    <w:rsid w:val="009308C0"/>
    <w:rsid w:val="00931304"/>
    <w:rsid w:val="009314D2"/>
    <w:rsid w:val="00931D05"/>
    <w:rsid w:val="00932106"/>
    <w:rsid w:val="0093224A"/>
    <w:rsid w:val="00933310"/>
    <w:rsid w:val="00933870"/>
    <w:rsid w:val="00933BB8"/>
    <w:rsid w:val="00935070"/>
    <w:rsid w:val="00935EA0"/>
    <w:rsid w:val="00936389"/>
    <w:rsid w:val="009363D6"/>
    <w:rsid w:val="00937585"/>
    <w:rsid w:val="00937C4F"/>
    <w:rsid w:val="00937F1F"/>
    <w:rsid w:val="00940C43"/>
    <w:rsid w:val="00940C62"/>
    <w:rsid w:val="009411DA"/>
    <w:rsid w:val="00941D6C"/>
    <w:rsid w:val="00942591"/>
    <w:rsid w:val="00942C48"/>
    <w:rsid w:val="00942E71"/>
    <w:rsid w:val="00942F95"/>
    <w:rsid w:val="00943192"/>
    <w:rsid w:val="009438AC"/>
    <w:rsid w:val="00943BA7"/>
    <w:rsid w:val="00944AAB"/>
    <w:rsid w:val="00944ADE"/>
    <w:rsid w:val="00944C1C"/>
    <w:rsid w:val="00944D40"/>
    <w:rsid w:val="00945569"/>
    <w:rsid w:val="009457DE"/>
    <w:rsid w:val="0094592E"/>
    <w:rsid w:val="00945B85"/>
    <w:rsid w:val="00946301"/>
    <w:rsid w:val="009468DA"/>
    <w:rsid w:val="00946BB7"/>
    <w:rsid w:val="00946D9A"/>
    <w:rsid w:val="00946E2C"/>
    <w:rsid w:val="00947FD9"/>
    <w:rsid w:val="00950B16"/>
    <w:rsid w:val="00951190"/>
    <w:rsid w:val="009514B4"/>
    <w:rsid w:val="00951590"/>
    <w:rsid w:val="009529F5"/>
    <w:rsid w:val="00952D71"/>
    <w:rsid w:val="00954257"/>
    <w:rsid w:val="009545AC"/>
    <w:rsid w:val="00955409"/>
    <w:rsid w:val="00955B97"/>
    <w:rsid w:val="00955DFA"/>
    <w:rsid w:val="009562C2"/>
    <w:rsid w:val="00956308"/>
    <w:rsid w:val="00956578"/>
    <w:rsid w:val="00956EBC"/>
    <w:rsid w:val="009578F8"/>
    <w:rsid w:val="00957A96"/>
    <w:rsid w:val="009602C6"/>
    <w:rsid w:val="009605A3"/>
    <w:rsid w:val="009612C8"/>
    <w:rsid w:val="00961999"/>
    <w:rsid w:val="00961CB4"/>
    <w:rsid w:val="00961F8B"/>
    <w:rsid w:val="00962E99"/>
    <w:rsid w:val="00962F35"/>
    <w:rsid w:val="0096322C"/>
    <w:rsid w:val="009635EB"/>
    <w:rsid w:val="009639F3"/>
    <w:rsid w:val="009655E9"/>
    <w:rsid w:val="009662C6"/>
    <w:rsid w:val="0096698D"/>
    <w:rsid w:val="00967447"/>
    <w:rsid w:val="00967630"/>
    <w:rsid w:val="00967696"/>
    <w:rsid w:val="0096773F"/>
    <w:rsid w:val="009677A0"/>
    <w:rsid w:val="009706AC"/>
    <w:rsid w:val="00971588"/>
    <w:rsid w:val="00971A4E"/>
    <w:rsid w:val="009723F2"/>
    <w:rsid w:val="00973146"/>
    <w:rsid w:val="009737D9"/>
    <w:rsid w:val="0097611D"/>
    <w:rsid w:val="009767DF"/>
    <w:rsid w:val="009770A9"/>
    <w:rsid w:val="0097727C"/>
    <w:rsid w:val="009779B8"/>
    <w:rsid w:val="00980432"/>
    <w:rsid w:val="0098085F"/>
    <w:rsid w:val="00980BAE"/>
    <w:rsid w:val="009826EC"/>
    <w:rsid w:val="00982701"/>
    <w:rsid w:val="00982C78"/>
    <w:rsid w:val="00983564"/>
    <w:rsid w:val="009837B7"/>
    <w:rsid w:val="0098396F"/>
    <w:rsid w:val="00983F9F"/>
    <w:rsid w:val="00984280"/>
    <w:rsid w:val="00985162"/>
    <w:rsid w:val="00985386"/>
    <w:rsid w:val="009858FE"/>
    <w:rsid w:val="00985D31"/>
    <w:rsid w:val="009862F7"/>
    <w:rsid w:val="009864F8"/>
    <w:rsid w:val="009903F3"/>
    <w:rsid w:val="009907F7"/>
    <w:rsid w:val="00991555"/>
    <w:rsid w:val="00991AC3"/>
    <w:rsid w:val="00992078"/>
    <w:rsid w:val="009922E2"/>
    <w:rsid w:val="009926EB"/>
    <w:rsid w:val="009928C8"/>
    <w:rsid w:val="00993404"/>
    <w:rsid w:val="00993586"/>
    <w:rsid w:val="00995650"/>
    <w:rsid w:val="0099682A"/>
    <w:rsid w:val="00996D05"/>
    <w:rsid w:val="00996E81"/>
    <w:rsid w:val="009A09DF"/>
    <w:rsid w:val="009A12A4"/>
    <w:rsid w:val="009A1302"/>
    <w:rsid w:val="009A1EBB"/>
    <w:rsid w:val="009A3DFE"/>
    <w:rsid w:val="009A4134"/>
    <w:rsid w:val="009A4286"/>
    <w:rsid w:val="009A4785"/>
    <w:rsid w:val="009A53C1"/>
    <w:rsid w:val="009A5849"/>
    <w:rsid w:val="009A5A0C"/>
    <w:rsid w:val="009A5AA1"/>
    <w:rsid w:val="009A5E8D"/>
    <w:rsid w:val="009A6C57"/>
    <w:rsid w:val="009A7910"/>
    <w:rsid w:val="009A7A95"/>
    <w:rsid w:val="009A7B00"/>
    <w:rsid w:val="009A7B21"/>
    <w:rsid w:val="009B16B4"/>
    <w:rsid w:val="009B1BF6"/>
    <w:rsid w:val="009B2F89"/>
    <w:rsid w:val="009B32A8"/>
    <w:rsid w:val="009B357B"/>
    <w:rsid w:val="009B36E5"/>
    <w:rsid w:val="009B3B8F"/>
    <w:rsid w:val="009B4CB6"/>
    <w:rsid w:val="009B4E41"/>
    <w:rsid w:val="009B5338"/>
    <w:rsid w:val="009B6308"/>
    <w:rsid w:val="009B71AF"/>
    <w:rsid w:val="009B71E8"/>
    <w:rsid w:val="009B729C"/>
    <w:rsid w:val="009B7676"/>
    <w:rsid w:val="009C0444"/>
    <w:rsid w:val="009C079E"/>
    <w:rsid w:val="009C0DAA"/>
    <w:rsid w:val="009C16B6"/>
    <w:rsid w:val="009C1FBF"/>
    <w:rsid w:val="009C22A9"/>
    <w:rsid w:val="009C24FC"/>
    <w:rsid w:val="009C2E0C"/>
    <w:rsid w:val="009C302E"/>
    <w:rsid w:val="009C312B"/>
    <w:rsid w:val="009C4438"/>
    <w:rsid w:val="009C45D7"/>
    <w:rsid w:val="009C57DE"/>
    <w:rsid w:val="009C5C19"/>
    <w:rsid w:val="009C5EC7"/>
    <w:rsid w:val="009C67B9"/>
    <w:rsid w:val="009C699E"/>
    <w:rsid w:val="009C69B4"/>
    <w:rsid w:val="009C6BD5"/>
    <w:rsid w:val="009C7234"/>
    <w:rsid w:val="009C7927"/>
    <w:rsid w:val="009D0385"/>
    <w:rsid w:val="009D09E7"/>
    <w:rsid w:val="009D0BC0"/>
    <w:rsid w:val="009D197B"/>
    <w:rsid w:val="009D1B14"/>
    <w:rsid w:val="009D20B8"/>
    <w:rsid w:val="009D3012"/>
    <w:rsid w:val="009D3936"/>
    <w:rsid w:val="009D3A80"/>
    <w:rsid w:val="009D3F98"/>
    <w:rsid w:val="009D4024"/>
    <w:rsid w:val="009D41B3"/>
    <w:rsid w:val="009D4671"/>
    <w:rsid w:val="009D4CE2"/>
    <w:rsid w:val="009D5AFD"/>
    <w:rsid w:val="009D61F5"/>
    <w:rsid w:val="009D6705"/>
    <w:rsid w:val="009D67F2"/>
    <w:rsid w:val="009D6E5F"/>
    <w:rsid w:val="009D7E2E"/>
    <w:rsid w:val="009E0D94"/>
    <w:rsid w:val="009E10DB"/>
    <w:rsid w:val="009E1420"/>
    <w:rsid w:val="009E2201"/>
    <w:rsid w:val="009E289D"/>
    <w:rsid w:val="009E3BE1"/>
    <w:rsid w:val="009E41EC"/>
    <w:rsid w:val="009E43BF"/>
    <w:rsid w:val="009E44D0"/>
    <w:rsid w:val="009E50CF"/>
    <w:rsid w:val="009E5D2B"/>
    <w:rsid w:val="009E5ED5"/>
    <w:rsid w:val="009E6299"/>
    <w:rsid w:val="009E661D"/>
    <w:rsid w:val="009E6621"/>
    <w:rsid w:val="009E777E"/>
    <w:rsid w:val="009F172D"/>
    <w:rsid w:val="009F1AD8"/>
    <w:rsid w:val="009F24D5"/>
    <w:rsid w:val="009F2632"/>
    <w:rsid w:val="009F29ED"/>
    <w:rsid w:val="009F2F50"/>
    <w:rsid w:val="009F30BB"/>
    <w:rsid w:val="009F32D9"/>
    <w:rsid w:val="009F3434"/>
    <w:rsid w:val="009F3BBB"/>
    <w:rsid w:val="009F4422"/>
    <w:rsid w:val="009F497D"/>
    <w:rsid w:val="009F51DC"/>
    <w:rsid w:val="009F657F"/>
    <w:rsid w:val="009F6712"/>
    <w:rsid w:val="009F6A10"/>
    <w:rsid w:val="009F6B64"/>
    <w:rsid w:val="009F7D74"/>
    <w:rsid w:val="00A00493"/>
    <w:rsid w:val="00A00969"/>
    <w:rsid w:val="00A00C48"/>
    <w:rsid w:val="00A00CAF"/>
    <w:rsid w:val="00A01A03"/>
    <w:rsid w:val="00A01D64"/>
    <w:rsid w:val="00A02124"/>
    <w:rsid w:val="00A03436"/>
    <w:rsid w:val="00A035A7"/>
    <w:rsid w:val="00A03ECA"/>
    <w:rsid w:val="00A0422D"/>
    <w:rsid w:val="00A052B0"/>
    <w:rsid w:val="00A05486"/>
    <w:rsid w:val="00A056E1"/>
    <w:rsid w:val="00A05A73"/>
    <w:rsid w:val="00A05A8E"/>
    <w:rsid w:val="00A0632E"/>
    <w:rsid w:val="00A069A7"/>
    <w:rsid w:val="00A06FC2"/>
    <w:rsid w:val="00A07280"/>
    <w:rsid w:val="00A07949"/>
    <w:rsid w:val="00A10CD8"/>
    <w:rsid w:val="00A111EA"/>
    <w:rsid w:val="00A1180B"/>
    <w:rsid w:val="00A119B7"/>
    <w:rsid w:val="00A11E5C"/>
    <w:rsid w:val="00A129BD"/>
    <w:rsid w:val="00A12F51"/>
    <w:rsid w:val="00A13B24"/>
    <w:rsid w:val="00A14713"/>
    <w:rsid w:val="00A1509E"/>
    <w:rsid w:val="00A15F7C"/>
    <w:rsid w:val="00A160FD"/>
    <w:rsid w:val="00A16563"/>
    <w:rsid w:val="00A168CB"/>
    <w:rsid w:val="00A16A82"/>
    <w:rsid w:val="00A16D08"/>
    <w:rsid w:val="00A17AF9"/>
    <w:rsid w:val="00A20161"/>
    <w:rsid w:val="00A2030D"/>
    <w:rsid w:val="00A20AF4"/>
    <w:rsid w:val="00A21215"/>
    <w:rsid w:val="00A2147D"/>
    <w:rsid w:val="00A219A3"/>
    <w:rsid w:val="00A21BE7"/>
    <w:rsid w:val="00A21E64"/>
    <w:rsid w:val="00A223C9"/>
    <w:rsid w:val="00A2279F"/>
    <w:rsid w:val="00A238C4"/>
    <w:rsid w:val="00A24503"/>
    <w:rsid w:val="00A25879"/>
    <w:rsid w:val="00A26368"/>
    <w:rsid w:val="00A26827"/>
    <w:rsid w:val="00A26BBA"/>
    <w:rsid w:val="00A30211"/>
    <w:rsid w:val="00A30E87"/>
    <w:rsid w:val="00A32210"/>
    <w:rsid w:val="00A32F14"/>
    <w:rsid w:val="00A333BA"/>
    <w:rsid w:val="00A33F64"/>
    <w:rsid w:val="00A35B35"/>
    <w:rsid w:val="00A376AB"/>
    <w:rsid w:val="00A37AA6"/>
    <w:rsid w:val="00A4047A"/>
    <w:rsid w:val="00A406CD"/>
    <w:rsid w:val="00A40A01"/>
    <w:rsid w:val="00A40A4B"/>
    <w:rsid w:val="00A40E62"/>
    <w:rsid w:val="00A40F5B"/>
    <w:rsid w:val="00A40F5D"/>
    <w:rsid w:val="00A4190A"/>
    <w:rsid w:val="00A41A72"/>
    <w:rsid w:val="00A41EEE"/>
    <w:rsid w:val="00A4370E"/>
    <w:rsid w:val="00A44209"/>
    <w:rsid w:val="00A44E41"/>
    <w:rsid w:val="00A4501E"/>
    <w:rsid w:val="00A47800"/>
    <w:rsid w:val="00A47B28"/>
    <w:rsid w:val="00A500F7"/>
    <w:rsid w:val="00A502F5"/>
    <w:rsid w:val="00A510D1"/>
    <w:rsid w:val="00A51177"/>
    <w:rsid w:val="00A518A1"/>
    <w:rsid w:val="00A52114"/>
    <w:rsid w:val="00A52560"/>
    <w:rsid w:val="00A52648"/>
    <w:rsid w:val="00A52E62"/>
    <w:rsid w:val="00A52EDF"/>
    <w:rsid w:val="00A52F2C"/>
    <w:rsid w:val="00A5368D"/>
    <w:rsid w:val="00A538BF"/>
    <w:rsid w:val="00A53D5B"/>
    <w:rsid w:val="00A53FBC"/>
    <w:rsid w:val="00A549EC"/>
    <w:rsid w:val="00A571F4"/>
    <w:rsid w:val="00A5739F"/>
    <w:rsid w:val="00A57824"/>
    <w:rsid w:val="00A57925"/>
    <w:rsid w:val="00A57C2B"/>
    <w:rsid w:val="00A57C4F"/>
    <w:rsid w:val="00A57E16"/>
    <w:rsid w:val="00A613E3"/>
    <w:rsid w:val="00A61FCA"/>
    <w:rsid w:val="00A62B37"/>
    <w:rsid w:val="00A6305B"/>
    <w:rsid w:val="00A633A7"/>
    <w:rsid w:val="00A63798"/>
    <w:rsid w:val="00A6386B"/>
    <w:rsid w:val="00A63C93"/>
    <w:rsid w:val="00A640B9"/>
    <w:rsid w:val="00A64D87"/>
    <w:rsid w:val="00A6549C"/>
    <w:rsid w:val="00A657E5"/>
    <w:rsid w:val="00A65CBD"/>
    <w:rsid w:val="00A662CF"/>
    <w:rsid w:val="00A6666B"/>
    <w:rsid w:val="00A66BB9"/>
    <w:rsid w:val="00A67F76"/>
    <w:rsid w:val="00A70001"/>
    <w:rsid w:val="00A7013E"/>
    <w:rsid w:val="00A7116A"/>
    <w:rsid w:val="00A711A6"/>
    <w:rsid w:val="00A719C5"/>
    <w:rsid w:val="00A71C76"/>
    <w:rsid w:val="00A72224"/>
    <w:rsid w:val="00A72790"/>
    <w:rsid w:val="00A73772"/>
    <w:rsid w:val="00A738BD"/>
    <w:rsid w:val="00A73993"/>
    <w:rsid w:val="00A73DCA"/>
    <w:rsid w:val="00A741E8"/>
    <w:rsid w:val="00A748A7"/>
    <w:rsid w:val="00A75140"/>
    <w:rsid w:val="00A75498"/>
    <w:rsid w:val="00A7563B"/>
    <w:rsid w:val="00A75A64"/>
    <w:rsid w:val="00A75B27"/>
    <w:rsid w:val="00A76251"/>
    <w:rsid w:val="00A7625C"/>
    <w:rsid w:val="00A77292"/>
    <w:rsid w:val="00A7782B"/>
    <w:rsid w:val="00A778FD"/>
    <w:rsid w:val="00A77D11"/>
    <w:rsid w:val="00A80709"/>
    <w:rsid w:val="00A81CA0"/>
    <w:rsid w:val="00A8274D"/>
    <w:rsid w:val="00A833DE"/>
    <w:rsid w:val="00A835B6"/>
    <w:rsid w:val="00A83B94"/>
    <w:rsid w:val="00A83DF1"/>
    <w:rsid w:val="00A83F46"/>
    <w:rsid w:val="00A84055"/>
    <w:rsid w:val="00A85078"/>
    <w:rsid w:val="00A8576F"/>
    <w:rsid w:val="00A859EB"/>
    <w:rsid w:val="00A8686A"/>
    <w:rsid w:val="00A8690C"/>
    <w:rsid w:val="00A875D1"/>
    <w:rsid w:val="00A87D6F"/>
    <w:rsid w:val="00A9009E"/>
    <w:rsid w:val="00A9073C"/>
    <w:rsid w:val="00A91551"/>
    <w:rsid w:val="00A927D7"/>
    <w:rsid w:val="00A93A8D"/>
    <w:rsid w:val="00A93CF2"/>
    <w:rsid w:val="00A93EA3"/>
    <w:rsid w:val="00A945F9"/>
    <w:rsid w:val="00A9483D"/>
    <w:rsid w:val="00A95A0B"/>
    <w:rsid w:val="00A95A26"/>
    <w:rsid w:val="00A97212"/>
    <w:rsid w:val="00A975D1"/>
    <w:rsid w:val="00A9797F"/>
    <w:rsid w:val="00A97B5C"/>
    <w:rsid w:val="00AA0452"/>
    <w:rsid w:val="00AA2022"/>
    <w:rsid w:val="00AA2314"/>
    <w:rsid w:val="00AA2558"/>
    <w:rsid w:val="00AA41BD"/>
    <w:rsid w:val="00AA431A"/>
    <w:rsid w:val="00AA476B"/>
    <w:rsid w:val="00AA4EAD"/>
    <w:rsid w:val="00AA512D"/>
    <w:rsid w:val="00AA5ADD"/>
    <w:rsid w:val="00AA5DF9"/>
    <w:rsid w:val="00AA63B5"/>
    <w:rsid w:val="00AA68C4"/>
    <w:rsid w:val="00AA6AFF"/>
    <w:rsid w:val="00AA6E00"/>
    <w:rsid w:val="00AB0D98"/>
    <w:rsid w:val="00AB1476"/>
    <w:rsid w:val="00AB1781"/>
    <w:rsid w:val="00AB1870"/>
    <w:rsid w:val="00AB194E"/>
    <w:rsid w:val="00AB2664"/>
    <w:rsid w:val="00AB34BB"/>
    <w:rsid w:val="00AB35F8"/>
    <w:rsid w:val="00AB37B8"/>
    <w:rsid w:val="00AB41B8"/>
    <w:rsid w:val="00AB41C7"/>
    <w:rsid w:val="00AB4F7E"/>
    <w:rsid w:val="00AB611A"/>
    <w:rsid w:val="00AB76EC"/>
    <w:rsid w:val="00AB78EB"/>
    <w:rsid w:val="00AC0B48"/>
    <w:rsid w:val="00AC0C67"/>
    <w:rsid w:val="00AC130A"/>
    <w:rsid w:val="00AC380D"/>
    <w:rsid w:val="00AC3FD6"/>
    <w:rsid w:val="00AC4BED"/>
    <w:rsid w:val="00AC4F0B"/>
    <w:rsid w:val="00AC550D"/>
    <w:rsid w:val="00AC5836"/>
    <w:rsid w:val="00AC5DCE"/>
    <w:rsid w:val="00AC7455"/>
    <w:rsid w:val="00AC76AF"/>
    <w:rsid w:val="00AC7DE5"/>
    <w:rsid w:val="00AD02AD"/>
    <w:rsid w:val="00AD02D7"/>
    <w:rsid w:val="00AD0335"/>
    <w:rsid w:val="00AD0C49"/>
    <w:rsid w:val="00AD1050"/>
    <w:rsid w:val="00AD18B8"/>
    <w:rsid w:val="00AD2361"/>
    <w:rsid w:val="00AD2897"/>
    <w:rsid w:val="00AD2C53"/>
    <w:rsid w:val="00AD308A"/>
    <w:rsid w:val="00AD3862"/>
    <w:rsid w:val="00AD388B"/>
    <w:rsid w:val="00AD391B"/>
    <w:rsid w:val="00AD4020"/>
    <w:rsid w:val="00AD4048"/>
    <w:rsid w:val="00AD43F4"/>
    <w:rsid w:val="00AD4775"/>
    <w:rsid w:val="00AD48D2"/>
    <w:rsid w:val="00AD4A0B"/>
    <w:rsid w:val="00AD4DAB"/>
    <w:rsid w:val="00AD59F4"/>
    <w:rsid w:val="00AD5AF3"/>
    <w:rsid w:val="00AD5E7E"/>
    <w:rsid w:val="00AD6128"/>
    <w:rsid w:val="00AD6F4F"/>
    <w:rsid w:val="00AE23B1"/>
    <w:rsid w:val="00AE23D0"/>
    <w:rsid w:val="00AE260B"/>
    <w:rsid w:val="00AE2CEA"/>
    <w:rsid w:val="00AE3BB5"/>
    <w:rsid w:val="00AE3C55"/>
    <w:rsid w:val="00AE52AD"/>
    <w:rsid w:val="00AE553E"/>
    <w:rsid w:val="00AE5798"/>
    <w:rsid w:val="00AE57C8"/>
    <w:rsid w:val="00AE5811"/>
    <w:rsid w:val="00AE606E"/>
    <w:rsid w:val="00AE63EA"/>
    <w:rsid w:val="00AE63EE"/>
    <w:rsid w:val="00AE69C9"/>
    <w:rsid w:val="00AE7527"/>
    <w:rsid w:val="00AE7565"/>
    <w:rsid w:val="00AE7C12"/>
    <w:rsid w:val="00AF0BF5"/>
    <w:rsid w:val="00AF38ED"/>
    <w:rsid w:val="00AF39A6"/>
    <w:rsid w:val="00AF447A"/>
    <w:rsid w:val="00AF4CB2"/>
    <w:rsid w:val="00AF4E9F"/>
    <w:rsid w:val="00AF504C"/>
    <w:rsid w:val="00AF517D"/>
    <w:rsid w:val="00AF5A00"/>
    <w:rsid w:val="00AF69B0"/>
    <w:rsid w:val="00AF6BA3"/>
    <w:rsid w:val="00AF6D1A"/>
    <w:rsid w:val="00AF6D9E"/>
    <w:rsid w:val="00AF70DE"/>
    <w:rsid w:val="00AF72CE"/>
    <w:rsid w:val="00AF7CD7"/>
    <w:rsid w:val="00AF7F16"/>
    <w:rsid w:val="00B004D5"/>
    <w:rsid w:val="00B00FA3"/>
    <w:rsid w:val="00B018BA"/>
    <w:rsid w:val="00B0282C"/>
    <w:rsid w:val="00B02DB6"/>
    <w:rsid w:val="00B02E4E"/>
    <w:rsid w:val="00B02EE3"/>
    <w:rsid w:val="00B0382A"/>
    <w:rsid w:val="00B04976"/>
    <w:rsid w:val="00B04B72"/>
    <w:rsid w:val="00B04FFE"/>
    <w:rsid w:val="00B054D7"/>
    <w:rsid w:val="00B06028"/>
    <w:rsid w:val="00B06B12"/>
    <w:rsid w:val="00B07CA7"/>
    <w:rsid w:val="00B1084F"/>
    <w:rsid w:val="00B10F97"/>
    <w:rsid w:val="00B11078"/>
    <w:rsid w:val="00B1115F"/>
    <w:rsid w:val="00B1194A"/>
    <w:rsid w:val="00B11B6C"/>
    <w:rsid w:val="00B11CD1"/>
    <w:rsid w:val="00B123FE"/>
    <w:rsid w:val="00B12A80"/>
    <w:rsid w:val="00B13056"/>
    <w:rsid w:val="00B136AD"/>
    <w:rsid w:val="00B1411B"/>
    <w:rsid w:val="00B15399"/>
    <w:rsid w:val="00B156CA"/>
    <w:rsid w:val="00B169ED"/>
    <w:rsid w:val="00B2123A"/>
    <w:rsid w:val="00B214D1"/>
    <w:rsid w:val="00B21DB1"/>
    <w:rsid w:val="00B22DCD"/>
    <w:rsid w:val="00B238A4"/>
    <w:rsid w:val="00B23E72"/>
    <w:rsid w:val="00B25B7A"/>
    <w:rsid w:val="00B25E8C"/>
    <w:rsid w:val="00B25F01"/>
    <w:rsid w:val="00B267FA"/>
    <w:rsid w:val="00B26AD2"/>
    <w:rsid w:val="00B26D39"/>
    <w:rsid w:val="00B27278"/>
    <w:rsid w:val="00B276DD"/>
    <w:rsid w:val="00B30727"/>
    <w:rsid w:val="00B30F22"/>
    <w:rsid w:val="00B312F7"/>
    <w:rsid w:val="00B32ABC"/>
    <w:rsid w:val="00B32B8F"/>
    <w:rsid w:val="00B3339D"/>
    <w:rsid w:val="00B3398D"/>
    <w:rsid w:val="00B3432A"/>
    <w:rsid w:val="00B34622"/>
    <w:rsid w:val="00B347D4"/>
    <w:rsid w:val="00B34AF1"/>
    <w:rsid w:val="00B35872"/>
    <w:rsid w:val="00B36680"/>
    <w:rsid w:val="00B3673D"/>
    <w:rsid w:val="00B367C1"/>
    <w:rsid w:val="00B369AC"/>
    <w:rsid w:val="00B36F8E"/>
    <w:rsid w:val="00B377BE"/>
    <w:rsid w:val="00B37CF9"/>
    <w:rsid w:val="00B400C6"/>
    <w:rsid w:val="00B4030D"/>
    <w:rsid w:val="00B411EA"/>
    <w:rsid w:val="00B41418"/>
    <w:rsid w:val="00B41E87"/>
    <w:rsid w:val="00B425E8"/>
    <w:rsid w:val="00B42AFA"/>
    <w:rsid w:val="00B42B27"/>
    <w:rsid w:val="00B43047"/>
    <w:rsid w:val="00B44BAB"/>
    <w:rsid w:val="00B4561A"/>
    <w:rsid w:val="00B456D3"/>
    <w:rsid w:val="00B45D68"/>
    <w:rsid w:val="00B462F3"/>
    <w:rsid w:val="00B463E6"/>
    <w:rsid w:val="00B464B1"/>
    <w:rsid w:val="00B46DA6"/>
    <w:rsid w:val="00B475AF"/>
    <w:rsid w:val="00B47828"/>
    <w:rsid w:val="00B5056A"/>
    <w:rsid w:val="00B5098C"/>
    <w:rsid w:val="00B50C4B"/>
    <w:rsid w:val="00B511CC"/>
    <w:rsid w:val="00B52A1F"/>
    <w:rsid w:val="00B52A71"/>
    <w:rsid w:val="00B54387"/>
    <w:rsid w:val="00B55110"/>
    <w:rsid w:val="00B55E98"/>
    <w:rsid w:val="00B56304"/>
    <w:rsid w:val="00B5664A"/>
    <w:rsid w:val="00B566D8"/>
    <w:rsid w:val="00B5678D"/>
    <w:rsid w:val="00B5736B"/>
    <w:rsid w:val="00B57666"/>
    <w:rsid w:val="00B57B25"/>
    <w:rsid w:val="00B57C09"/>
    <w:rsid w:val="00B57D20"/>
    <w:rsid w:val="00B60CC6"/>
    <w:rsid w:val="00B61698"/>
    <w:rsid w:val="00B61E7D"/>
    <w:rsid w:val="00B62D28"/>
    <w:rsid w:val="00B62D9B"/>
    <w:rsid w:val="00B637C8"/>
    <w:rsid w:val="00B64034"/>
    <w:rsid w:val="00B6445E"/>
    <w:rsid w:val="00B646BB"/>
    <w:rsid w:val="00B64A30"/>
    <w:rsid w:val="00B65A2E"/>
    <w:rsid w:val="00B65C15"/>
    <w:rsid w:val="00B6609F"/>
    <w:rsid w:val="00B663CE"/>
    <w:rsid w:val="00B667C9"/>
    <w:rsid w:val="00B66F5D"/>
    <w:rsid w:val="00B67141"/>
    <w:rsid w:val="00B705A9"/>
    <w:rsid w:val="00B706F6"/>
    <w:rsid w:val="00B70EC2"/>
    <w:rsid w:val="00B71041"/>
    <w:rsid w:val="00B71C6C"/>
    <w:rsid w:val="00B72249"/>
    <w:rsid w:val="00B728AD"/>
    <w:rsid w:val="00B73DEE"/>
    <w:rsid w:val="00B73F1F"/>
    <w:rsid w:val="00B743E4"/>
    <w:rsid w:val="00B751B6"/>
    <w:rsid w:val="00B754F4"/>
    <w:rsid w:val="00B75773"/>
    <w:rsid w:val="00B75A1E"/>
    <w:rsid w:val="00B75C40"/>
    <w:rsid w:val="00B75E16"/>
    <w:rsid w:val="00B764B2"/>
    <w:rsid w:val="00B764DB"/>
    <w:rsid w:val="00B774F7"/>
    <w:rsid w:val="00B802AA"/>
    <w:rsid w:val="00B8135F"/>
    <w:rsid w:val="00B818AE"/>
    <w:rsid w:val="00B83200"/>
    <w:rsid w:val="00B8326D"/>
    <w:rsid w:val="00B8495B"/>
    <w:rsid w:val="00B863AD"/>
    <w:rsid w:val="00B864BC"/>
    <w:rsid w:val="00B8679D"/>
    <w:rsid w:val="00B86C3A"/>
    <w:rsid w:val="00B86F1D"/>
    <w:rsid w:val="00B87217"/>
    <w:rsid w:val="00B87AB1"/>
    <w:rsid w:val="00B90C2F"/>
    <w:rsid w:val="00B90F77"/>
    <w:rsid w:val="00B91E5B"/>
    <w:rsid w:val="00B92A02"/>
    <w:rsid w:val="00B93CC5"/>
    <w:rsid w:val="00B940E7"/>
    <w:rsid w:val="00B9412F"/>
    <w:rsid w:val="00B94411"/>
    <w:rsid w:val="00B9477A"/>
    <w:rsid w:val="00B94B5E"/>
    <w:rsid w:val="00B951F3"/>
    <w:rsid w:val="00B954F0"/>
    <w:rsid w:val="00B95A42"/>
    <w:rsid w:val="00B95CE8"/>
    <w:rsid w:val="00B96486"/>
    <w:rsid w:val="00B96C28"/>
    <w:rsid w:val="00B96C95"/>
    <w:rsid w:val="00B96CDC"/>
    <w:rsid w:val="00B96D9D"/>
    <w:rsid w:val="00B977FF"/>
    <w:rsid w:val="00B979CA"/>
    <w:rsid w:val="00BA0652"/>
    <w:rsid w:val="00BA1559"/>
    <w:rsid w:val="00BA1874"/>
    <w:rsid w:val="00BA2065"/>
    <w:rsid w:val="00BA26E3"/>
    <w:rsid w:val="00BA289C"/>
    <w:rsid w:val="00BA2E13"/>
    <w:rsid w:val="00BA32AD"/>
    <w:rsid w:val="00BA3565"/>
    <w:rsid w:val="00BA407B"/>
    <w:rsid w:val="00BA4360"/>
    <w:rsid w:val="00BA46FC"/>
    <w:rsid w:val="00BA5344"/>
    <w:rsid w:val="00BA568C"/>
    <w:rsid w:val="00BA5FE7"/>
    <w:rsid w:val="00BA68A2"/>
    <w:rsid w:val="00BA7733"/>
    <w:rsid w:val="00BB0B5A"/>
    <w:rsid w:val="00BB1FFF"/>
    <w:rsid w:val="00BB26C1"/>
    <w:rsid w:val="00BB275E"/>
    <w:rsid w:val="00BB2AEE"/>
    <w:rsid w:val="00BB371B"/>
    <w:rsid w:val="00BB3ABF"/>
    <w:rsid w:val="00BB3EB7"/>
    <w:rsid w:val="00BB4754"/>
    <w:rsid w:val="00BB4D83"/>
    <w:rsid w:val="00BB5068"/>
    <w:rsid w:val="00BB519E"/>
    <w:rsid w:val="00BB5A54"/>
    <w:rsid w:val="00BB5A6E"/>
    <w:rsid w:val="00BB5BD8"/>
    <w:rsid w:val="00BB6027"/>
    <w:rsid w:val="00BB7267"/>
    <w:rsid w:val="00BB7724"/>
    <w:rsid w:val="00BB788F"/>
    <w:rsid w:val="00BB7A46"/>
    <w:rsid w:val="00BC1605"/>
    <w:rsid w:val="00BC180C"/>
    <w:rsid w:val="00BC2FE0"/>
    <w:rsid w:val="00BC40ED"/>
    <w:rsid w:val="00BC50A3"/>
    <w:rsid w:val="00BC570D"/>
    <w:rsid w:val="00BC5922"/>
    <w:rsid w:val="00BC5B33"/>
    <w:rsid w:val="00BC5BAA"/>
    <w:rsid w:val="00BC612E"/>
    <w:rsid w:val="00BC6BFA"/>
    <w:rsid w:val="00BC6D1B"/>
    <w:rsid w:val="00BC6EB0"/>
    <w:rsid w:val="00BC7282"/>
    <w:rsid w:val="00BD0474"/>
    <w:rsid w:val="00BD08DA"/>
    <w:rsid w:val="00BD0AD1"/>
    <w:rsid w:val="00BD0D2D"/>
    <w:rsid w:val="00BD0E09"/>
    <w:rsid w:val="00BD18F5"/>
    <w:rsid w:val="00BD2678"/>
    <w:rsid w:val="00BD343A"/>
    <w:rsid w:val="00BD37E1"/>
    <w:rsid w:val="00BD539C"/>
    <w:rsid w:val="00BD66DB"/>
    <w:rsid w:val="00BD6975"/>
    <w:rsid w:val="00BD6E99"/>
    <w:rsid w:val="00BE1699"/>
    <w:rsid w:val="00BE1DF6"/>
    <w:rsid w:val="00BE1E07"/>
    <w:rsid w:val="00BE1E95"/>
    <w:rsid w:val="00BE3375"/>
    <w:rsid w:val="00BE33B6"/>
    <w:rsid w:val="00BE402C"/>
    <w:rsid w:val="00BE40AD"/>
    <w:rsid w:val="00BE5666"/>
    <w:rsid w:val="00BE5A80"/>
    <w:rsid w:val="00BE5F34"/>
    <w:rsid w:val="00BE632C"/>
    <w:rsid w:val="00BE7569"/>
    <w:rsid w:val="00BE79EC"/>
    <w:rsid w:val="00BE7A58"/>
    <w:rsid w:val="00BE7B34"/>
    <w:rsid w:val="00BE7E02"/>
    <w:rsid w:val="00BF0175"/>
    <w:rsid w:val="00BF076A"/>
    <w:rsid w:val="00BF0913"/>
    <w:rsid w:val="00BF098A"/>
    <w:rsid w:val="00BF2198"/>
    <w:rsid w:val="00BF2528"/>
    <w:rsid w:val="00BF26C4"/>
    <w:rsid w:val="00BF3E81"/>
    <w:rsid w:val="00BF45F8"/>
    <w:rsid w:val="00BF489A"/>
    <w:rsid w:val="00BF496B"/>
    <w:rsid w:val="00BF4B23"/>
    <w:rsid w:val="00BF542F"/>
    <w:rsid w:val="00BF5840"/>
    <w:rsid w:val="00BF5E89"/>
    <w:rsid w:val="00BF5F2A"/>
    <w:rsid w:val="00BF642A"/>
    <w:rsid w:val="00BF6529"/>
    <w:rsid w:val="00C00D25"/>
    <w:rsid w:val="00C00E8E"/>
    <w:rsid w:val="00C00EEF"/>
    <w:rsid w:val="00C015B1"/>
    <w:rsid w:val="00C01619"/>
    <w:rsid w:val="00C02202"/>
    <w:rsid w:val="00C02676"/>
    <w:rsid w:val="00C02AFB"/>
    <w:rsid w:val="00C03958"/>
    <w:rsid w:val="00C03CD5"/>
    <w:rsid w:val="00C0489F"/>
    <w:rsid w:val="00C04C0A"/>
    <w:rsid w:val="00C04D0A"/>
    <w:rsid w:val="00C04D39"/>
    <w:rsid w:val="00C04FF6"/>
    <w:rsid w:val="00C0593D"/>
    <w:rsid w:val="00C05A26"/>
    <w:rsid w:val="00C05B7B"/>
    <w:rsid w:val="00C0722C"/>
    <w:rsid w:val="00C07434"/>
    <w:rsid w:val="00C10CAC"/>
    <w:rsid w:val="00C1150B"/>
    <w:rsid w:val="00C12C60"/>
    <w:rsid w:val="00C12CA0"/>
    <w:rsid w:val="00C13109"/>
    <w:rsid w:val="00C13128"/>
    <w:rsid w:val="00C137CA"/>
    <w:rsid w:val="00C138C1"/>
    <w:rsid w:val="00C13C7E"/>
    <w:rsid w:val="00C13CA8"/>
    <w:rsid w:val="00C1479B"/>
    <w:rsid w:val="00C151C2"/>
    <w:rsid w:val="00C15347"/>
    <w:rsid w:val="00C15A63"/>
    <w:rsid w:val="00C15C22"/>
    <w:rsid w:val="00C15D48"/>
    <w:rsid w:val="00C1686C"/>
    <w:rsid w:val="00C17F8C"/>
    <w:rsid w:val="00C200C1"/>
    <w:rsid w:val="00C20384"/>
    <w:rsid w:val="00C20880"/>
    <w:rsid w:val="00C20F46"/>
    <w:rsid w:val="00C21014"/>
    <w:rsid w:val="00C2173D"/>
    <w:rsid w:val="00C21D9D"/>
    <w:rsid w:val="00C21DE9"/>
    <w:rsid w:val="00C2216E"/>
    <w:rsid w:val="00C22753"/>
    <w:rsid w:val="00C23AB9"/>
    <w:rsid w:val="00C23AC8"/>
    <w:rsid w:val="00C24098"/>
    <w:rsid w:val="00C24109"/>
    <w:rsid w:val="00C2421A"/>
    <w:rsid w:val="00C24AC1"/>
    <w:rsid w:val="00C251C9"/>
    <w:rsid w:val="00C26420"/>
    <w:rsid w:val="00C26800"/>
    <w:rsid w:val="00C26831"/>
    <w:rsid w:val="00C275D5"/>
    <w:rsid w:val="00C27803"/>
    <w:rsid w:val="00C27F2B"/>
    <w:rsid w:val="00C3087E"/>
    <w:rsid w:val="00C31C42"/>
    <w:rsid w:val="00C32E7C"/>
    <w:rsid w:val="00C32F32"/>
    <w:rsid w:val="00C33535"/>
    <w:rsid w:val="00C33DDA"/>
    <w:rsid w:val="00C34688"/>
    <w:rsid w:val="00C3483B"/>
    <w:rsid w:val="00C35002"/>
    <w:rsid w:val="00C35078"/>
    <w:rsid w:val="00C357EF"/>
    <w:rsid w:val="00C35CEB"/>
    <w:rsid w:val="00C35EBD"/>
    <w:rsid w:val="00C35FB5"/>
    <w:rsid w:val="00C364B1"/>
    <w:rsid w:val="00C36551"/>
    <w:rsid w:val="00C36BFB"/>
    <w:rsid w:val="00C36C08"/>
    <w:rsid w:val="00C376D0"/>
    <w:rsid w:val="00C40E69"/>
    <w:rsid w:val="00C41A1B"/>
    <w:rsid w:val="00C41A6E"/>
    <w:rsid w:val="00C41BE0"/>
    <w:rsid w:val="00C41C66"/>
    <w:rsid w:val="00C42222"/>
    <w:rsid w:val="00C425CC"/>
    <w:rsid w:val="00C428D9"/>
    <w:rsid w:val="00C42CF6"/>
    <w:rsid w:val="00C4332D"/>
    <w:rsid w:val="00C4393C"/>
    <w:rsid w:val="00C43CFF"/>
    <w:rsid w:val="00C446B0"/>
    <w:rsid w:val="00C45418"/>
    <w:rsid w:val="00C45A19"/>
    <w:rsid w:val="00C46118"/>
    <w:rsid w:val="00C46CE7"/>
    <w:rsid w:val="00C46E72"/>
    <w:rsid w:val="00C47630"/>
    <w:rsid w:val="00C47699"/>
    <w:rsid w:val="00C47BF1"/>
    <w:rsid w:val="00C47C13"/>
    <w:rsid w:val="00C50129"/>
    <w:rsid w:val="00C50A0A"/>
    <w:rsid w:val="00C5216C"/>
    <w:rsid w:val="00C5248E"/>
    <w:rsid w:val="00C52A28"/>
    <w:rsid w:val="00C52F00"/>
    <w:rsid w:val="00C53375"/>
    <w:rsid w:val="00C53669"/>
    <w:rsid w:val="00C54752"/>
    <w:rsid w:val="00C54A90"/>
    <w:rsid w:val="00C55358"/>
    <w:rsid w:val="00C55D3B"/>
    <w:rsid w:val="00C5620F"/>
    <w:rsid w:val="00C563C0"/>
    <w:rsid w:val="00C563D0"/>
    <w:rsid w:val="00C571FB"/>
    <w:rsid w:val="00C576C0"/>
    <w:rsid w:val="00C576F0"/>
    <w:rsid w:val="00C61464"/>
    <w:rsid w:val="00C6152D"/>
    <w:rsid w:val="00C61C69"/>
    <w:rsid w:val="00C61D10"/>
    <w:rsid w:val="00C6248A"/>
    <w:rsid w:val="00C62D7F"/>
    <w:rsid w:val="00C6353B"/>
    <w:rsid w:val="00C646EF"/>
    <w:rsid w:val="00C6504C"/>
    <w:rsid w:val="00C6521C"/>
    <w:rsid w:val="00C66368"/>
    <w:rsid w:val="00C6670C"/>
    <w:rsid w:val="00C66776"/>
    <w:rsid w:val="00C67805"/>
    <w:rsid w:val="00C67DA7"/>
    <w:rsid w:val="00C67DFE"/>
    <w:rsid w:val="00C70258"/>
    <w:rsid w:val="00C71393"/>
    <w:rsid w:val="00C719E2"/>
    <w:rsid w:val="00C71B48"/>
    <w:rsid w:val="00C71DF7"/>
    <w:rsid w:val="00C71F7C"/>
    <w:rsid w:val="00C72920"/>
    <w:rsid w:val="00C73632"/>
    <w:rsid w:val="00C739BC"/>
    <w:rsid w:val="00C7413F"/>
    <w:rsid w:val="00C74930"/>
    <w:rsid w:val="00C7526C"/>
    <w:rsid w:val="00C75573"/>
    <w:rsid w:val="00C77ED1"/>
    <w:rsid w:val="00C817F6"/>
    <w:rsid w:val="00C81B2A"/>
    <w:rsid w:val="00C82652"/>
    <w:rsid w:val="00C82AE5"/>
    <w:rsid w:val="00C83473"/>
    <w:rsid w:val="00C83730"/>
    <w:rsid w:val="00C83834"/>
    <w:rsid w:val="00C841CF"/>
    <w:rsid w:val="00C843F4"/>
    <w:rsid w:val="00C846D2"/>
    <w:rsid w:val="00C851AE"/>
    <w:rsid w:val="00C85716"/>
    <w:rsid w:val="00C863D6"/>
    <w:rsid w:val="00C86407"/>
    <w:rsid w:val="00C869B2"/>
    <w:rsid w:val="00C86A87"/>
    <w:rsid w:val="00C8767C"/>
    <w:rsid w:val="00C87946"/>
    <w:rsid w:val="00C87A9A"/>
    <w:rsid w:val="00C910CA"/>
    <w:rsid w:val="00C911F8"/>
    <w:rsid w:val="00C91709"/>
    <w:rsid w:val="00C91A38"/>
    <w:rsid w:val="00C91B8B"/>
    <w:rsid w:val="00C9287F"/>
    <w:rsid w:val="00C92AD2"/>
    <w:rsid w:val="00C93BB0"/>
    <w:rsid w:val="00C944A9"/>
    <w:rsid w:val="00C94F1E"/>
    <w:rsid w:val="00C94F38"/>
    <w:rsid w:val="00C952A2"/>
    <w:rsid w:val="00C95630"/>
    <w:rsid w:val="00C95CF7"/>
    <w:rsid w:val="00C95D0A"/>
    <w:rsid w:val="00C96BE2"/>
    <w:rsid w:val="00C96E27"/>
    <w:rsid w:val="00C96F7A"/>
    <w:rsid w:val="00C97B82"/>
    <w:rsid w:val="00C97FA3"/>
    <w:rsid w:val="00C97FC3"/>
    <w:rsid w:val="00CA056B"/>
    <w:rsid w:val="00CA126B"/>
    <w:rsid w:val="00CA1447"/>
    <w:rsid w:val="00CA15DD"/>
    <w:rsid w:val="00CA1B19"/>
    <w:rsid w:val="00CA3294"/>
    <w:rsid w:val="00CA377F"/>
    <w:rsid w:val="00CA5772"/>
    <w:rsid w:val="00CA685F"/>
    <w:rsid w:val="00CA7EB9"/>
    <w:rsid w:val="00CB0529"/>
    <w:rsid w:val="00CB058A"/>
    <w:rsid w:val="00CB059F"/>
    <w:rsid w:val="00CB06D5"/>
    <w:rsid w:val="00CB0B43"/>
    <w:rsid w:val="00CB0D93"/>
    <w:rsid w:val="00CB17CA"/>
    <w:rsid w:val="00CB1819"/>
    <w:rsid w:val="00CB1B96"/>
    <w:rsid w:val="00CB1BA3"/>
    <w:rsid w:val="00CB1DFE"/>
    <w:rsid w:val="00CB1EFC"/>
    <w:rsid w:val="00CB2DFE"/>
    <w:rsid w:val="00CB3253"/>
    <w:rsid w:val="00CB391A"/>
    <w:rsid w:val="00CB3B23"/>
    <w:rsid w:val="00CB3DBF"/>
    <w:rsid w:val="00CB42A8"/>
    <w:rsid w:val="00CB56B7"/>
    <w:rsid w:val="00CB5C01"/>
    <w:rsid w:val="00CB6268"/>
    <w:rsid w:val="00CB754B"/>
    <w:rsid w:val="00CB79D8"/>
    <w:rsid w:val="00CC1389"/>
    <w:rsid w:val="00CC1BBC"/>
    <w:rsid w:val="00CC1D16"/>
    <w:rsid w:val="00CC1D76"/>
    <w:rsid w:val="00CC26BA"/>
    <w:rsid w:val="00CC43B8"/>
    <w:rsid w:val="00CC5444"/>
    <w:rsid w:val="00CC5A36"/>
    <w:rsid w:val="00CC5BBE"/>
    <w:rsid w:val="00CC5C8E"/>
    <w:rsid w:val="00CC664E"/>
    <w:rsid w:val="00CC6A5A"/>
    <w:rsid w:val="00CC6FA5"/>
    <w:rsid w:val="00CD073B"/>
    <w:rsid w:val="00CD0F59"/>
    <w:rsid w:val="00CD1A80"/>
    <w:rsid w:val="00CD1E72"/>
    <w:rsid w:val="00CD2254"/>
    <w:rsid w:val="00CD32B6"/>
    <w:rsid w:val="00CD47E9"/>
    <w:rsid w:val="00CD5411"/>
    <w:rsid w:val="00CD5C7A"/>
    <w:rsid w:val="00CD5E47"/>
    <w:rsid w:val="00CD5F51"/>
    <w:rsid w:val="00CD6251"/>
    <w:rsid w:val="00CD68F5"/>
    <w:rsid w:val="00CD6B97"/>
    <w:rsid w:val="00CD6E3F"/>
    <w:rsid w:val="00CE0579"/>
    <w:rsid w:val="00CE1884"/>
    <w:rsid w:val="00CE18F4"/>
    <w:rsid w:val="00CE1A90"/>
    <w:rsid w:val="00CE1ED3"/>
    <w:rsid w:val="00CE2C6C"/>
    <w:rsid w:val="00CE2D5D"/>
    <w:rsid w:val="00CE3C37"/>
    <w:rsid w:val="00CE45C1"/>
    <w:rsid w:val="00CE462F"/>
    <w:rsid w:val="00CE4968"/>
    <w:rsid w:val="00CE50D6"/>
    <w:rsid w:val="00CE5494"/>
    <w:rsid w:val="00CE6519"/>
    <w:rsid w:val="00CE71E0"/>
    <w:rsid w:val="00CE7E61"/>
    <w:rsid w:val="00CE7F21"/>
    <w:rsid w:val="00CF0B36"/>
    <w:rsid w:val="00CF1432"/>
    <w:rsid w:val="00CF28BF"/>
    <w:rsid w:val="00CF3409"/>
    <w:rsid w:val="00CF3A43"/>
    <w:rsid w:val="00CF4C3B"/>
    <w:rsid w:val="00CF4DF3"/>
    <w:rsid w:val="00CF508B"/>
    <w:rsid w:val="00CF5868"/>
    <w:rsid w:val="00CF5CB6"/>
    <w:rsid w:val="00CF5F8F"/>
    <w:rsid w:val="00CF64E5"/>
    <w:rsid w:val="00CF65FC"/>
    <w:rsid w:val="00CF67FF"/>
    <w:rsid w:val="00CF6FFD"/>
    <w:rsid w:val="00CF7693"/>
    <w:rsid w:val="00D0128B"/>
    <w:rsid w:val="00D01658"/>
    <w:rsid w:val="00D02101"/>
    <w:rsid w:val="00D0265F"/>
    <w:rsid w:val="00D02A7C"/>
    <w:rsid w:val="00D034D3"/>
    <w:rsid w:val="00D03995"/>
    <w:rsid w:val="00D03A54"/>
    <w:rsid w:val="00D03CB0"/>
    <w:rsid w:val="00D03FB8"/>
    <w:rsid w:val="00D05202"/>
    <w:rsid w:val="00D06706"/>
    <w:rsid w:val="00D068C7"/>
    <w:rsid w:val="00D0712D"/>
    <w:rsid w:val="00D10903"/>
    <w:rsid w:val="00D10B2A"/>
    <w:rsid w:val="00D1145D"/>
    <w:rsid w:val="00D11870"/>
    <w:rsid w:val="00D121FD"/>
    <w:rsid w:val="00D125DA"/>
    <w:rsid w:val="00D12663"/>
    <w:rsid w:val="00D128C7"/>
    <w:rsid w:val="00D132BB"/>
    <w:rsid w:val="00D1356F"/>
    <w:rsid w:val="00D137A8"/>
    <w:rsid w:val="00D14BB8"/>
    <w:rsid w:val="00D14D29"/>
    <w:rsid w:val="00D14E11"/>
    <w:rsid w:val="00D152F2"/>
    <w:rsid w:val="00D15A4F"/>
    <w:rsid w:val="00D15CA3"/>
    <w:rsid w:val="00D16274"/>
    <w:rsid w:val="00D1629D"/>
    <w:rsid w:val="00D16E60"/>
    <w:rsid w:val="00D1712A"/>
    <w:rsid w:val="00D1716D"/>
    <w:rsid w:val="00D17CEA"/>
    <w:rsid w:val="00D17FDF"/>
    <w:rsid w:val="00D17FED"/>
    <w:rsid w:val="00D2093D"/>
    <w:rsid w:val="00D2105E"/>
    <w:rsid w:val="00D21959"/>
    <w:rsid w:val="00D23B8C"/>
    <w:rsid w:val="00D24500"/>
    <w:rsid w:val="00D247A7"/>
    <w:rsid w:val="00D24CEF"/>
    <w:rsid w:val="00D24D8A"/>
    <w:rsid w:val="00D25386"/>
    <w:rsid w:val="00D2554D"/>
    <w:rsid w:val="00D25830"/>
    <w:rsid w:val="00D263AF"/>
    <w:rsid w:val="00D26538"/>
    <w:rsid w:val="00D26A11"/>
    <w:rsid w:val="00D27C0A"/>
    <w:rsid w:val="00D27CE7"/>
    <w:rsid w:val="00D306D1"/>
    <w:rsid w:val="00D310B2"/>
    <w:rsid w:val="00D32809"/>
    <w:rsid w:val="00D33937"/>
    <w:rsid w:val="00D34C32"/>
    <w:rsid w:val="00D3667D"/>
    <w:rsid w:val="00D370E9"/>
    <w:rsid w:val="00D400FC"/>
    <w:rsid w:val="00D4012C"/>
    <w:rsid w:val="00D40896"/>
    <w:rsid w:val="00D4157C"/>
    <w:rsid w:val="00D419BE"/>
    <w:rsid w:val="00D4240B"/>
    <w:rsid w:val="00D42A1B"/>
    <w:rsid w:val="00D43520"/>
    <w:rsid w:val="00D4396A"/>
    <w:rsid w:val="00D46B15"/>
    <w:rsid w:val="00D476D9"/>
    <w:rsid w:val="00D47C43"/>
    <w:rsid w:val="00D504BE"/>
    <w:rsid w:val="00D506FC"/>
    <w:rsid w:val="00D50C30"/>
    <w:rsid w:val="00D51083"/>
    <w:rsid w:val="00D510E6"/>
    <w:rsid w:val="00D51B7B"/>
    <w:rsid w:val="00D51BB7"/>
    <w:rsid w:val="00D52056"/>
    <w:rsid w:val="00D530BC"/>
    <w:rsid w:val="00D545A8"/>
    <w:rsid w:val="00D54816"/>
    <w:rsid w:val="00D54E9F"/>
    <w:rsid w:val="00D558AD"/>
    <w:rsid w:val="00D55A51"/>
    <w:rsid w:val="00D55E8E"/>
    <w:rsid w:val="00D56B31"/>
    <w:rsid w:val="00D56CFB"/>
    <w:rsid w:val="00D56D66"/>
    <w:rsid w:val="00D56DC9"/>
    <w:rsid w:val="00D57621"/>
    <w:rsid w:val="00D576F8"/>
    <w:rsid w:val="00D603A9"/>
    <w:rsid w:val="00D60715"/>
    <w:rsid w:val="00D60E23"/>
    <w:rsid w:val="00D6120A"/>
    <w:rsid w:val="00D6131A"/>
    <w:rsid w:val="00D613F4"/>
    <w:rsid w:val="00D6148B"/>
    <w:rsid w:val="00D624E7"/>
    <w:rsid w:val="00D629B8"/>
    <w:rsid w:val="00D62BE2"/>
    <w:rsid w:val="00D63436"/>
    <w:rsid w:val="00D6377C"/>
    <w:rsid w:val="00D63810"/>
    <w:rsid w:val="00D64191"/>
    <w:rsid w:val="00D64FA0"/>
    <w:rsid w:val="00D6515A"/>
    <w:rsid w:val="00D65B5A"/>
    <w:rsid w:val="00D6699C"/>
    <w:rsid w:val="00D67533"/>
    <w:rsid w:val="00D67B00"/>
    <w:rsid w:val="00D67CB9"/>
    <w:rsid w:val="00D70015"/>
    <w:rsid w:val="00D70423"/>
    <w:rsid w:val="00D70460"/>
    <w:rsid w:val="00D70710"/>
    <w:rsid w:val="00D707A7"/>
    <w:rsid w:val="00D71390"/>
    <w:rsid w:val="00D71CAF"/>
    <w:rsid w:val="00D7253B"/>
    <w:rsid w:val="00D72565"/>
    <w:rsid w:val="00D725A3"/>
    <w:rsid w:val="00D73BB3"/>
    <w:rsid w:val="00D74835"/>
    <w:rsid w:val="00D74DFC"/>
    <w:rsid w:val="00D752B7"/>
    <w:rsid w:val="00D75FD9"/>
    <w:rsid w:val="00D762D7"/>
    <w:rsid w:val="00D7681E"/>
    <w:rsid w:val="00D76F14"/>
    <w:rsid w:val="00D77391"/>
    <w:rsid w:val="00D7748E"/>
    <w:rsid w:val="00D77584"/>
    <w:rsid w:val="00D77E27"/>
    <w:rsid w:val="00D80AC9"/>
    <w:rsid w:val="00D81357"/>
    <w:rsid w:val="00D813D7"/>
    <w:rsid w:val="00D8321C"/>
    <w:rsid w:val="00D837DB"/>
    <w:rsid w:val="00D83E3B"/>
    <w:rsid w:val="00D8433C"/>
    <w:rsid w:val="00D84A7E"/>
    <w:rsid w:val="00D8550A"/>
    <w:rsid w:val="00D85C05"/>
    <w:rsid w:val="00D85F32"/>
    <w:rsid w:val="00D90121"/>
    <w:rsid w:val="00D90495"/>
    <w:rsid w:val="00D91614"/>
    <w:rsid w:val="00D91944"/>
    <w:rsid w:val="00D91C71"/>
    <w:rsid w:val="00D924BF"/>
    <w:rsid w:val="00D9252B"/>
    <w:rsid w:val="00D92B97"/>
    <w:rsid w:val="00D92BB4"/>
    <w:rsid w:val="00D9324B"/>
    <w:rsid w:val="00D94B1D"/>
    <w:rsid w:val="00D951F1"/>
    <w:rsid w:val="00D95383"/>
    <w:rsid w:val="00D959BF"/>
    <w:rsid w:val="00D95A3C"/>
    <w:rsid w:val="00D95F91"/>
    <w:rsid w:val="00D9607B"/>
    <w:rsid w:val="00D960B1"/>
    <w:rsid w:val="00D9612A"/>
    <w:rsid w:val="00D96209"/>
    <w:rsid w:val="00D9675C"/>
    <w:rsid w:val="00D96AB8"/>
    <w:rsid w:val="00D96B00"/>
    <w:rsid w:val="00D96D13"/>
    <w:rsid w:val="00D96D45"/>
    <w:rsid w:val="00D979DD"/>
    <w:rsid w:val="00D97B46"/>
    <w:rsid w:val="00DA1088"/>
    <w:rsid w:val="00DA15EA"/>
    <w:rsid w:val="00DA3639"/>
    <w:rsid w:val="00DA39FA"/>
    <w:rsid w:val="00DA49F9"/>
    <w:rsid w:val="00DA5915"/>
    <w:rsid w:val="00DA5A12"/>
    <w:rsid w:val="00DA5B07"/>
    <w:rsid w:val="00DA5EA0"/>
    <w:rsid w:val="00DA7E40"/>
    <w:rsid w:val="00DB0B26"/>
    <w:rsid w:val="00DB0E8C"/>
    <w:rsid w:val="00DB1834"/>
    <w:rsid w:val="00DB21EF"/>
    <w:rsid w:val="00DB3385"/>
    <w:rsid w:val="00DB35A5"/>
    <w:rsid w:val="00DB3655"/>
    <w:rsid w:val="00DB430F"/>
    <w:rsid w:val="00DB4C17"/>
    <w:rsid w:val="00DB4F86"/>
    <w:rsid w:val="00DB54B9"/>
    <w:rsid w:val="00DB6CA0"/>
    <w:rsid w:val="00DC0E27"/>
    <w:rsid w:val="00DC21AC"/>
    <w:rsid w:val="00DC21F1"/>
    <w:rsid w:val="00DC2269"/>
    <w:rsid w:val="00DC2BEC"/>
    <w:rsid w:val="00DC2C6B"/>
    <w:rsid w:val="00DC2F45"/>
    <w:rsid w:val="00DC36E4"/>
    <w:rsid w:val="00DC4005"/>
    <w:rsid w:val="00DC4412"/>
    <w:rsid w:val="00DC4F7B"/>
    <w:rsid w:val="00DC6056"/>
    <w:rsid w:val="00DC6947"/>
    <w:rsid w:val="00DC7515"/>
    <w:rsid w:val="00DC7882"/>
    <w:rsid w:val="00DD07A7"/>
    <w:rsid w:val="00DD0B8F"/>
    <w:rsid w:val="00DD0C01"/>
    <w:rsid w:val="00DD0CC8"/>
    <w:rsid w:val="00DD1A96"/>
    <w:rsid w:val="00DD1FFE"/>
    <w:rsid w:val="00DD20D9"/>
    <w:rsid w:val="00DD22D8"/>
    <w:rsid w:val="00DD23E8"/>
    <w:rsid w:val="00DD2B9E"/>
    <w:rsid w:val="00DD34BF"/>
    <w:rsid w:val="00DD3976"/>
    <w:rsid w:val="00DD3C1F"/>
    <w:rsid w:val="00DD4537"/>
    <w:rsid w:val="00DD4A27"/>
    <w:rsid w:val="00DD4B31"/>
    <w:rsid w:val="00DD4EBA"/>
    <w:rsid w:val="00DD54F3"/>
    <w:rsid w:val="00DD5A45"/>
    <w:rsid w:val="00DD5C7B"/>
    <w:rsid w:val="00DD5F31"/>
    <w:rsid w:val="00DD6663"/>
    <w:rsid w:val="00DD692E"/>
    <w:rsid w:val="00DD6CFF"/>
    <w:rsid w:val="00DD705C"/>
    <w:rsid w:val="00DD7322"/>
    <w:rsid w:val="00DD7CF0"/>
    <w:rsid w:val="00DE05F2"/>
    <w:rsid w:val="00DE0C37"/>
    <w:rsid w:val="00DE2354"/>
    <w:rsid w:val="00DE45F1"/>
    <w:rsid w:val="00DE5185"/>
    <w:rsid w:val="00DE5435"/>
    <w:rsid w:val="00DE59B1"/>
    <w:rsid w:val="00DE6681"/>
    <w:rsid w:val="00DE6A55"/>
    <w:rsid w:val="00DE727E"/>
    <w:rsid w:val="00DF0770"/>
    <w:rsid w:val="00DF07C4"/>
    <w:rsid w:val="00DF10CC"/>
    <w:rsid w:val="00DF1F76"/>
    <w:rsid w:val="00DF2407"/>
    <w:rsid w:val="00DF2888"/>
    <w:rsid w:val="00DF2C00"/>
    <w:rsid w:val="00DF446F"/>
    <w:rsid w:val="00DF4E48"/>
    <w:rsid w:val="00DF4ED9"/>
    <w:rsid w:val="00DF5733"/>
    <w:rsid w:val="00DF5CE9"/>
    <w:rsid w:val="00DF634C"/>
    <w:rsid w:val="00DF6363"/>
    <w:rsid w:val="00DF68A2"/>
    <w:rsid w:val="00DF6A37"/>
    <w:rsid w:val="00DF6DAC"/>
    <w:rsid w:val="00DF71B1"/>
    <w:rsid w:val="00DF725C"/>
    <w:rsid w:val="00DF728C"/>
    <w:rsid w:val="00DF7399"/>
    <w:rsid w:val="00DF7778"/>
    <w:rsid w:val="00DF7827"/>
    <w:rsid w:val="00DF7DA1"/>
    <w:rsid w:val="00E00411"/>
    <w:rsid w:val="00E00694"/>
    <w:rsid w:val="00E0133C"/>
    <w:rsid w:val="00E013D5"/>
    <w:rsid w:val="00E01DCD"/>
    <w:rsid w:val="00E01F3F"/>
    <w:rsid w:val="00E02047"/>
    <w:rsid w:val="00E020DB"/>
    <w:rsid w:val="00E02107"/>
    <w:rsid w:val="00E022E7"/>
    <w:rsid w:val="00E02A1F"/>
    <w:rsid w:val="00E02B59"/>
    <w:rsid w:val="00E038F1"/>
    <w:rsid w:val="00E03AC3"/>
    <w:rsid w:val="00E03B48"/>
    <w:rsid w:val="00E03F25"/>
    <w:rsid w:val="00E0449B"/>
    <w:rsid w:val="00E04507"/>
    <w:rsid w:val="00E04643"/>
    <w:rsid w:val="00E04FEB"/>
    <w:rsid w:val="00E055ED"/>
    <w:rsid w:val="00E05E04"/>
    <w:rsid w:val="00E05E6B"/>
    <w:rsid w:val="00E069D5"/>
    <w:rsid w:val="00E07822"/>
    <w:rsid w:val="00E07BF5"/>
    <w:rsid w:val="00E07F5F"/>
    <w:rsid w:val="00E1053D"/>
    <w:rsid w:val="00E11583"/>
    <w:rsid w:val="00E11782"/>
    <w:rsid w:val="00E11C48"/>
    <w:rsid w:val="00E11EBA"/>
    <w:rsid w:val="00E122D5"/>
    <w:rsid w:val="00E12B07"/>
    <w:rsid w:val="00E1325D"/>
    <w:rsid w:val="00E14A07"/>
    <w:rsid w:val="00E152D0"/>
    <w:rsid w:val="00E1573E"/>
    <w:rsid w:val="00E1586A"/>
    <w:rsid w:val="00E158CD"/>
    <w:rsid w:val="00E165CC"/>
    <w:rsid w:val="00E176C2"/>
    <w:rsid w:val="00E1778E"/>
    <w:rsid w:val="00E200AB"/>
    <w:rsid w:val="00E206A3"/>
    <w:rsid w:val="00E20931"/>
    <w:rsid w:val="00E2130E"/>
    <w:rsid w:val="00E213A1"/>
    <w:rsid w:val="00E21403"/>
    <w:rsid w:val="00E21492"/>
    <w:rsid w:val="00E21885"/>
    <w:rsid w:val="00E22902"/>
    <w:rsid w:val="00E22A33"/>
    <w:rsid w:val="00E23BDD"/>
    <w:rsid w:val="00E24062"/>
    <w:rsid w:val="00E24393"/>
    <w:rsid w:val="00E2466D"/>
    <w:rsid w:val="00E24E7C"/>
    <w:rsid w:val="00E25279"/>
    <w:rsid w:val="00E25810"/>
    <w:rsid w:val="00E25D48"/>
    <w:rsid w:val="00E25EDF"/>
    <w:rsid w:val="00E26B01"/>
    <w:rsid w:val="00E26F36"/>
    <w:rsid w:val="00E3048C"/>
    <w:rsid w:val="00E3177A"/>
    <w:rsid w:val="00E317E6"/>
    <w:rsid w:val="00E318B4"/>
    <w:rsid w:val="00E320DC"/>
    <w:rsid w:val="00E32702"/>
    <w:rsid w:val="00E32956"/>
    <w:rsid w:val="00E32981"/>
    <w:rsid w:val="00E3347B"/>
    <w:rsid w:val="00E337E9"/>
    <w:rsid w:val="00E34CA4"/>
    <w:rsid w:val="00E35497"/>
    <w:rsid w:val="00E3585C"/>
    <w:rsid w:val="00E35B43"/>
    <w:rsid w:val="00E35E1E"/>
    <w:rsid w:val="00E36329"/>
    <w:rsid w:val="00E3686C"/>
    <w:rsid w:val="00E37B2D"/>
    <w:rsid w:val="00E37CA6"/>
    <w:rsid w:val="00E37E6F"/>
    <w:rsid w:val="00E402BA"/>
    <w:rsid w:val="00E403C8"/>
    <w:rsid w:val="00E40769"/>
    <w:rsid w:val="00E40DA5"/>
    <w:rsid w:val="00E43136"/>
    <w:rsid w:val="00E44076"/>
    <w:rsid w:val="00E44ADD"/>
    <w:rsid w:val="00E44C43"/>
    <w:rsid w:val="00E45507"/>
    <w:rsid w:val="00E45870"/>
    <w:rsid w:val="00E45C4F"/>
    <w:rsid w:val="00E461F4"/>
    <w:rsid w:val="00E503ED"/>
    <w:rsid w:val="00E505CC"/>
    <w:rsid w:val="00E50BD2"/>
    <w:rsid w:val="00E528C1"/>
    <w:rsid w:val="00E52BB0"/>
    <w:rsid w:val="00E52EC7"/>
    <w:rsid w:val="00E530CD"/>
    <w:rsid w:val="00E53591"/>
    <w:rsid w:val="00E53EED"/>
    <w:rsid w:val="00E53F1B"/>
    <w:rsid w:val="00E541CE"/>
    <w:rsid w:val="00E547CD"/>
    <w:rsid w:val="00E548EB"/>
    <w:rsid w:val="00E54BA1"/>
    <w:rsid w:val="00E55F80"/>
    <w:rsid w:val="00E55FE5"/>
    <w:rsid w:val="00E561D1"/>
    <w:rsid w:val="00E565CF"/>
    <w:rsid w:val="00E56FE6"/>
    <w:rsid w:val="00E57C87"/>
    <w:rsid w:val="00E604B3"/>
    <w:rsid w:val="00E60B32"/>
    <w:rsid w:val="00E6118B"/>
    <w:rsid w:val="00E622CE"/>
    <w:rsid w:val="00E625D8"/>
    <w:rsid w:val="00E6269D"/>
    <w:rsid w:val="00E62806"/>
    <w:rsid w:val="00E64863"/>
    <w:rsid w:val="00E64BDF"/>
    <w:rsid w:val="00E65D70"/>
    <w:rsid w:val="00E66768"/>
    <w:rsid w:val="00E66958"/>
    <w:rsid w:val="00E66D1E"/>
    <w:rsid w:val="00E676A6"/>
    <w:rsid w:val="00E707E0"/>
    <w:rsid w:val="00E71377"/>
    <w:rsid w:val="00E71D49"/>
    <w:rsid w:val="00E722C1"/>
    <w:rsid w:val="00E7287F"/>
    <w:rsid w:val="00E7294B"/>
    <w:rsid w:val="00E72983"/>
    <w:rsid w:val="00E73690"/>
    <w:rsid w:val="00E73CF9"/>
    <w:rsid w:val="00E73F36"/>
    <w:rsid w:val="00E74793"/>
    <w:rsid w:val="00E74AC1"/>
    <w:rsid w:val="00E7505D"/>
    <w:rsid w:val="00E75102"/>
    <w:rsid w:val="00E75E0A"/>
    <w:rsid w:val="00E76504"/>
    <w:rsid w:val="00E7676C"/>
    <w:rsid w:val="00E76AAF"/>
    <w:rsid w:val="00E76E6C"/>
    <w:rsid w:val="00E776B9"/>
    <w:rsid w:val="00E77BC9"/>
    <w:rsid w:val="00E77D14"/>
    <w:rsid w:val="00E77F50"/>
    <w:rsid w:val="00E800E4"/>
    <w:rsid w:val="00E80115"/>
    <w:rsid w:val="00E80C18"/>
    <w:rsid w:val="00E80D8A"/>
    <w:rsid w:val="00E81523"/>
    <w:rsid w:val="00E819A5"/>
    <w:rsid w:val="00E83541"/>
    <w:rsid w:val="00E84094"/>
    <w:rsid w:val="00E84652"/>
    <w:rsid w:val="00E848B2"/>
    <w:rsid w:val="00E84DFB"/>
    <w:rsid w:val="00E8519C"/>
    <w:rsid w:val="00E8524C"/>
    <w:rsid w:val="00E8533F"/>
    <w:rsid w:val="00E85716"/>
    <w:rsid w:val="00E86967"/>
    <w:rsid w:val="00E86D47"/>
    <w:rsid w:val="00E874CB"/>
    <w:rsid w:val="00E87BF4"/>
    <w:rsid w:val="00E90A20"/>
    <w:rsid w:val="00E90A39"/>
    <w:rsid w:val="00E91021"/>
    <w:rsid w:val="00E91A3B"/>
    <w:rsid w:val="00E91E46"/>
    <w:rsid w:val="00E922EC"/>
    <w:rsid w:val="00E9238E"/>
    <w:rsid w:val="00E9261B"/>
    <w:rsid w:val="00E92A2A"/>
    <w:rsid w:val="00E92F77"/>
    <w:rsid w:val="00E94381"/>
    <w:rsid w:val="00E9461D"/>
    <w:rsid w:val="00E948D8"/>
    <w:rsid w:val="00E94FA9"/>
    <w:rsid w:val="00E95FBC"/>
    <w:rsid w:val="00E95FC0"/>
    <w:rsid w:val="00E96105"/>
    <w:rsid w:val="00E96470"/>
    <w:rsid w:val="00E965DA"/>
    <w:rsid w:val="00E9694F"/>
    <w:rsid w:val="00E96EF2"/>
    <w:rsid w:val="00E9729D"/>
    <w:rsid w:val="00E97940"/>
    <w:rsid w:val="00E97A86"/>
    <w:rsid w:val="00E97B9E"/>
    <w:rsid w:val="00E97BCA"/>
    <w:rsid w:val="00EA0D8B"/>
    <w:rsid w:val="00EA0E83"/>
    <w:rsid w:val="00EA0F9A"/>
    <w:rsid w:val="00EA29BE"/>
    <w:rsid w:val="00EA2DF3"/>
    <w:rsid w:val="00EA376D"/>
    <w:rsid w:val="00EA3DC2"/>
    <w:rsid w:val="00EA3FBB"/>
    <w:rsid w:val="00EA4438"/>
    <w:rsid w:val="00EA5B37"/>
    <w:rsid w:val="00EA6E50"/>
    <w:rsid w:val="00EA70E0"/>
    <w:rsid w:val="00EA7FE5"/>
    <w:rsid w:val="00EB0067"/>
    <w:rsid w:val="00EB0FE6"/>
    <w:rsid w:val="00EB13BF"/>
    <w:rsid w:val="00EB1B7D"/>
    <w:rsid w:val="00EB1CDD"/>
    <w:rsid w:val="00EB1DE2"/>
    <w:rsid w:val="00EB26C7"/>
    <w:rsid w:val="00EB323B"/>
    <w:rsid w:val="00EB3328"/>
    <w:rsid w:val="00EB35A1"/>
    <w:rsid w:val="00EB37F2"/>
    <w:rsid w:val="00EB41FE"/>
    <w:rsid w:val="00EB4300"/>
    <w:rsid w:val="00EB548F"/>
    <w:rsid w:val="00EB5ED4"/>
    <w:rsid w:val="00EB68B9"/>
    <w:rsid w:val="00EB6DA3"/>
    <w:rsid w:val="00EC0B63"/>
    <w:rsid w:val="00EC112D"/>
    <w:rsid w:val="00EC180F"/>
    <w:rsid w:val="00EC2204"/>
    <w:rsid w:val="00EC239B"/>
    <w:rsid w:val="00EC269F"/>
    <w:rsid w:val="00EC2A1A"/>
    <w:rsid w:val="00EC30B7"/>
    <w:rsid w:val="00EC3C6A"/>
    <w:rsid w:val="00EC4011"/>
    <w:rsid w:val="00EC40E7"/>
    <w:rsid w:val="00EC46F8"/>
    <w:rsid w:val="00EC50A9"/>
    <w:rsid w:val="00EC5362"/>
    <w:rsid w:val="00EC6041"/>
    <w:rsid w:val="00EC649D"/>
    <w:rsid w:val="00EC64E3"/>
    <w:rsid w:val="00EC6DBB"/>
    <w:rsid w:val="00EC78E2"/>
    <w:rsid w:val="00EC7A14"/>
    <w:rsid w:val="00EC7BF8"/>
    <w:rsid w:val="00EC7C3D"/>
    <w:rsid w:val="00ED1490"/>
    <w:rsid w:val="00ED2024"/>
    <w:rsid w:val="00ED240A"/>
    <w:rsid w:val="00ED2A28"/>
    <w:rsid w:val="00ED31ED"/>
    <w:rsid w:val="00ED3267"/>
    <w:rsid w:val="00ED389D"/>
    <w:rsid w:val="00ED3FCA"/>
    <w:rsid w:val="00ED5726"/>
    <w:rsid w:val="00ED6192"/>
    <w:rsid w:val="00ED6934"/>
    <w:rsid w:val="00ED6BF8"/>
    <w:rsid w:val="00ED6D57"/>
    <w:rsid w:val="00ED7163"/>
    <w:rsid w:val="00ED72CE"/>
    <w:rsid w:val="00ED797C"/>
    <w:rsid w:val="00EE0D38"/>
    <w:rsid w:val="00EE13DF"/>
    <w:rsid w:val="00EE2490"/>
    <w:rsid w:val="00EE3188"/>
    <w:rsid w:val="00EE354E"/>
    <w:rsid w:val="00EE46C0"/>
    <w:rsid w:val="00EE4A21"/>
    <w:rsid w:val="00EE5138"/>
    <w:rsid w:val="00EE5830"/>
    <w:rsid w:val="00EE5D94"/>
    <w:rsid w:val="00EE6315"/>
    <w:rsid w:val="00EE6AD6"/>
    <w:rsid w:val="00EE714A"/>
    <w:rsid w:val="00EE78A6"/>
    <w:rsid w:val="00EE7B8D"/>
    <w:rsid w:val="00EE7F47"/>
    <w:rsid w:val="00EF010C"/>
    <w:rsid w:val="00EF06DE"/>
    <w:rsid w:val="00EF359C"/>
    <w:rsid w:val="00EF370F"/>
    <w:rsid w:val="00EF3B8C"/>
    <w:rsid w:val="00EF42EF"/>
    <w:rsid w:val="00EF4B45"/>
    <w:rsid w:val="00EF4B55"/>
    <w:rsid w:val="00EF4E9A"/>
    <w:rsid w:val="00EF5202"/>
    <w:rsid w:val="00EF55DE"/>
    <w:rsid w:val="00EF594E"/>
    <w:rsid w:val="00EF61F9"/>
    <w:rsid w:val="00EF6746"/>
    <w:rsid w:val="00EF7168"/>
    <w:rsid w:val="00EF7282"/>
    <w:rsid w:val="00EF7528"/>
    <w:rsid w:val="00F002B9"/>
    <w:rsid w:val="00F00A51"/>
    <w:rsid w:val="00F00DE1"/>
    <w:rsid w:val="00F01384"/>
    <w:rsid w:val="00F0156F"/>
    <w:rsid w:val="00F01768"/>
    <w:rsid w:val="00F017D3"/>
    <w:rsid w:val="00F01951"/>
    <w:rsid w:val="00F01B40"/>
    <w:rsid w:val="00F02534"/>
    <w:rsid w:val="00F030E7"/>
    <w:rsid w:val="00F0332A"/>
    <w:rsid w:val="00F03B6D"/>
    <w:rsid w:val="00F0466D"/>
    <w:rsid w:val="00F04900"/>
    <w:rsid w:val="00F04E58"/>
    <w:rsid w:val="00F05284"/>
    <w:rsid w:val="00F05A12"/>
    <w:rsid w:val="00F0622D"/>
    <w:rsid w:val="00F07930"/>
    <w:rsid w:val="00F07AF5"/>
    <w:rsid w:val="00F10056"/>
    <w:rsid w:val="00F103C4"/>
    <w:rsid w:val="00F1057C"/>
    <w:rsid w:val="00F10851"/>
    <w:rsid w:val="00F10971"/>
    <w:rsid w:val="00F109BD"/>
    <w:rsid w:val="00F10AA3"/>
    <w:rsid w:val="00F10DDF"/>
    <w:rsid w:val="00F1100A"/>
    <w:rsid w:val="00F11B0E"/>
    <w:rsid w:val="00F11B52"/>
    <w:rsid w:val="00F11F7D"/>
    <w:rsid w:val="00F1279E"/>
    <w:rsid w:val="00F129B5"/>
    <w:rsid w:val="00F12B03"/>
    <w:rsid w:val="00F137C5"/>
    <w:rsid w:val="00F13AAE"/>
    <w:rsid w:val="00F14387"/>
    <w:rsid w:val="00F1512D"/>
    <w:rsid w:val="00F155FD"/>
    <w:rsid w:val="00F16324"/>
    <w:rsid w:val="00F1678F"/>
    <w:rsid w:val="00F169BE"/>
    <w:rsid w:val="00F17201"/>
    <w:rsid w:val="00F174F7"/>
    <w:rsid w:val="00F17593"/>
    <w:rsid w:val="00F20341"/>
    <w:rsid w:val="00F2036A"/>
    <w:rsid w:val="00F20B3D"/>
    <w:rsid w:val="00F2147A"/>
    <w:rsid w:val="00F216DA"/>
    <w:rsid w:val="00F21706"/>
    <w:rsid w:val="00F22465"/>
    <w:rsid w:val="00F24690"/>
    <w:rsid w:val="00F24E48"/>
    <w:rsid w:val="00F25705"/>
    <w:rsid w:val="00F2578E"/>
    <w:rsid w:val="00F25F08"/>
    <w:rsid w:val="00F25F87"/>
    <w:rsid w:val="00F26A0B"/>
    <w:rsid w:val="00F27239"/>
    <w:rsid w:val="00F27ABA"/>
    <w:rsid w:val="00F27BA8"/>
    <w:rsid w:val="00F30063"/>
    <w:rsid w:val="00F308EE"/>
    <w:rsid w:val="00F30C83"/>
    <w:rsid w:val="00F30E24"/>
    <w:rsid w:val="00F31263"/>
    <w:rsid w:val="00F320D8"/>
    <w:rsid w:val="00F32B5B"/>
    <w:rsid w:val="00F32F0F"/>
    <w:rsid w:val="00F32F97"/>
    <w:rsid w:val="00F33813"/>
    <w:rsid w:val="00F33DBF"/>
    <w:rsid w:val="00F3423F"/>
    <w:rsid w:val="00F34D51"/>
    <w:rsid w:val="00F351DF"/>
    <w:rsid w:val="00F36491"/>
    <w:rsid w:val="00F3755E"/>
    <w:rsid w:val="00F37D58"/>
    <w:rsid w:val="00F37ECE"/>
    <w:rsid w:val="00F413D9"/>
    <w:rsid w:val="00F419F9"/>
    <w:rsid w:val="00F41B57"/>
    <w:rsid w:val="00F41BD7"/>
    <w:rsid w:val="00F41CF0"/>
    <w:rsid w:val="00F41F4C"/>
    <w:rsid w:val="00F43610"/>
    <w:rsid w:val="00F4375E"/>
    <w:rsid w:val="00F43A2A"/>
    <w:rsid w:val="00F4440A"/>
    <w:rsid w:val="00F44C88"/>
    <w:rsid w:val="00F44CAE"/>
    <w:rsid w:val="00F44E0F"/>
    <w:rsid w:val="00F44F3A"/>
    <w:rsid w:val="00F4512B"/>
    <w:rsid w:val="00F451C9"/>
    <w:rsid w:val="00F456E8"/>
    <w:rsid w:val="00F468C7"/>
    <w:rsid w:val="00F46E65"/>
    <w:rsid w:val="00F4747F"/>
    <w:rsid w:val="00F4752F"/>
    <w:rsid w:val="00F47B7F"/>
    <w:rsid w:val="00F47BEE"/>
    <w:rsid w:val="00F5051E"/>
    <w:rsid w:val="00F51D1C"/>
    <w:rsid w:val="00F520C8"/>
    <w:rsid w:val="00F52451"/>
    <w:rsid w:val="00F5279B"/>
    <w:rsid w:val="00F52A44"/>
    <w:rsid w:val="00F52D7A"/>
    <w:rsid w:val="00F53927"/>
    <w:rsid w:val="00F54707"/>
    <w:rsid w:val="00F558D0"/>
    <w:rsid w:val="00F561F3"/>
    <w:rsid w:val="00F5648E"/>
    <w:rsid w:val="00F56A88"/>
    <w:rsid w:val="00F56BBF"/>
    <w:rsid w:val="00F56E3C"/>
    <w:rsid w:val="00F6097E"/>
    <w:rsid w:val="00F609A5"/>
    <w:rsid w:val="00F60D67"/>
    <w:rsid w:val="00F61955"/>
    <w:rsid w:val="00F62318"/>
    <w:rsid w:val="00F629C5"/>
    <w:rsid w:val="00F6392B"/>
    <w:rsid w:val="00F6397F"/>
    <w:rsid w:val="00F63ACD"/>
    <w:rsid w:val="00F63C75"/>
    <w:rsid w:val="00F64D80"/>
    <w:rsid w:val="00F65839"/>
    <w:rsid w:val="00F65A12"/>
    <w:rsid w:val="00F65C87"/>
    <w:rsid w:val="00F662A8"/>
    <w:rsid w:val="00F66A0F"/>
    <w:rsid w:val="00F6794D"/>
    <w:rsid w:val="00F706FB"/>
    <w:rsid w:val="00F70E28"/>
    <w:rsid w:val="00F71206"/>
    <w:rsid w:val="00F71BFC"/>
    <w:rsid w:val="00F723D2"/>
    <w:rsid w:val="00F72D21"/>
    <w:rsid w:val="00F7337D"/>
    <w:rsid w:val="00F740FE"/>
    <w:rsid w:val="00F747A6"/>
    <w:rsid w:val="00F74806"/>
    <w:rsid w:val="00F74852"/>
    <w:rsid w:val="00F74EFA"/>
    <w:rsid w:val="00F7564F"/>
    <w:rsid w:val="00F75D64"/>
    <w:rsid w:val="00F760D2"/>
    <w:rsid w:val="00F76E15"/>
    <w:rsid w:val="00F80C3D"/>
    <w:rsid w:val="00F81107"/>
    <w:rsid w:val="00F814BC"/>
    <w:rsid w:val="00F821DB"/>
    <w:rsid w:val="00F82ACB"/>
    <w:rsid w:val="00F836D2"/>
    <w:rsid w:val="00F848B0"/>
    <w:rsid w:val="00F849ED"/>
    <w:rsid w:val="00F84BCA"/>
    <w:rsid w:val="00F85027"/>
    <w:rsid w:val="00F85198"/>
    <w:rsid w:val="00F8572D"/>
    <w:rsid w:val="00F87296"/>
    <w:rsid w:val="00F87388"/>
    <w:rsid w:val="00F879C3"/>
    <w:rsid w:val="00F87B88"/>
    <w:rsid w:val="00F87BB7"/>
    <w:rsid w:val="00F90B2C"/>
    <w:rsid w:val="00F90D29"/>
    <w:rsid w:val="00F9117A"/>
    <w:rsid w:val="00F9149D"/>
    <w:rsid w:val="00F915A3"/>
    <w:rsid w:val="00F91DE3"/>
    <w:rsid w:val="00F92753"/>
    <w:rsid w:val="00F9298A"/>
    <w:rsid w:val="00F931C9"/>
    <w:rsid w:val="00F93490"/>
    <w:rsid w:val="00F94A5F"/>
    <w:rsid w:val="00F94DF5"/>
    <w:rsid w:val="00F94E6A"/>
    <w:rsid w:val="00F95EF7"/>
    <w:rsid w:val="00F9668F"/>
    <w:rsid w:val="00F97562"/>
    <w:rsid w:val="00FA1AAA"/>
    <w:rsid w:val="00FA2439"/>
    <w:rsid w:val="00FA309D"/>
    <w:rsid w:val="00FA3663"/>
    <w:rsid w:val="00FA4041"/>
    <w:rsid w:val="00FA45AA"/>
    <w:rsid w:val="00FA4A65"/>
    <w:rsid w:val="00FA4E62"/>
    <w:rsid w:val="00FA538C"/>
    <w:rsid w:val="00FA53D0"/>
    <w:rsid w:val="00FA55EB"/>
    <w:rsid w:val="00FA5BD8"/>
    <w:rsid w:val="00FA6587"/>
    <w:rsid w:val="00FA684F"/>
    <w:rsid w:val="00FA7558"/>
    <w:rsid w:val="00FA75BB"/>
    <w:rsid w:val="00FA7B3E"/>
    <w:rsid w:val="00FA7BE9"/>
    <w:rsid w:val="00FA7E0B"/>
    <w:rsid w:val="00FB087D"/>
    <w:rsid w:val="00FB09A5"/>
    <w:rsid w:val="00FB131B"/>
    <w:rsid w:val="00FB2150"/>
    <w:rsid w:val="00FB32A6"/>
    <w:rsid w:val="00FB3510"/>
    <w:rsid w:val="00FB397A"/>
    <w:rsid w:val="00FB3BAD"/>
    <w:rsid w:val="00FB5700"/>
    <w:rsid w:val="00FB5EDC"/>
    <w:rsid w:val="00FB6B05"/>
    <w:rsid w:val="00FB6EB6"/>
    <w:rsid w:val="00FB7358"/>
    <w:rsid w:val="00FB761E"/>
    <w:rsid w:val="00FB7A35"/>
    <w:rsid w:val="00FC0368"/>
    <w:rsid w:val="00FC080C"/>
    <w:rsid w:val="00FC0BEE"/>
    <w:rsid w:val="00FC0F58"/>
    <w:rsid w:val="00FC1045"/>
    <w:rsid w:val="00FC1262"/>
    <w:rsid w:val="00FC1F39"/>
    <w:rsid w:val="00FC20F5"/>
    <w:rsid w:val="00FC285C"/>
    <w:rsid w:val="00FC2FC9"/>
    <w:rsid w:val="00FC338F"/>
    <w:rsid w:val="00FC41AA"/>
    <w:rsid w:val="00FC44CA"/>
    <w:rsid w:val="00FC4CC6"/>
    <w:rsid w:val="00FC53EB"/>
    <w:rsid w:val="00FC588C"/>
    <w:rsid w:val="00FC59D4"/>
    <w:rsid w:val="00FC5B50"/>
    <w:rsid w:val="00FC5C00"/>
    <w:rsid w:val="00FC5F81"/>
    <w:rsid w:val="00FC7124"/>
    <w:rsid w:val="00FC73A3"/>
    <w:rsid w:val="00FD05E2"/>
    <w:rsid w:val="00FD0CA5"/>
    <w:rsid w:val="00FD0F5B"/>
    <w:rsid w:val="00FD13B4"/>
    <w:rsid w:val="00FD1F84"/>
    <w:rsid w:val="00FD20B1"/>
    <w:rsid w:val="00FD21B9"/>
    <w:rsid w:val="00FD39DD"/>
    <w:rsid w:val="00FD3BD5"/>
    <w:rsid w:val="00FD3EB0"/>
    <w:rsid w:val="00FD4E45"/>
    <w:rsid w:val="00FD54ED"/>
    <w:rsid w:val="00FD57BE"/>
    <w:rsid w:val="00FD5946"/>
    <w:rsid w:val="00FD5ACA"/>
    <w:rsid w:val="00FD613F"/>
    <w:rsid w:val="00FD68EE"/>
    <w:rsid w:val="00FD6F9E"/>
    <w:rsid w:val="00FD7895"/>
    <w:rsid w:val="00FD7D0F"/>
    <w:rsid w:val="00FD7F24"/>
    <w:rsid w:val="00FE0994"/>
    <w:rsid w:val="00FE0D1D"/>
    <w:rsid w:val="00FE218E"/>
    <w:rsid w:val="00FE24A1"/>
    <w:rsid w:val="00FE319F"/>
    <w:rsid w:val="00FE44BB"/>
    <w:rsid w:val="00FE4D1D"/>
    <w:rsid w:val="00FE4E5D"/>
    <w:rsid w:val="00FE51D2"/>
    <w:rsid w:val="00FE5284"/>
    <w:rsid w:val="00FE52B5"/>
    <w:rsid w:val="00FE57B2"/>
    <w:rsid w:val="00FE7970"/>
    <w:rsid w:val="00FE7EEF"/>
    <w:rsid w:val="00FF0936"/>
    <w:rsid w:val="00FF1EA4"/>
    <w:rsid w:val="00FF2097"/>
    <w:rsid w:val="00FF28B0"/>
    <w:rsid w:val="00FF2B48"/>
    <w:rsid w:val="00FF2FAB"/>
    <w:rsid w:val="00FF2FB4"/>
    <w:rsid w:val="00FF32C6"/>
    <w:rsid w:val="00FF4846"/>
    <w:rsid w:val="00FF4C3D"/>
    <w:rsid w:val="00FF4EDC"/>
    <w:rsid w:val="00FF4F98"/>
    <w:rsid w:val="00FF55E5"/>
    <w:rsid w:val="00FF586A"/>
    <w:rsid w:val="00FF5D16"/>
    <w:rsid w:val="00FF63F9"/>
    <w:rsid w:val="00FF6BF8"/>
    <w:rsid w:val="00FF7785"/>
    <w:rsid w:val="00FF7792"/>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92134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BA4360"/>
    <w:rPr>
      <w:rFonts w:ascii="Arial" w:hAnsi="Arial"/>
      <w:b/>
      <w:noProof/>
      <w:sz w:val="18"/>
      <w:lang w:val="en-GB" w:eastAsia="en-US"/>
    </w:rPr>
  </w:style>
  <w:style w:type="character" w:customStyle="1" w:styleId="4Char">
    <w:name w:val="标题 4 Char"/>
    <w:aliases w:val="h4 Char"/>
    <w:basedOn w:val="a1"/>
    <w:link w:val="4"/>
    <w:rsid w:val="00BA4360"/>
    <w:rPr>
      <w:rFonts w:ascii="Arial" w:hAnsi="Arial"/>
      <w:sz w:val="24"/>
      <w:lang w:val="en-GB" w:eastAsia="en-US"/>
    </w:rPr>
  </w:style>
  <w:style w:type="paragraph" w:customStyle="1" w:styleId="Agreement">
    <w:name w:val="Agreement"/>
    <w:basedOn w:val="a0"/>
    <w:next w:val="a0"/>
    <w:uiPriority w:val="99"/>
    <w:qFormat/>
    <w:rsid w:val="007004BA"/>
    <w:pPr>
      <w:numPr>
        <w:numId w:val="13"/>
      </w:numPr>
      <w:tabs>
        <w:tab w:val="clear" w:pos="6930"/>
        <w:tab w:val="num" w:pos="1620"/>
      </w:tabs>
      <w:spacing w:before="60" w:after="0"/>
      <w:ind w:left="1620"/>
    </w:pPr>
    <w:rPr>
      <w:rFonts w:ascii="Arial" w:eastAsia="MS Mincho" w:hAnsi="Arial"/>
      <w:b/>
      <w:szCs w:val="24"/>
      <w:lang w:eastAsia="en-GB"/>
    </w:rPr>
  </w:style>
  <w:style w:type="paragraph" w:customStyle="1" w:styleId="Doc-text2">
    <w:name w:val="Doc-text2"/>
    <w:basedOn w:val="a0"/>
    <w:link w:val="Doc-text2Char"/>
    <w:qFormat/>
    <w:rsid w:val="007D452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522"/>
    <w:rPr>
      <w:rFonts w:ascii="Arial" w:eastAsia="MS Mincho" w:hAnsi="Arial"/>
      <w:szCs w:val="24"/>
      <w:lang w:val="en-GB" w:eastAsia="en-GB"/>
    </w:rPr>
  </w:style>
  <w:style w:type="character" w:customStyle="1" w:styleId="TALCar">
    <w:name w:val="TAL Car"/>
    <w:qFormat/>
    <w:rsid w:val="008A1539"/>
    <w:rPr>
      <w:rFonts w:ascii="Arial" w:eastAsia="Times New Roman" w:hAnsi="Arial"/>
      <w:sz w:val="18"/>
      <w:lang w:val="en-GB" w:eastAsia="ja-JP"/>
    </w:rPr>
  </w:style>
  <w:style w:type="character" w:customStyle="1" w:styleId="TANChar">
    <w:name w:val="TAN Char"/>
    <w:link w:val="TAN"/>
    <w:qFormat/>
    <w:rsid w:val="00595AB8"/>
    <w:rPr>
      <w:rFonts w:ascii="Arial" w:hAnsi="Arial"/>
      <w:sz w:val="18"/>
      <w:lang w:val="en-GB" w:eastAsia="en-US"/>
    </w:rPr>
  </w:style>
  <w:style w:type="paragraph" w:customStyle="1" w:styleId="References">
    <w:name w:val="References"/>
    <w:basedOn w:val="a0"/>
    <w:uiPriority w:val="99"/>
    <w:rsid w:val="00595AB8"/>
    <w:pPr>
      <w:numPr>
        <w:numId w:val="20"/>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92134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BA4360"/>
    <w:rPr>
      <w:rFonts w:ascii="Arial" w:hAnsi="Arial"/>
      <w:b/>
      <w:noProof/>
      <w:sz w:val="18"/>
      <w:lang w:val="en-GB" w:eastAsia="en-US"/>
    </w:rPr>
  </w:style>
  <w:style w:type="character" w:customStyle="1" w:styleId="4Char">
    <w:name w:val="标题 4 Char"/>
    <w:aliases w:val="h4 Char"/>
    <w:basedOn w:val="a1"/>
    <w:link w:val="4"/>
    <w:rsid w:val="00BA4360"/>
    <w:rPr>
      <w:rFonts w:ascii="Arial" w:hAnsi="Arial"/>
      <w:sz w:val="24"/>
      <w:lang w:val="en-GB" w:eastAsia="en-US"/>
    </w:rPr>
  </w:style>
  <w:style w:type="paragraph" w:customStyle="1" w:styleId="Agreement">
    <w:name w:val="Agreement"/>
    <w:basedOn w:val="a0"/>
    <w:next w:val="a0"/>
    <w:uiPriority w:val="99"/>
    <w:qFormat/>
    <w:rsid w:val="007004BA"/>
    <w:pPr>
      <w:numPr>
        <w:numId w:val="13"/>
      </w:numPr>
      <w:tabs>
        <w:tab w:val="clear" w:pos="6930"/>
        <w:tab w:val="num" w:pos="1620"/>
      </w:tabs>
      <w:spacing w:before="60" w:after="0"/>
      <w:ind w:left="1620"/>
    </w:pPr>
    <w:rPr>
      <w:rFonts w:ascii="Arial" w:eastAsia="MS Mincho" w:hAnsi="Arial"/>
      <w:b/>
      <w:szCs w:val="24"/>
      <w:lang w:eastAsia="en-GB"/>
    </w:rPr>
  </w:style>
  <w:style w:type="paragraph" w:customStyle="1" w:styleId="Doc-text2">
    <w:name w:val="Doc-text2"/>
    <w:basedOn w:val="a0"/>
    <w:link w:val="Doc-text2Char"/>
    <w:qFormat/>
    <w:rsid w:val="007D452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522"/>
    <w:rPr>
      <w:rFonts w:ascii="Arial" w:eastAsia="MS Mincho" w:hAnsi="Arial"/>
      <w:szCs w:val="24"/>
      <w:lang w:val="en-GB" w:eastAsia="en-GB"/>
    </w:rPr>
  </w:style>
  <w:style w:type="character" w:customStyle="1" w:styleId="TALCar">
    <w:name w:val="TAL Car"/>
    <w:qFormat/>
    <w:rsid w:val="008A1539"/>
    <w:rPr>
      <w:rFonts w:ascii="Arial" w:eastAsia="Times New Roman" w:hAnsi="Arial"/>
      <w:sz w:val="18"/>
      <w:lang w:val="en-GB" w:eastAsia="ja-JP"/>
    </w:rPr>
  </w:style>
  <w:style w:type="character" w:customStyle="1" w:styleId="TANChar">
    <w:name w:val="TAN Char"/>
    <w:link w:val="TAN"/>
    <w:qFormat/>
    <w:rsid w:val="00595AB8"/>
    <w:rPr>
      <w:rFonts w:ascii="Arial" w:hAnsi="Arial"/>
      <w:sz w:val="18"/>
      <w:lang w:val="en-GB" w:eastAsia="en-US"/>
    </w:rPr>
  </w:style>
  <w:style w:type="paragraph" w:customStyle="1" w:styleId="References">
    <w:name w:val="References"/>
    <w:basedOn w:val="a0"/>
    <w:uiPriority w:val="99"/>
    <w:rsid w:val="00595AB8"/>
    <w:pPr>
      <w:numPr>
        <w:numId w:val="20"/>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5054329">
      <w:bodyDiv w:val="1"/>
      <w:marLeft w:val="0"/>
      <w:marRight w:val="0"/>
      <w:marTop w:val="0"/>
      <w:marBottom w:val="0"/>
      <w:divBdr>
        <w:top w:val="none" w:sz="0" w:space="0" w:color="auto"/>
        <w:left w:val="none" w:sz="0" w:space="0" w:color="auto"/>
        <w:bottom w:val="none" w:sz="0" w:space="0" w:color="auto"/>
        <w:right w:val="none" w:sz="0" w:space="0" w:color="auto"/>
      </w:divBdr>
      <w:divsChild>
        <w:div w:id="526068380">
          <w:marLeft w:val="547"/>
          <w:marRight w:val="0"/>
          <w:marTop w:val="91"/>
          <w:marBottom w:val="0"/>
          <w:divBdr>
            <w:top w:val="none" w:sz="0" w:space="0" w:color="auto"/>
            <w:left w:val="none" w:sz="0" w:space="0" w:color="auto"/>
            <w:bottom w:val="none" w:sz="0" w:space="0" w:color="auto"/>
            <w:right w:val="none" w:sz="0" w:space="0" w:color="auto"/>
          </w:divBdr>
        </w:div>
        <w:div w:id="740249633">
          <w:marLeft w:val="1166"/>
          <w:marRight w:val="0"/>
          <w:marTop w:val="72"/>
          <w:marBottom w:val="0"/>
          <w:divBdr>
            <w:top w:val="none" w:sz="0" w:space="0" w:color="auto"/>
            <w:left w:val="none" w:sz="0" w:space="0" w:color="auto"/>
            <w:bottom w:val="none" w:sz="0" w:space="0" w:color="auto"/>
            <w:right w:val="none" w:sz="0" w:space="0" w:color="auto"/>
          </w:divBdr>
        </w:div>
        <w:div w:id="984968581">
          <w:marLeft w:val="1166"/>
          <w:marRight w:val="0"/>
          <w:marTop w:val="72"/>
          <w:marBottom w:val="0"/>
          <w:divBdr>
            <w:top w:val="none" w:sz="0" w:space="0" w:color="auto"/>
            <w:left w:val="none" w:sz="0" w:space="0" w:color="auto"/>
            <w:bottom w:val="none" w:sz="0" w:space="0" w:color="auto"/>
            <w:right w:val="none" w:sz="0" w:space="0" w:color="auto"/>
          </w:divBdr>
        </w:div>
        <w:div w:id="1693916848">
          <w:marLeft w:val="1166"/>
          <w:marRight w:val="0"/>
          <w:marTop w:val="72"/>
          <w:marBottom w:val="0"/>
          <w:divBdr>
            <w:top w:val="none" w:sz="0" w:space="0" w:color="auto"/>
            <w:left w:val="none" w:sz="0" w:space="0" w:color="auto"/>
            <w:bottom w:val="none" w:sz="0" w:space="0" w:color="auto"/>
            <w:right w:val="none" w:sz="0" w:space="0" w:color="auto"/>
          </w:divBdr>
        </w:div>
        <w:div w:id="983434053">
          <w:marLeft w:val="1166"/>
          <w:marRight w:val="0"/>
          <w:marTop w:val="72"/>
          <w:marBottom w:val="0"/>
          <w:divBdr>
            <w:top w:val="none" w:sz="0" w:space="0" w:color="auto"/>
            <w:left w:val="none" w:sz="0" w:space="0" w:color="auto"/>
            <w:bottom w:val="none" w:sz="0" w:space="0" w:color="auto"/>
            <w:right w:val="none" w:sz="0" w:space="0" w:color="auto"/>
          </w:divBdr>
        </w:div>
        <w:div w:id="2066292755">
          <w:marLeft w:val="1800"/>
          <w:marRight w:val="0"/>
          <w:marTop w:val="72"/>
          <w:marBottom w:val="0"/>
          <w:divBdr>
            <w:top w:val="none" w:sz="0" w:space="0" w:color="auto"/>
            <w:left w:val="none" w:sz="0" w:space="0" w:color="auto"/>
            <w:bottom w:val="none" w:sz="0" w:space="0" w:color="auto"/>
            <w:right w:val="none" w:sz="0" w:space="0" w:color="auto"/>
          </w:divBdr>
        </w:div>
        <w:div w:id="2139251722">
          <w:marLeft w:val="1800"/>
          <w:marRight w:val="0"/>
          <w:marTop w:val="72"/>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029953">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2935110">
      <w:bodyDiv w:val="1"/>
      <w:marLeft w:val="0"/>
      <w:marRight w:val="0"/>
      <w:marTop w:val="0"/>
      <w:marBottom w:val="0"/>
      <w:divBdr>
        <w:top w:val="none" w:sz="0" w:space="0" w:color="auto"/>
        <w:left w:val="none" w:sz="0" w:space="0" w:color="auto"/>
        <w:bottom w:val="none" w:sz="0" w:space="0" w:color="auto"/>
        <w:right w:val="none" w:sz="0" w:space="0" w:color="auto"/>
      </w:divBdr>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5796794">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22516807">
      <w:bodyDiv w:val="1"/>
      <w:marLeft w:val="0"/>
      <w:marRight w:val="0"/>
      <w:marTop w:val="0"/>
      <w:marBottom w:val="0"/>
      <w:divBdr>
        <w:top w:val="none" w:sz="0" w:space="0" w:color="auto"/>
        <w:left w:val="none" w:sz="0" w:space="0" w:color="auto"/>
        <w:bottom w:val="none" w:sz="0" w:space="0" w:color="auto"/>
        <w:right w:val="none" w:sz="0" w:space="0" w:color="auto"/>
      </w:divBdr>
      <w:divsChild>
        <w:div w:id="1752265070">
          <w:marLeft w:val="547"/>
          <w:marRight w:val="0"/>
          <w:marTop w:val="154"/>
          <w:marBottom w:val="0"/>
          <w:divBdr>
            <w:top w:val="none" w:sz="0" w:space="0" w:color="auto"/>
            <w:left w:val="none" w:sz="0" w:space="0" w:color="auto"/>
            <w:bottom w:val="none" w:sz="0" w:space="0" w:color="auto"/>
            <w:right w:val="none" w:sz="0" w:space="0" w:color="auto"/>
          </w:divBdr>
        </w:div>
        <w:div w:id="1332639243">
          <w:marLeft w:val="1166"/>
          <w:marRight w:val="0"/>
          <w:marTop w:val="134"/>
          <w:marBottom w:val="0"/>
          <w:divBdr>
            <w:top w:val="none" w:sz="0" w:space="0" w:color="auto"/>
            <w:left w:val="none" w:sz="0" w:space="0" w:color="auto"/>
            <w:bottom w:val="none" w:sz="0" w:space="0" w:color="auto"/>
            <w:right w:val="none" w:sz="0" w:space="0" w:color="auto"/>
          </w:divBdr>
        </w:div>
        <w:div w:id="997919935">
          <w:marLeft w:val="1166"/>
          <w:marRight w:val="0"/>
          <w:marTop w:val="134"/>
          <w:marBottom w:val="0"/>
          <w:divBdr>
            <w:top w:val="none" w:sz="0" w:space="0" w:color="auto"/>
            <w:left w:val="none" w:sz="0" w:space="0" w:color="auto"/>
            <w:bottom w:val="none" w:sz="0" w:space="0" w:color="auto"/>
            <w:right w:val="none" w:sz="0" w:space="0" w:color="auto"/>
          </w:divBdr>
        </w:div>
      </w:divsChild>
    </w:div>
    <w:div w:id="332803096">
      <w:bodyDiv w:val="1"/>
      <w:marLeft w:val="0"/>
      <w:marRight w:val="0"/>
      <w:marTop w:val="0"/>
      <w:marBottom w:val="0"/>
      <w:divBdr>
        <w:top w:val="none" w:sz="0" w:space="0" w:color="auto"/>
        <w:left w:val="none" w:sz="0" w:space="0" w:color="auto"/>
        <w:bottom w:val="none" w:sz="0" w:space="0" w:color="auto"/>
        <w:right w:val="none" w:sz="0" w:space="0" w:color="auto"/>
      </w:divBdr>
    </w:div>
    <w:div w:id="336544091">
      <w:bodyDiv w:val="1"/>
      <w:marLeft w:val="0"/>
      <w:marRight w:val="0"/>
      <w:marTop w:val="0"/>
      <w:marBottom w:val="0"/>
      <w:divBdr>
        <w:top w:val="none" w:sz="0" w:space="0" w:color="auto"/>
        <w:left w:val="none" w:sz="0" w:space="0" w:color="auto"/>
        <w:bottom w:val="none" w:sz="0" w:space="0" w:color="auto"/>
        <w:right w:val="none" w:sz="0" w:space="0" w:color="auto"/>
      </w:divBdr>
      <w:divsChild>
        <w:div w:id="327443881">
          <w:marLeft w:val="547"/>
          <w:marRight w:val="0"/>
          <w:marTop w:val="130"/>
          <w:marBottom w:val="0"/>
          <w:divBdr>
            <w:top w:val="none" w:sz="0" w:space="0" w:color="auto"/>
            <w:left w:val="none" w:sz="0" w:space="0" w:color="auto"/>
            <w:bottom w:val="none" w:sz="0" w:space="0" w:color="auto"/>
            <w:right w:val="none" w:sz="0" w:space="0" w:color="auto"/>
          </w:divBdr>
        </w:div>
        <w:div w:id="2145926059">
          <w:marLeft w:val="1166"/>
          <w:marRight w:val="0"/>
          <w:marTop w:val="115"/>
          <w:marBottom w:val="0"/>
          <w:divBdr>
            <w:top w:val="none" w:sz="0" w:space="0" w:color="auto"/>
            <w:left w:val="none" w:sz="0" w:space="0" w:color="auto"/>
            <w:bottom w:val="none" w:sz="0" w:space="0" w:color="auto"/>
            <w:right w:val="none" w:sz="0" w:space="0" w:color="auto"/>
          </w:divBdr>
        </w:div>
        <w:div w:id="62409797">
          <w:marLeft w:val="1166"/>
          <w:marRight w:val="0"/>
          <w:marTop w:val="115"/>
          <w:marBottom w:val="0"/>
          <w:divBdr>
            <w:top w:val="none" w:sz="0" w:space="0" w:color="auto"/>
            <w:left w:val="none" w:sz="0" w:space="0" w:color="auto"/>
            <w:bottom w:val="none" w:sz="0" w:space="0" w:color="auto"/>
            <w:right w:val="none" w:sz="0" w:space="0" w:color="auto"/>
          </w:divBdr>
        </w:div>
        <w:div w:id="1814636592">
          <w:marLeft w:val="547"/>
          <w:marRight w:val="0"/>
          <w:marTop w:val="130"/>
          <w:marBottom w:val="0"/>
          <w:divBdr>
            <w:top w:val="none" w:sz="0" w:space="0" w:color="auto"/>
            <w:left w:val="none" w:sz="0" w:space="0" w:color="auto"/>
            <w:bottom w:val="none" w:sz="0" w:space="0" w:color="auto"/>
            <w:right w:val="none" w:sz="0" w:space="0" w:color="auto"/>
          </w:divBdr>
        </w:div>
        <w:div w:id="382019615">
          <w:marLeft w:val="1166"/>
          <w:marRight w:val="0"/>
          <w:marTop w:val="115"/>
          <w:marBottom w:val="0"/>
          <w:divBdr>
            <w:top w:val="none" w:sz="0" w:space="0" w:color="auto"/>
            <w:left w:val="none" w:sz="0" w:space="0" w:color="auto"/>
            <w:bottom w:val="none" w:sz="0" w:space="0" w:color="auto"/>
            <w:right w:val="none" w:sz="0" w:space="0" w:color="auto"/>
          </w:divBdr>
        </w:div>
        <w:div w:id="919559165">
          <w:marLeft w:val="1800"/>
          <w:marRight w:val="0"/>
          <w:marTop w:val="96"/>
          <w:marBottom w:val="0"/>
          <w:divBdr>
            <w:top w:val="none" w:sz="0" w:space="0" w:color="auto"/>
            <w:left w:val="none" w:sz="0" w:space="0" w:color="auto"/>
            <w:bottom w:val="none" w:sz="0" w:space="0" w:color="auto"/>
            <w:right w:val="none" w:sz="0" w:space="0" w:color="auto"/>
          </w:divBdr>
        </w:div>
        <w:div w:id="1132937964">
          <w:marLeft w:val="1166"/>
          <w:marRight w:val="0"/>
          <w:marTop w:val="115"/>
          <w:marBottom w:val="0"/>
          <w:divBdr>
            <w:top w:val="none" w:sz="0" w:space="0" w:color="auto"/>
            <w:left w:val="none" w:sz="0" w:space="0" w:color="auto"/>
            <w:bottom w:val="none" w:sz="0" w:space="0" w:color="auto"/>
            <w:right w:val="none" w:sz="0" w:space="0" w:color="auto"/>
          </w:divBdr>
        </w:div>
        <w:div w:id="1005354332">
          <w:marLeft w:val="1800"/>
          <w:marRight w:val="0"/>
          <w:marTop w:val="96"/>
          <w:marBottom w:val="0"/>
          <w:divBdr>
            <w:top w:val="none" w:sz="0" w:space="0" w:color="auto"/>
            <w:left w:val="none" w:sz="0" w:space="0" w:color="auto"/>
            <w:bottom w:val="none" w:sz="0" w:space="0" w:color="auto"/>
            <w:right w:val="none" w:sz="0" w:space="0" w:color="auto"/>
          </w:divBdr>
        </w:div>
        <w:div w:id="1929534829">
          <w:marLeft w:val="1800"/>
          <w:marRight w:val="0"/>
          <w:marTop w:val="96"/>
          <w:marBottom w:val="0"/>
          <w:divBdr>
            <w:top w:val="none" w:sz="0" w:space="0" w:color="auto"/>
            <w:left w:val="none" w:sz="0" w:space="0" w:color="auto"/>
            <w:bottom w:val="none" w:sz="0" w:space="0" w:color="auto"/>
            <w:right w:val="none" w:sz="0" w:space="0" w:color="auto"/>
          </w:divBdr>
        </w:div>
        <w:div w:id="1782802707">
          <w:marLeft w:val="1166"/>
          <w:marRight w:val="0"/>
          <w:marTop w:val="115"/>
          <w:marBottom w:val="0"/>
          <w:divBdr>
            <w:top w:val="none" w:sz="0" w:space="0" w:color="auto"/>
            <w:left w:val="none" w:sz="0" w:space="0" w:color="auto"/>
            <w:bottom w:val="none" w:sz="0" w:space="0" w:color="auto"/>
            <w:right w:val="none" w:sz="0" w:space="0" w:color="auto"/>
          </w:divBdr>
        </w:div>
        <w:div w:id="614992090">
          <w:marLeft w:val="1800"/>
          <w:marRight w:val="0"/>
          <w:marTop w:val="96"/>
          <w:marBottom w:val="0"/>
          <w:divBdr>
            <w:top w:val="none" w:sz="0" w:space="0" w:color="auto"/>
            <w:left w:val="none" w:sz="0" w:space="0" w:color="auto"/>
            <w:bottom w:val="none" w:sz="0" w:space="0" w:color="auto"/>
            <w:right w:val="none" w:sz="0" w:space="0" w:color="auto"/>
          </w:divBdr>
        </w:div>
      </w:divsChild>
    </w:div>
    <w:div w:id="338698862">
      <w:bodyDiv w:val="1"/>
      <w:marLeft w:val="0"/>
      <w:marRight w:val="0"/>
      <w:marTop w:val="0"/>
      <w:marBottom w:val="0"/>
      <w:divBdr>
        <w:top w:val="none" w:sz="0" w:space="0" w:color="auto"/>
        <w:left w:val="none" w:sz="0" w:space="0" w:color="auto"/>
        <w:bottom w:val="none" w:sz="0" w:space="0" w:color="auto"/>
        <w:right w:val="none" w:sz="0" w:space="0" w:color="auto"/>
      </w:divBdr>
    </w:div>
    <w:div w:id="362362886">
      <w:bodyDiv w:val="1"/>
      <w:marLeft w:val="0"/>
      <w:marRight w:val="0"/>
      <w:marTop w:val="0"/>
      <w:marBottom w:val="0"/>
      <w:divBdr>
        <w:top w:val="none" w:sz="0" w:space="0" w:color="auto"/>
        <w:left w:val="none" w:sz="0" w:space="0" w:color="auto"/>
        <w:bottom w:val="none" w:sz="0" w:space="0" w:color="auto"/>
        <w:right w:val="none" w:sz="0" w:space="0" w:color="auto"/>
      </w:divBdr>
      <w:divsChild>
        <w:div w:id="54813673">
          <w:marLeft w:val="547"/>
          <w:marRight w:val="0"/>
          <w:marTop w:val="130"/>
          <w:marBottom w:val="0"/>
          <w:divBdr>
            <w:top w:val="none" w:sz="0" w:space="0" w:color="auto"/>
            <w:left w:val="none" w:sz="0" w:space="0" w:color="auto"/>
            <w:bottom w:val="none" w:sz="0" w:space="0" w:color="auto"/>
            <w:right w:val="none" w:sz="0" w:space="0" w:color="auto"/>
          </w:divBdr>
        </w:div>
        <w:div w:id="1115320968">
          <w:marLeft w:val="1166"/>
          <w:marRight w:val="0"/>
          <w:marTop w:val="115"/>
          <w:marBottom w:val="0"/>
          <w:divBdr>
            <w:top w:val="none" w:sz="0" w:space="0" w:color="auto"/>
            <w:left w:val="none" w:sz="0" w:space="0" w:color="auto"/>
            <w:bottom w:val="none" w:sz="0" w:space="0" w:color="auto"/>
            <w:right w:val="none" w:sz="0" w:space="0" w:color="auto"/>
          </w:divBdr>
        </w:div>
        <w:div w:id="1897624868">
          <w:marLeft w:val="1166"/>
          <w:marRight w:val="0"/>
          <w:marTop w:val="115"/>
          <w:marBottom w:val="0"/>
          <w:divBdr>
            <w:top w:val="none" w:sz="0" w:space="0" w:color="auto"/>
            <w:left w:val="none" w:sz="0" w:space="0" w:color="auto"/>
            <w:bottom w:val="none" w:sz="0" w:space="0" w:color="auto"/>
            <w:right w:val="none" w:sz="0" w:space="0" w:color="auto"/>
          </w:divBdr>
        </w:div>
        <w:div w:id="588777278">
          <w:marLeft w:val="547"/>
          <w:marRight w:val="0"/>
          <w:marTop w:val="130"/>
          <w:marBottom w:val="0"/>
          <w:divBdr>
            <w:top w:val="none" w:sz="0" w:space="0" w:color="auto"/>
            <w:left w:val="none" w:sz="0" w:space="0" w:color="auto"/>
            <w:bottom w:val="none" w:sz="0" w:space="0" w:color="auto"/>
            <w:right w:val="none" w:sz="0" w:space="0" w:color="auto"/>
          </w:divBdr>
        </w:div>
        <w:div w:id="266427031">
          <w:marLeft w:val="1166"/>
          <w:marRight w:val="0"/>
          <w:marTop w:val="115"/>
          <w:marBottom w:val="0"/>
          <w:divBdr>
            <w:top w:val="none" w:sz="0" w:space="0" w:color="auto"/>
            <w:left w:val="none" w:sz="0" w:space="0" w:color="auto"/>
            <w:bottom w:val="none" w:sz="0" w:space="0" w:color="auto"/>
            <w:right w:val="none" w:sz="0" w:space="0" w:color="auto"/>
          </w:divBdr>
        </w:div>
        <w:div w:id="1823425925">
          <w:marLeft w:val="1166"/>
          <w:marRight w:val="0"/>
          <w:marTop w:val="115"/>
          <w:marBottom w:val="0"/>
          <w:divBdr>
            <w:top w:val="none" w:sz="0" w:space="0" w:color="auto"/>
            <w:left w:val="none" w:sz="0" w:space="0" w:color="auto"/>
            <w:bottom w:val="none" w:sz="0" w:space="0" w:color="auto"/>
            <w:right w:val="none" w:sz="0" w:space="0" w:color="auto"/>
          </w:divBdr>
        </w:div>
      </w:divsChild>
    </w:div>
    <w:div w:id="391344862">
      <w:bodyDiv w:val="1"/>
      <w:marLeft w:val="0"/>
      <w:marRight w:val="0"/>
      <w:marTop w:val="0"/>
      <w:marBottom w:val="0"/>
      <w:divBdr>
        <w:top w:val="none" w:sz="0" w:space="0" w:color="auto"/>
        <w:left w:val="none" w:sz="0" w:space="0" w:color="auto"/>
        <w:bottom w:val="none" w:sz="0" w:space="0" w:color="auto"/>
        <w:right w:val="none" w:sz="0" w:space="0" w:color="auto"/>
      </w:divBdr>
      <w:divsChild>
        <w:div w:id="2046904699">
          <w:marLeft w:val="547"/>
          <w:marRight w:val="0"/>
          <w:marTop w:val="115"/>
          <w:marBottom w:val="0"/>
          <w:divBdr>
            <w:top w:val="none" w:sz="0" w:space="0" w:color="auto"/>
            <w:left w:val="none" w:sz="0" w:space="0" w:color="auto"/>
            <w:bottom w:val="none" w:sz="0" w:space="0" w:color="auto"/>
            <w:right w:val="none" w:sz="0" w:space="0" w:color="auto"/>
          </w:divBdr>
        </w:div>
        <w:div w:id="972368992">
          <w:marLeft w:val="1166"/>
          <w:marRight w:val="0"/>
          <w:marTop w:val="115"/>
          <w:marBottom w:val="0"/>
          <w:divBdr>
            <w:top w:val="none" w:sz="0" w:space="0" w:color="auto"/>
            <w:left w:val="none" w:sz="0" w:space="0" w:color="auto"/>
            <w:bottom w:val="none" w:sz="0" w:space="0" w:color="auto"/>
            <w:right w:val="none" w:sz="0" w:space="0" w:color="auto"/>
          </w:divBdr>
        </w:div>
        <w:div w:id="2054037390">
          <w:marLeft w:val="1166"/>
          <w:marRight w:val="0"/>
          <w:marTop w:val="115"/>
          <w:marBottom w:val="0"/>
          <w:divBdr>
            <w:top w:val="none" w:sz="0" w:space="0" w:color="auto"/>
            <w:left w:val="none" w:sz="0" w:space="0" w:color="auto"/>
            <w:bottom w:val="none" w:sz="0" w:space="0" w:color="auto"/>
            <w:right w:val="none" w:sz="0" w:space="0" w:color="auto"/>
          </w:divBdr>
        </w:div>
        <w:div w:id="1795253646">
          <w:marLeft w:val="1166"/>
          <w:marRight w:val="0"/>
          <w:marTop w:val="115"/>
          <w:marBottom w:val="0"/>
          <w:divBdr>
            <w:top w:val="none" w:sz="0" w:space="0" w:color="auto"/>
            <w:left w:val="none" w:sz="0" w:space="0" w:color="auto"/>
            <w:bottom w:val="none" w:sz="0" w:space="0" w:color="auto"/>
            <w:right w:val="none" w:sz="0" w:space="0" w:color="auto"/>
          </w:divBdr>
        </w:div>
      </w:divsChild>
    </w:div>
    <w:div w:id="399250092">
      <w:bodyDiv w:val="1"/>
      <w:marLeft w:val="0"/>
      <w:marRight w:val="0"/>
      <w:marTop w:val="0"/>
      <w:marBottom w:val="0"/>
      <w:divBdr>
        <w:top w:val="none" w:sz="0" w:space="0" w:color="auto"/>
        <w:left w:val="none" w:sz="0" w:space="0" w:color="auto"/>
        <w:bottom w:val="none" w:sz="0" w:space="0" w:color="auto"/>
        <w:right w:val="none" w:sz="0" w:space="0" w:color="auto"/>
      </w:divBdr>
      <w:divsChild>
        <w:div w:id="942080609">
          <w:marLeft w:val="547"/>
          <w:marRight w:val="0"/>
          <w:marTop w:val="120"/>
          <w:marBottom w:val="0"/>
          <w:divBdr>
            <w:top w:val="none" w:sz="0" w:space="0" w:color="auto"/>
            <w:left w:val="none" w:sz="0" w:space="0" w:color="auto"/>
            <w:bottom w:val="none" w:sz="0" w:space="0" w:color="auto"/>
            <w:right w:val="none" w:sz="0" w:space="0" w:color="auto"/>
          </w:divBdr>
        </w:div>
        <w:div w:id="117264817">
          <w:marLeft w:val="547"/>
          <w:marRight w:val="0"/>
          <w:marTop w:val="120"/>
          <w:marBottom w:val="0"/>
          <w:divBdr>
            <w:top w:val="none" w:sz="0" w:space="0" w:color="auto"/>
            <w:left w:val="none" w:sz="0" w:space="0" w:color="auto"/>
            <w:bottom w:val="none" w:sz="0" w:space="0" w:color="auto"/>
            <w:right w:val="none" w:sz="0" w:space="0" w:color="auto"/>
          </w:divBdr>
        </w:div>
        <w:div w:id="36244371">
          <w:marLeft w:val="1166"/>
          <w:marRight w:val="0"/>
          <w:marTop w:val="106"/>
          <w:marBottom w:val="0"/>
          <w:divBdr>
            <w:top w:val="none" w:sz="0" w:space="0" w:color="auto"/>
            <w:left w:val="none" w:sz="0" w:space="0" w:color="auto"/>
            <w:bottom w:val="none" w:sz="0" w:space="0" w:color="auto"/>
            <w:right w:val="none" w:sz="0" w:space="0" w:color="auto"/>
          </w:divBdr>
        </w:div>
        <w:div w:id="2008054417">
          <w:marLeft w:val="1166"/>
          <w:marRight w:val="0"/>
          <w:marTop w:val="106"/>
          <w:marBottom w:val="0"/>
          <w:divBdr>
            <w:top w:val="none" w:sz="0" w:space="0" w:color="auto"/>
            <w:left w:val="none" w:sz="0" w:space="0" w:color="auto"/>
            <w:bottom w:val="none" w:sz="0" w:space="0" w:color="auto"/>
            <w:right w:val="none" w:sz="0" w:space="0" w:color="auto"/>
          </w:divBdr>
        </w:div>
        <w:div w:id="1006057097">
          <w:marLeft w:val="1166"/>
          <w:marRight w:val="0"/>
          <w:marTop w:val="106"/>
          <w:marBottom w:val="0"/>
          <w:divBdr>
            <w:top w:val="none" w:sz="0" w:space="0" w:color="auto"/>
            <w:left w:val="none" w:sz="0" w:space="0" w:color="auto"/>
            <w:bottom w:val="none" w:sz="0" w:space="0" w:color="auto"/>
            <w:right w:val="none" w:sz="0" w:space="0" w:color="auto"/>
          </w:divBdr>
        </w:div>
        <w:div w:id="2135563427">
          <w:marLeft w:val="547"/>
          <w:marRight w:val="0"/>
          <w:marTop w:val="12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30396494">
      <w:bodyDiv w:val="1"/>
      <w:marLeft w:val="0"/>
      <w:marRight w:val="0"/>
      <w:marTop w:val="0"/>
      <w:marBottom w:val="0"/>
      <w:divBdr>
        <w:top w:val="none" w:sz="0" w:space="0" w:color="auto"/>
        <w:left w:val="none" w:sz="0" w:space="0" w:color="auto"/>
        <w:bottom w:val="none" w:sz="0" w:space="0" w:color="auto"/>
        <w:right w:val="none" w:sz="0" w:space="0" w:color="auto"/>
      </w:divBdr>
      <w:divsChild>
        <w:div w:id="61562513">
          <w:marLeft w:val="547"/>
          <w:marRight w:val="0"/>
          <w:marTop w:val="144"/>
          <w:marBottom w:val="0"/>
          <w:divBdr>
            <w:top w:val="none" w:sz="0" w:space="0" w:color="auto"/>
            <w:left w:val="none" w:sz="0" w:space="0" w:color="auto"/>
            <w:bottom w:val="none" w:sz="0" w:space="0" w:color="auto"/>
            <w:right w:val="none" w:sz="0" w:space="0" w:color="auto"/>
          </w:divBdr>
        </w:div>
        <w:div w:id="50232016">
          <w:marLeft w:val="1166"/>
          <w:marRight w:val="0"/>
          <w:marTop w:val="144"/>
          <w:marBottom w:val="0"/>
          <w:divBdr>
            <w:top w:val="none" w:sz="0" w:space="0" w:color="auto"/>
            <w:left w:val="none" w:sz="0" w:space="0" w:color="auto"/>
            <w:bottom w:val="none" w:sz="0" w:space="0" w:color="auto"/>
            <w:right w:val="none" w:sz="0" w:space="0" w:color="auto"/>
          </w:divBdr>
        </w:div>
        <w:div w:id="453598318">
          <w:marLeft w:val="547"/>
          <w:marRight w:val="0"/>
          <w:marTop w:val="144"/>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464961">
      <w:bodyDiv w:val="1"/>
      <w:marLeft w:val="0"/>
      <w:marRight w:val="0"/>
      <w:marTop w:val="0"/>
      <w:marBottom w:val="0"/>
      <w:divBdr>
        <w:top w:val="none" w:sz="0" w:space="0" w:color="auto"/>
        <w:left w:val="none" w:sz="0" w:space="0" w:color="auto"/>
        <w:bottom w:val="none" w:sz="0" w:space="0" w:color="auto"/>
        <w:right w:val="none" w:sz="0" w:space="0" w:color="auto"/>
      </w:divBdr>
      <w:divsChild>
        <w:div w:id="643661693">
          <w:marLeft w:val="547"/>
          <w:marRight w:val="0"/>
          <w:marTop w:val="130"/>
          <w:marBottom w:val="0"/>
          <w:divBdr>
            <w:top w:val="none" w:sz="0" w:space="0" w:color="auto"/>
            <w:left w:val="none" w:sz="0" w:space="0" w:color="auto"/>
            <w:bottom w:val="none" w:sz="0" w:space="0" w:color="auto"/>
            <w:right w:val="none" w:sz="0" w:space="0" w:color="auto"/>
          </w:divBdr>
        </w:div>
        <w:div w:id="233441031">
          <w:marLeft w:val="1166"/>
          <w:marRight w:val="0"/>
          <w:marTop w:val="115"/>
          <w:marBottom w:val="0"/>
          <w:divBdr>
            <w:top w:val="none" w:sz="0" w:space="0" w:color="auto"/>
            <w:left w:val="none" w:sz="0" w:space="0" w:color="auto"/>
            <w:bottom w:val="none" w:sz="0" w:space="0" w:color="auto"/>
            <w:right w:val="none" w:sz="0" w:space="0" w:color="auto"/>
          </w:divBdr>
        </w:div>
        <w:div w:id="18549384">
          <w:marLeft w:val="1166"/>
          <w:marRight w:val="0"/>
          <w:marTop w:val="115"/>
          <w:marBottom w:val="0"/>
          <w:divBdr>
            <w:top w:val="none" w:sz="0" w:space="0" w:color="auto"/>
            <w:left w:val="none" w:sz="0" w:space="0" w:color="auto"/>
            <w:bottom w:val="none" w:sz="0" w:space="0" w:color="auto"/>
            <w:right w:val="none" w:sz="0" w:space="0" w:color="auto"/>
          </w:divBdr>
        </w:div>
        <w:div w:id="1792095040">
          <w:marLeft w:val="1800"/>
          <w:marRight w:val="0"/>
          <w:marTop w:val="96"/>
          <w:marBottom w:val="0"/>
          <w:divBdr>
            <w:top w:val="none" w:sz="0" w:space="0" w:color="auto"/>
            <w:left w:val="none" w:sz="0" w:space="0" w:color="auto"/>
            <w:bottom w:val="none" w:sz="0" w:space="0" w:color="auto"/>
            <w:right w:val="none" w:sz="0" w:space="0" w:color="auto"/>
          </w:divBdr>
        </w:div>
        <w:div w:id="387804612">
          <w:marLeft w:val="1166"/>
          <w:marRight w:val="0"/>
          <w:marTop w:val="115"/>
          <w:marBottom w:val="0"/>
          <w:divBdr>
            <w:top w:val="none" w:sz="0" w:space="0" w:color="auto"/>
            <w:left w:val="none" w:sz="0" w:space="0" w:color="auto"/>
            <w:bottom w:val="none" w:sz="0" w:space="0" w:color="auto"/>
            <w:right w:val="none" w:sz="0" w:space="0" w:color="auto"/>
          </w:divBdr>
        </w:div>
        <w:div w:id="522862797">
          <w:marLeft w:val="1800"/>
          <w:marRight w:val="0"/>
          <w:marTop w:val="96"/>
          <w:marBottom w:val="0"/>
          <w:divBdr>
            <w:top w:val="none" w:sz="0" w:space="0" w:color="auto"/>
            <w:left w:val="none" w:sz="0" w:space="0" w:color="auto"/>
            <w:bottom w:val="none" w:sz="0" w:space="0" w:color="auto"/>
            <w:right w:val="none" w:sz="0" w:space="0" w:color="auto"/>
          </w:divBdr>
        </w:div>
        <w:div w:id="188227308">
          <w:marLeft w:val="1800"/>
          <w:marRight w:val="0"/>
          <w:marTop w:val="96"/>
          <w:marBottom w:val="0"/>
          <w:divBdr>
            <w:top w:val="none" w:sz="0" w:space="0" w:color="auto"/>
            <w:left w:val="none" w:sz="0" w:space="0" w:color="auto"/>
            <w:bottom w:val="none" w:sz="0" w:space="0" w:color="auto"/>
            <w:right w:val="none" w:sz="0" w:space="0" w:color="auto"/>
          </w:divBdr>
        </w:div>
        <w:div w:id="1995864794">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71755452">
      <w:bodyDiv w:val="1"/>
      <w:marLeft w:val="0"/>
      <w:marRight w:val="0"/>
      <w:marTop w:val="0"/>
      <w:marBottom w:val="0"/>
      <w:divBdr>
        <w:top w:val="none" w:sz="0" w:space="0" w:color="auto"/>
        <w:left w:val="none" w:sz="0" w:space="0" w:color="auto"/>
        <w:bottom w:val="none" w:sz="0" w:space="0" w:color="auto"/>
        <w:right w:val="none" w:sz="0" w:space="0" w:color="auto"/>
      </w:divBdr>
      <w:divsChild>
        <w:div w:id="559292686">
          <w:marLeft w:val="547"/>
          <w:marRight w:val="0"/>
          <w:marTop w:val="130"/>
          <w:marBottom w:val="0"/>
          <w:divBdr>
            <w:top w:val="none" w:sz="0" w:space="0" w:color="auto"/>
            <w:left w:val="none" w:sz="0" w:space="0" w:color="auto"/>
            <w:bottom w:val="none" w:sz="0" w:space="0" w:color="auto"/>
            <w:right w:val="none" w:sz="0" w:space="0" w:color="auto"/>
          </w:divBdr>
        </w:div>
        <w:div w:id="674647463">
          <w:marLeft w:val="547"/>
          <w:marRight w:val="0"/>
          <w:marTop w:val="130"/>
          <w:marBottom w:val="0"/>
          <w:divBdr>
            <w:top w:val="none" w:sz="0" w:space="0" w:color="auto"/>
            <w:left w:val="none" w:sz="0" w:space="0" w:color="auto"/>
            <w:bottom w:val="none" w:sz="0" w:space="0" w:color="auto"/>
            <w:right w:val="none" w:sz="0" w:space="0" w:color="auto"/>
          </w:divBdr>
        </w:div>
        <w:div w:id="69544017">
          <w:marLeft w:val="1166"/>
          <w:marRight w:val="0"/>
          <w:marTop w:val="115"/>
          <w:marBottom w:val="0"/>
          <w:divBdr>
            <w:top w:val="none" w:sz="0" w:space="0" w:color="auto"/>
            <w:left w:val="none" w:sz="0" w:space="0" w:color="auto"/>
            <w:bottom w:val="none" w:sz="0" w:space="0" w:color="auto"/>
            <w:right w:val="none" w:sz="0" w:space="0" w:color="auto"/>
          </w:divBdr>
        </w:div>
        <w:div w:id="2103454526">
          <w:marLeft w:val="1166"/>
          <w:marRight w:val="0"/>
          <w:marTop w:val="115"/>
          <w:marBottom w:val="0"/>
          <w:divBdr>
            <w:top w:val="none" w:sz="0" w:space="0" w:color="auto"/>
            <w:left w:val="none" w:sz="0" w:space="0" w:color="auto"/>
            <w:bottom w:val="none" w:sz="0" w:space="0" w:color="auto"/>
            <w:right w:val="none" w:sz="0" w:space="0" w:color="auto"/>
          </w:divBdr>
        </w:div>
        <w:div w:id="1721443725">
          <w:marLeft w:val="547"/>
          <w:marRight w:val="0"/>
          <w:marTop w:val="130"/>
          <w:marBottom w:val="0"/>
          <w:divBdr>
            <w:top w:val="none" w:sz="0" w:space="0" w:color="auto"/>
            <w:left w:val="none" w:sz="0" w:space="0" w:color="auto"/>
            <w:bottom w:val="none" w:sz="0" w:space="0" w:color="auto"/>
            <w:right w:val="none" w:sz="0" w:space="0" w:color="auto"/>
          </w:divBdr>
        </w:div>
        <w:div w:id="1677540023">
          <w:marLeft w:val="1166"/>
          <w:marRight w:val="0"/>
          <w:marTop w:val="115"/>
          <w:marBottom w:val="0"/>
          <w:divBdr>
            <w:top w:val="none" w:sz="0" w:space="0" w:color="auto"/>
            <w:left w:val="none" w:sz="0" w:space="0" w:color="auto"/>
            <w:bottom w:val="none" w:sz="0" w:space="0" w:color="auto"/>
            <w:right w:val="none" w:sz="0" w:space="0" w:color="auto"/>
          </w:divBdr>
        </w:div>
        <w:div w:id="1099907594">
          <w:marLeft w:val="1166"/>
          <w:marRight w:val="0"/>
          <w:marTop w:val="115"/>
          <w:marBottom w:val="0"/>
          <w:divBdr>
            <w:top w:val="none" w:sz="0" w:space="0" w:color="auto"/>
            <w:left w:val="none" w:sz="0" w:space="0" w:color="auto"/>
            <w:bottom w:val="none" w:sz="0" w:space="0" w:color="auto"/>
            <w:right w:val="none" w:sz="0" w:space="0" w:color="auto"/>
          </w:divBdr>
        </w:div>
      </w:divsChild>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4345753">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4925225">
      <w:bodyDiv w:val="1"/>
      <w:marLeft w:val="0"/>
      <w:marRight w:val="0"/>
      <w:marTop w:val="0"/>
      <w:marBottom w:val="0"/>
      <w:divBdr>
        <w:top w:val="none" w:sz="0" w:space="0" w:color="auto"/>
        <w:left w:val="none" w:sz="0" w:space="0" w:color="auto"/>
        <w:bottom w:val="none" w:sz="0" w:space="0" w:color="auto"/>
        <w:right w:val="none" w:sz="0" w:space="0" w:color="auto"/>
      </w:divBdr>
      <w:divsChild>
        <w:div w:id="1291742692">
          <w:marLeft w:val="547"/>
          <w:marRight w:val="0"/>
          <w:marTop w:val="154"/>
          <w:marBottom w:val="0"/>
          <w:divBdr>
            <w:top w:val="none" w:sz="0" w:space="0" w:color="auto"/>
            <w:left w:val="none" w:sz="0" w:space="0" w:color="auto"/>
            <w:bottom w:val="none" w:sz="0" w:space="0" w:color="auto"/>
            <w:right w:val="none" w:sz="0" w:space="0" w:color="auto"/>
          </w:divBdr>
        </w:div>
        <w:div w:id="973608499">
          <w:marLeft w:val="1166"/>
          <w:marRight w:val="0"/>
          <w:marTop w:val="134"/>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55769947">
      <w:bodyDiv w:val="1"/>
      <w:marLeft w:val="0"/>
      <w:marRight w:val="0"/>
      <w:marTop w:val="0"/>
      <w:marBottom w:val="0"/>
      <w:divBdr>
        <w:top w:val="none" w:sz="0" w:space="0" w:color="auto"/>
        <w:left w:val="none" w:sz="0" w:space="0" w:color="auto"/>
        <w:bottom w:val="none" w:sz="0" w:space="0" w:color="auto"/>
        <w:right w:val="none" w:sz="0" w:space="0" w:color="auto"/>
      </w:divBdr>
      <w:divsChild>
        <w:div w:id="12347541">
          <w:marLeft w:val="547"/>
          <w:marRight w:val="0"/>
          <w:marTop w:val="154"/>
          <w:marBottom w:val="0"/>
          <w:divBdr>
            <w:top w:val="none" w:sz="0" w:space="0" w:color="auto"/>
            <w:left w:val="none" w:sz="0" w:space="0" w:color="auto"/>
            <w:bottom w:val="none" w:sz="0" w:space="0" w:color="auto"/>
            <w:right w:val="none" w:sz="0" w:space="0" w:color="auto"/>
          </w:divBdr>
        </w:div>
        <w:div w:id="697436834">
          <w:marLeft w:val="1166"/>
          <w:marRight w:val="0"/>
          <w:marTop w:val="134"/>
          <w:marBottom w:val="0"/>
          <w:divBdr>
            <w:top w:val="none" w:sz="0" w:space="0" w:color="auto"/>
            <w:left w:val="none" w:sz="0" w:space="0" w:color="auto"/>
            <w:bottom w:val="none" w:sz="0" w:space="0" w:color="auto"/>
            <w:right w:val="none" w:sz="0" w:space="0" w:color="auto"/>
          </w:divBdr>
        </w:div>
        <w:div w:id="1968781540">
          <w:marLeft w:val="1166"/>
          <w:marRight w:val="0"/>
          <w:marTop w:val="134"/>
          <w:marBottom w:val="0"/>
          <w:divBdr>
            <w:top w:val="none" w:sz="0" w:space="0" w:color="auto"/>
            <w:left w:val="none" w:sz="0" w:space="0" w:color="auto"/>
            <w:bottom w:val="none" w:sz="0" w:space="0" w:color="auto"/>
            <w:right w:val="none" w:sz="0" w:space="0" w:color="auto"/>
          </w:divBdr>
        </w:div>
      </w:divsChild>
    </w:div>
    <w:div w:id="665864045">
      <w:bodyDiv w:val="1"/>
      <w:marLeft w:val="0"/>
      <w:marRight w:val="0"/>
      <w:marTop w:val="0"/>
      <w:marBottom w:val="0"/>
      <w:divBdr>
        <w:top w:val="none" w:sz="0" w:space="0" w:color="auto"/>
        <w:left w:val="none" w:sz="0" w:space="0" w:color="auto"/>
        <w:bottom w:val="none" w:sz="0" w:space="0" w:color="auto"/>
        <w:right w:val="none" w:sz="0" w:space="0" w:color="auto"/>
      </w:divBdr>
      <w:divsChild>
        <w:div w:id="2093618744">
          <w:marLeft w:val="547"/>
          <w:marRight w:val="0"/>
          <w:marTop w:val="120"/>
          <w:marBottom w:val="0"/>
          <w:divBdr>
            <w:top w:val="none" w:sz="0" w:space="0" w:color="auto"/>
            <w:left w:val="none" w:sz="0" w:space="0" w:color="auto"/>
            <w:bottom w:val="none" w:sz="0" w:space="0" w:color="auto"/>
            <w:right w:val="none" w:sz="0" w:space="0" w:color="auto"/>
          </w:divBdr>
        </w:div>
        <w:div w:id="2036347622">
          <w:marLeft w:val="1166"/>
          <w:marRight w:val="0"/>
          <w:marTop w:val="106"/>
          <w:marBottom w:val="0"/>
          <w:divBdr>
            <w:top w:val="none" w:sz="0" w:space="0" w:color="auto"/>
            <w:left w:val="none" w:sz="0" w:space="0" w:color="auto"/>
            <w:bottom w:val="none" w:sz="0" w:space="0" w:color="auto"/>
            <w:right w:val="none" w:sz="0" w:space="0" w:color="auto"/>
          </w:divBdr>
        </w:div>
        <w:div w:id="268703628">
          <w:marLeft w:val="547"/>
          <w:marRight w:val="0"/>
          <w:marTop w:val="120"/>
          <w:marBottom w:val="0"/>
          <w:divBdr>
            <w:top w:val="none" w:sz="0" w:space="0" w:color="auto"/>
            <w:left w:val="none" w:sz="0" w:space="0" w:color="auto"/>
            <w:bottom w:val="none" w:sz="0" w:space="0" w:color="auto"/>
            <w:right w:val="none" w:sz="0" w:space="0" w:color="auto"/>
          </w:divBdr>
        </w:div>
        <w:div w:id="1749571368">
          <w:marLeft w:val="1166"/>
          <w:marRight w:val="0"/>
          <w:marTop w:val="106"/>
          <w:marBottom w:val="0"/>
          <w:divBdr>
            <w:top w:val="none" w:sz="0" w:space="0" w:color="auto"/>
            <w:left w:val="none" w:sz="0" w:space="0" w:color="auto"/>
            <w:bottom w:val="none" w:sz="0" w:space="0" w:color="auto"/>
            <w:right w:val="none" w:sz="0" w:space="0" w:color="auto"/>
          </w:divBdr>
        </w:div>
        <w:div w:id="1354530113">
          <w:marLeft w:val="1166"/>
          <w:marRight w:val="0"/>
          <w:marTop w:val="106"/>
          <w:marBottom w:val="0"/>
          <w:divBdr>
            <w:top w:val="none" w:sz="0" w:space="0" w:color="auto"/>
            <w:left w:val="none" w:sz="0" w:space="0" w:color="auto"/>
            <w:bottom w:val="none" w:sz="0" w:space="0" w:color="auto"/>
            <w:right w:val="none" w:sz="0" w:space="0" w:color="auto"/>
          </w:divBdr>
        </w:div>
        <w:div w:id="936256472">
          <w:marLeft w:val="1800"/>
          <w:marRight w:val="0"/>
          <w:marTop w:val="91"/>
          <w:marBottom w:val="0"/>
          <w:divBdr>
            <w:top w:val="none" w:sz="0" w:space="0" w:color="auto"/>
            <w:left w:val="none" w:sz="0" w:space="0" w:color="auto"/>
            <w:bottom w:val="none" w:sz="0" w:space="0" w:color="auto"/>
            <w:right w:val="none" w:sz="0" w:space="0" w:color="auto"/>
          </w:divBdr>
        </w:div>
        <w:div w:id="281499504">
          <w:marLeft w:val="1800"/>
          <w:marRight w:val="0"/>
          <w:marTop w:val="91"/>
          <w:marBottom w:val="0"/>
          <w:divBdr>
            <w:top w:val="none" w:sz="0" w:space="0" w:color="auto"/>
            <w:left w:val="none" w:sz="0" w:space="0" w:color="auto"/>
            <w:bottom w:val="none" w:sz="0" w:space="0" w:color="auto"/>
            <w:right w:val="none" w:sz="0" w:space="0" w:color="auto"/>
          </w:divBdr>
        </w:div>
        <w:div w:id="1427459656">
          <w:marLeft w:val="1166"/>
          <w:marRight w:val="0"/>
          <w:marTop w:val="106"/>
          <w:marBottom w:val="0"/>
          <w:divBdr>
            <w:top w:val="none" w:sz="0" w:space="0" w:color="auto"/>
            <w:left w:val="none" w:sz="0" w:space="0" w:color="auto"/>
            <w:bottom w:val="none" w:sz="0" w:space="0" w:color="auto"/>
            <w:right w:val="none" w:sz="0" w:space="0" w:color="auto"/>
          </w:divBdr>
        </w:div>
        <w:div w:id="1688675962">
          <w:marLeft w:val="1166"/>
          <w:marRight w:val="0"/>
          <w:marTop w:val="106"/>
          <w:marBottom w:val="0"/>
          <w:divBdr>
            <w:top w:val="none" w:sz="0" w:space="0" w:color="auto"/>
            <w:left w:val="none" w:sz="0" w:space="0" w:color="auto"/>
            <w:bottom w:val="none" w:sz="0" w:space="0" w:color="auto"/>
            <w:right w:val="none" w:sz="0" w:space="0" w:color="auto"/>
          </w:divBdr>
        </w:div>
        <w:div w:id="183835529">
          <w:marLeft w:val="547"/>
          <w:marRight w:val="0"/>
          <w:marTop w:val="120"/>
          <w:marBottom w:val="0"/>
          <w:divBdr>
            <w:top w:val="none" w:sz="0" w:space="0" w:color="auto"/>
            <w:left w:val="none" w:sz="0" w:space="0" w:color="auto"/>
            <w:bottom w:val="none" w:sz="0" w:space="0" w:color="auto"/>
            <w:right w:val="none" w:sz="0" w:space="0" w:color="auto"/>
          </w:divBdr>
        </w:div>
        <w:div w:id="1845240098">
          <w:marLeft w:val="547"/>
          <w:marRight w:val="0"/>
          <w:marTop w:val="120"/>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7391015">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33704310">
      <w:bodyDiv w:val="1"/>
      <w:marLeft w:val="0"/>
      <w:marRight w:val="0"/>
      <w:marTop w:val="0"/>
      <w:marBottom w:val="0"/>
      <w:divBdr>
        <w:top w:val="none" w:sz="0" w:space="0" w:color="auto"/>
        <w:left w:val="none" w:sz="0" w:space="0" w:color="auto"/>
        <w:bottom w:val="none" w:sz="0" w:space="0" w:color="auto"/>
        <w:right w:val="none" w:sz="0" w:space="0" w:color="auto"/>
      </w:divBdr>
      <w:divsChild>
        <w:div w:id="399719569">
          <w:marLeft w:val="547"/>
          <w:marRight w:val="0"/>
          <w:marTop w:val="86"/>
          <w:marBottom w:val="0"/>
          <w:divBdr>
            <w:top w:val="none" w:sz="0" w:space="0" w:color="auto"/>
            <w:left w:val="none" w:sz="0" w:space="0" w:color="auto"/>
            <w:bottom w:val="none" w:sz="0" w:space="0" w:color="auto"/>
            <w:right w:val="none" w:sz="0" w:space="0" w:color="auto"/>
          </w:divBdr>
        </w:div>
        <w:div w:id="1751805808">
          <w:marLeft w:val="1166"/>
          <w:marRight w:val="0"/>
          <w:marTop w:val="86"/>
          <w:marBottom w:val="0"/>
          <w:divBdr>
            <w:top w:val="none" w:sz="0" w:space="0" w:color="auto"/>
            <w:left w:val="none" w:sz="0" w:space="0" w:color="auto"/>
            <w:bottom w:val="none" w:sz="0" w:space="0" w:color="auto"/>
            <w:right w:val="none" w:sz="0" w:space="0" w:color="auto"/>
          </w:divBdr>
        </w:div>
        <w:div w:id="1605960802">
          <w:marLeft w:val="1166"/>
          <w:marRight w:val="0"/>
          <w:marTop w:val="86"/>
          <w:marBottom w:val="0"/>
          <w:divBdr>
            <w:top w:val="none" w:sz="0" w:space="0" w:color="auto"/>
            <w:left w:val="none" w:sz="0" w:space="0" w:color="auto"/>
            <w:bottom w:val="none" w:sz="0" w:space="0" w:color="auto"/>
            <w:right w:val="none" w:sz="0" w:space="0" w:color="auto"/>
          </w:divBdr>
        </w:div>
        <w:div w:id="1777213121">
          <w:marLeft w:val="1166"/>
          <w:marRight w:val="0"/>
          <w:marTop w:val="86"/>
          <w:marBottom w:val="0"/>
          <w:divBdr>
            <w:top w:val="none" w:sz="0" w:space="0" w:color="auto"/>
            <w:left w:val="none" w:sz="0" w:space="0" w:color="auto"/>
            <w:bottom w:val="none" w:sz="0" w:space="0" w:color="auto"/>
            <w:right w:val="none" w:sz="0" w:space="0" w:color="auto"/>
          </w:divBdr>
        </w:div>
        <w:div w:id="1344630333">
          <w:marLeft w:val="1166"/>
          <w:marRight w:val="0"/>
          <w:marTop w:val="86"/>
          <w:marBottom w:val="0"/>
          <w:divBdr>
            <w:top w:val="none" w:sz="0" w:space="0" w:color="auto"/>
            <w:left w:val="none" w:sz="0" w:space="0" w:color="auto"/>
            <w:bottom w:val="none" w:sz="0" w:space="0" w:color="auto"/>
            <w:right w:val="none" w:sz="0" w:space="0" w:color="auto"/>
          </w:divBdr>
        </w:div>
        <w:div w:id="366829874">
          <w:marLeft w:val="1166"/>
          <w:marRight w:val="0"/>
          <w:marTop w:val="86"/>
          <w:marBottom w:val="0"/>
          <w:divBdr>
            <w:top w:val="none" w:sz="0" w:space="0" w:color="auto"/>
            <w:left w:val="none" w:sz="0" w:space="0" w:color="auto"/>
            <w:bottom w:val="none" w:sz="0" w:space="0" w:color="auto"/>
            <w:right w:val="none" w:sz="0" w:space="0" w:color="auto"/>
          </w:divBdr>
        </w:div>
        <w:div w:id="1325668439">
          <w:marLeft w:val="547"/>
          <w:marRight w:val="0"/>
          <w:marTop w:val="86"/>
          <w:marBottom w:val="0"/>
          <w:divBdr>
            <w:top w:val="none" w:sz="0" w:space="0" w:color="auto"/>
            <w:left w:val="none" w:sz="0" w:space="0" w:color="auto"/>
            <w:bottom w:val="none" w:sz="0" w:space="0" w:color="auto"/>
            <w:right w:val="none" w:sz="0" w:space="0" w:color="auto"/>
          </w:divBdr>
        </w:div>
        <w:div w:id="685401503">
          <w:marLeft w:val="1166"/>
          <w:marRight w:val="0"/>
          <w:marTop w:val="86"/>
          <w:marBottom w:val="0"/>
          <w:divBdr>
            <w:top w:val="none" w:sz="0" w:space="0" w:color="auto"/>
            <w:left w:val="none" w:sz="0" w:space="0" w:color="auto"/>
            <w:bottom w:val="none" w:sz="0" w:space="0" w:color="auto"/>
            <w:right w:val="none" w:sz="0" w:space="0" w:color="auto"/>
          </w:divBdr>
        </w:div>
        <w:div w:id="1978103787">
          <w:marLeft w:val="1166"/>
          <w:marRight w:val="0"/>
          <w:marTop w:val="86"/>
          <w:marBottom w:val="0"/>
          <w:divBdr>
            <w:top w:val="none" w:sz="0" w:space="0" w:color="auto"/>
            <w:left w:val="none" w:sz="0" w:space="0" w:color="auto"/>
            <w:bottom w:val="none" w:sz="0" w:space="0" w:color="auto"/>
            <w:right w:val="none" w:sz="0" w:space="0" w:color="auto"/>
          </w:divBdr>
        </w:div>
        <w:div w:id="1032151642">
          <w:marLeft w:val="547"/>
          <w:marRight w:val="0"/>
          <w:marTop w:val="86"/>
          <w:marBottom w:val="0"/>
          <w:divBdr>
            <w:top w:val="none" w:sz="0" w:space="0" w:color="auto"/>
            <w:left w:val="none" w:sz="0" w:space="0" w:color="auto"/>
            <w:bottom w:val="none" w:sz="0" w:space="0" w:color="auto"/>
            <w:right w:val="none" w:sz="0" w:space="0" w:color="auto"/>
          </w:divBdr>
        </w:div>
        <w:div w:id="1870532140">
          <w:marLeft w:val="1166"/>
          <w:marRight w:val="0"/>
          <w:marTop w:val="86"/>
          <w:marBottom w:val="0"/>
          <w:divBdr>
            <w:top w:val="none" w:sz="0" w:space="0" w:color="auto"/>
            <w:left w:val="none" w:sz="0" w:space="0" w:color="auto"/>
            <w:bottom w:val="none" w:sz="0" w:space="0" w:color="auto"/>
            <w:right w:val="none" w:sz="0" w:space="0" w:color="auto"/>
          </w:divBdr>
        </w:div>
        <w:div w:id="1069615053">
          <w:marLeft w:val="1800"/>
          <w:marRight w:val="0"/>
          <w:marTop w:val="86"/>
          <w:marBottom w:val="0"/>
          <w:divBdr>
            <w:top w:val="none" w:sz="0" w:space="0" w:color="auto"/>
            <w:left w:val="none" w:sz="0" w:space="0" w:color="auto"/>
            <w:bottom w:val="none" w:sz="0" w:space="0" w:color="auto"/>
            <w:right w:val="none" w:sz="0" w:space="0" w:color="auto"/>
          </w:divBdr>
        </w:div>
        <w:div w:id="910117860">
          <w:marLeft w:val="1800"/>
          <w:marRight w:val="0"/>
          <w:marTop w:val="86"/>
          <w:marBottom w:val="0"/>
          <w:divBdr>
            <w:top w:val="none" w:sz="0" w:space="0" w:color="auto"/>
            <w:left w:val="none" w:sz="0" w:space="0" w:color="auto"/>
            <w:bottom w:val="none" w:sz="0" w:space="0" w:color="auto"/>
            <w:right w:val="none" w:sz="0" w:space="0" w:color="auto"/>
          </w:divBdr>
        </w:div>
        <w:div w:id="1257517421">
          <w:marLeft w:val="1166"/>
          <w:marRight w:val="0"/>
          <w:marTop w:val="86"/>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25895589">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07950829">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43481020">
      <w:bodyDiv w:val="1"/>
      <w:marLeft w:val="0"/>
      <w:marRight w:val="0"/>
      <w:marTop w:val="0"/>
      <w:marBottom w:val="0"/>
      <w:divBdr>
        <w:top w:val="none" w:sz="0" w:space="0" w:color="auto"/>
        <w:left w:val="none" w:sz="0" w:space="0" w:color="auto"/>
        <w:bottom w:val="none" w:sz="0" w:space="0" w:color="auto"/>
        <w:right w:val="none" w:sz="0" w:space="0" w:color="auto"/>
      </w:divBdr>
      <w:divsChild>
        <w:div w:id="890111802">
          <w:marLeft w:val="547"/>
          <w:marRight w:val="0"/>
          <w:marTop w:val="149"/>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60862458">
      <w:bodyDiv w:val="1"/>
      <w:marLeft w:val="0"/>
      <w:marRight w:val="0"/>
      <w:marTop w:val="0"/>
      <w:marBottom w:val="0"/>
      <w:divBdr>
        <w:top w:val="none" w:sz="0" w:space="0" w:color="auto"/>
        <w:left w:val="none" w:sz="0" w:space="0" w:color="auto"/>
        <w:bottom w:val="none" w:sz="0" w:space="0" w:color="auto"/>
        <w:right w:val="none" w:sz="0" w:space="0" w:color="auto"/>
      </w:divBdr>
      <w:divsChild>
        <w:div w:id="701593979">
          <w:marLeft w:val="547"/>
          <w:marRight w:val="0"/>
          <w:marTop w:val="154"/>
          <w:marBottom w:val="0"/>
          <w:divBdr>
            <w:top w:val="none" w:sz="0" w:space="0" w:color="auto"/>
            <w:left w:val="none" w:sz="0" w:space="0" w:color="auto"/>
            <w:bottom w:val="none" w:sz="0" w:space="0" w:color="auto"/>
            <w:right w:val="none" w:sz="0" w:space="0" w:color="auto"/>
          </w:divBdr>
        </w:div>
        <w:div w:id="1672559525">
          <w:marLeft w:val="1166"/>
          <w:marRight w:val="0"/>
          <w:marTop w:val="134"/>
          <w:marBottom w:val="0"/>
          <w:divBdr>
            <w:top w:val="none" w:sz="0" w:space="0" w:color="auto"/>
            <w:left w:val="none" w:sz="0" w:space="0" w:color="auto"/>
            <w:bottom w:val="none" w:sz="0" w:space="0" w:color="auto"/>
            <w:right w:val="none" w:sz="0" w:space="0" w:color="auto"/>
          </w:divBdr>
        </w:div>
        <w:div w:id="2018724208">
          <w:marLeft w:val="1800"/>
          <w:marRight w:val="0"/>
          <w:marTop w:val="115"/>
          <w:marBottom w:val="0"/>
          <w:divBdr>
            <w:top w:val="none" w:sz="0" w:space="0" w:color="auto"/>
            <w:left w:val="none" w:sz="0" w:space="0" w:color="auto"/>
            <w:bottom w:val="none" w:sz="0" w:space="0" w:color="auto"/>
            <w:right w:val="none" w:sz="0" w:space="0" w:color="auto"/>
          </w:divBdr>
        </w:div>
        <w:div w:id="2146652586">
          <w:marLeft w:val="1166"/>
          <w:marRight w:val="0"/>
          <w:marTop w:val="134"/>
          <w:marBottom w:val="0"/>
          <w:divBdr>
            <w:top w:val="none" w:sz="0" w:space="0" w:color="auto"/>
            <w:left w:val="none" w:sz="0" w:space="0" w:color="auto"/>
            <w:bottom w:val="none" w:sz="0" w:space="0" w:color="auto"/>
            <w:right w:val="none" w:sz="0" w:space="0" w:color="auto"/>
          </w:divBdr>
        </w:div>
        <w:div w:id="1138453599">
          <w:marLeft w:val="1166"/>
          <w:marRight w:val="0"/>
          <w:marTop w:val="134"/>
          <w:marBottom w:val="0"/>
          <w:divBdr>
            <w:top w:val="none" w:sz="0" w:space="0" w:color="auto"/>
            <w:left w:val="none" w:sz="0" w:space="0" w:color="auto"/>
            <w:bottom w:val="none" w:sz="0" w:space="0" w:color="auto"/>
            <w:right w:val="none" w:sz="0" w:space="0" w:color="auto"/>
          </w:divBdr>
        </w:div>
        <w:div w:id="1878084079">
          <w:marLeft w:val="1166"/>
          <w:marRight w:val="0"/>
          <w:marTop w:val="134"/>
          <w:marBottom w:val="0"/>
          <w:divBdr>
            <w:top w:val="none" w:sz="0" w:space="0" w:color="auto"/>
            <w:left w:val="none" w:sz="0" w:space="0" w:color="auto"/>
            <w:bottom w:val="none" w:sz="0" w:space="0" w:color="auto"/>
            <w:right w:val="none" w:sz="0" w:space="0" w:color="auto"/>
          </w:divBdr>
        </w:div>
        <w:div w:id="831288889">
          <w:marLeft w:val="1166"/>
          <w:marRight w:val="0"/>
          <w:marTop w:val="134"/>
          <w:marBottom w:val="0"/>
          <w:divBdr>
            <w:top w:val="none" w:sz="0" w:space="0" w:color="auto"/>
            <w:left w:val="none" w:sz="0" w:space="0" w:color="auto"/>
            <w:bottom w:val="none" w:sz="0" w:space="0" w:color="auto"/>
            <w:right w:val="none" w:sz="0" w:space="0" w:color="auto"/>
          </w:divBdr>
        </w:div>
        <w:div w:id="1164127840">
          <w:marLeft w:val="1166"/>
          <w:marRight w:val="0"/>
          <w:marTop w:val="134"/>
          <w:marBottom w:val="0"/>
          <w:divBdr>
            <w:top w:val="none" w:sz="0" w:space="0" w:color="auto"/>
            <w:left w:val="none" w:sz="0" w:space="0" w:color="auto"/>
            <w:bottom w:val="none" w:sz="0" w:space="0" w:color="auto"/>
            <w:right w:val="none" w:sz="0" w:space="0" w:color="auto"/>
          </w:divBdr>
        </w:div>
      </w:divsChild>
    </w:div>
    <w:div w:id="1061446205">
      <w:bodyDiv w:val="1"/>
      <w:marLeft w:val="0"/>
      <w:marRight w:val="0"/>
      <w:marTop w:val="0"/>
      <w:marBottom w:val="0"/>
      <w:divBdr>
        <w:top w:val="none" w:sz="0" w:space="0" w:color="auto"/>
        <w:left w:val="none" w:sz="0" w:space="0" w:color="auto"/>
        <w:bottom w:val="none" w:sz="0" w:space="0" w:color="auto"/>
        <w:right w:val="none" w:sz="0" w:space="0" w:color="auto"/>
      </w:divBdr>
      <w:divsChild>
        <w:div w:id="223680733">
          <w:marLeft w:val="547"/>
          <w:marRight w:val="0"/>
          <w:marTop w:val="106"/>
          <w:marBottom w:val="0"/>
          <w:divBdr>
            <w:top w:val="none" w:sz="0" w:space="0" w:color="auto"/>
            <w:left w:val="none" w:sz="0" w:space="0" w:color="auto"/>
            <w:bottom w:val="none" w:sz="0" w:space="0" w:color="auto"/>
            <w:right w:val="none" w:sz="0" w:space="0" w:color="auto"/>
          </w:divBdr>
        </w:div>
        <w:div w:id="2065719160">
          <w:marLeft w:val="1166"/>
          <w:marRight w:val="0"/>
          <w:marTop w:val="96"/>
          <w:marBottom w:val="0"/>
          <w:divBdr>
            <w:top w:val="none" w:sz="0" w:space="0" w:color="auto"/>
            <w:left w:val="none" w:sz="0" w:space="0" w:color="auto"/>
            <w:bottom w:val="none" w:sz="0" w:space="0" w:color="auto"/>
            <w:right w:val="none" w:sz="0" w:space="0" w:color="auto"/>
          </w:divBdr>
        </w:div>
        <w:div w:id="976059617">
          <w:marLeft w:val="1166"/>
          <w:marRight w:val="0"/>
          <w:marTop w:val="96"/>
          <w:marBottom w:val="0"/>
          <w:divBdr>
            <w:top w:val="none" w:sz="0" w:space="0" w:color="auto"/>
            <w:left w:val="none" w:sz="0" w:space="0" w:color="auto"/>
            <w:bottom w:val="none" w:sz="0" w:space="0" w:color="auto"/>
            <w:right w:val="none" w:sz="0" w:space="0" w:color="auto"/>
          </w:divBdr>
        </w:div>
        <w:div w:id="1913272275">
          <w:marLeft w:val="1166"/>
          <w:marRight w:val="0"/>
          <w:marTop w:val="96"/>
          <w:marBottom w:val="0"/>
          <w:divBdr>
            <w:top w:val="none" w:sz="0" w:space="0" w:color="auto"/>
            <w:left w:val="none" w:sz="0" w:space="0" w:color="auto"/>
            <w:bottom w:val="none" w:sz="0" w:space="0" w:color="auto"/>
            <w:right w:val="none" w:sz="0" w:space="0" w:color="auto"/>
          </w:divBdr>
        </w:div>
        <w:div w:id="625039973">
          <w:marLeft w:val="1166"/>
          <w:marRight w:val="0"/>
          <w:marTop w:val="96"/>
          <w:marBottom w:val="0"/>
          <w:divBdr>
            <w:top w:val="none" w:sz="0" w:space="0" w:color="auto"/>
            <w:left w:val="none" w:sz="0" w:space="0" w:color="auto"/>
            <w:bottom w:val="none" w:sz="0" w:space="0" w:color="auto"/>
            <w:right w:val="none" w:sz="0" w:space="0" w:color="auto"/>
          </w:divBdr>
        </w:div>
        <w:div w:id="2146000685">
          <w:marLeft w:val="547"/>
          <w:marRight w:val="0"/>
          <w:marTop w:val="106"/>
          <w:marBottom w:val="0"/>
          <w:divBdr>
            <w:top w:val="none" w:sz="0" w:space="0" w:color="auto"/>
            <w:left w:val="none" w:sz="0" w:space="0" w:color="auto"/>
            <w:bottom w:val="none" w:sz="0" w:space="0" w:color="auto"/>
            <w:right w:val="none" w:sz="0" w:space="0" w:color="auto"/>
          </w:divBdr>
        </w:div>
        <w:div w:id="70741000">
          <w:marLeft w:val="547"/>
          <w:marRight w:val="0"/>
          <w:marTop w:val="106"/>
          <w:marBottom w:val="0"/>
          <w:divBdr>
            <w:top w:val="none" w:sz="0" w:space="0" w:color="auto"/>
            <w:left w:val="none" w:sz="0" w:space="0" w:color="auto"/>
            <w:bottom w:val="none" w:sz="0" w:space="0" w:color="auto"/>
            <w:right w:val="none" w:sz="0" w:space="0" w:color="auto"/>
          </w:divBdr>
        </w:div>
        <w:div w:id="1166824209">
          <w:marLeft w:val="547"/>
          <w:marRight w:val="0"/>
          <w:marTop w:val="106"/>
          <w:marBottom w:val="0"/>
          <w:divBdr>
            <w:top w:val="none" w:sz="0" w:space="0" w:color="auto"/>
            <w:left w:val="none" w:sz="0" w:space="0" w:color="auto"/>
            <w:bottom w:val="none" w:sz="0" w:space="0" w:color="auto"/>
            <w:right w:val="none" w:sz="0" w:space="0" w:color="auto"/>
          </w:divBdr>
        </w:div>
        <w:div w:id="455879439">
          <w:marLeft w:val="1166"/>
          <w:marRight w:val="0"/>
          <w:marTop w:val="96"/>
          <w:marBottom w:val="0"/>
          <w:divBdr>
            <w:top w:val="none" w:sz="0" w:space="0" w:color="auto"/>
            <w:left w:val="none" w:sz="0" w:space="0" w:color="auto"/>
            <w:bottom w:val="none" w:sz="0" w:space="0" w:color="auto"/>
            <w:right w:val="none" w:sz="0" w:space="0" w:color="auto"/>
          </w:divBdr>
        </w:div>
        <w:div w:id="590430958">
          <w:marLeft w:val="1800"/>
          <w:marRight w:val="0"/>
          <w:marTop w:val="82"/>
          <w:marBottom w:val="0"/>
          <w:divBdr>
            <w:top w:val="none" w:sz="0" w:space="0" w:color="auto"/>
            <w:left w:val="none" w:sz="0" w:space="0" w:color="auto"/>
            <w:bottom w:val="none" w:sz="0" w:space="0" w:color="auto"/>
            <w:right w:val="none" w:sz="0" w:space="0" w:color="auto"/>
          </w:divBdr>
        </w:div>
        <w:div w:id="104422013">
          <w:marLeft w:val="1800"/>
          <w:marRight w:val="0"/>
          <w:marTop w:val="82"/>
          <w:marBottom w:val="0"/>
          <w:divBdr>
            <w:top w:val="none" w:sz="0" w:space="0" w:color="auto"/>
            <w:left w:val="none" w:sz="0" w:space="0" w:color="auto"/>
            <w:bottom w:val="none" w:sz="0" w:space="0" w:color="auto"/>
            <w:right w:val="none" w:sz="0" w:space="0" w:color="auto"/>
          </w:divBdr>
        </w:div>
        <w:div w:id="1999306990">
          <w:marLeft w:val="547"/>
          <w:marRight w:val="0"/>
          <w:marTop w:val="106"/>
          <w:marBottom w:val="0"/>
          <w:divBdr>
            <w:top w:val="none" w:sz="0" w:space="0" w:color="auto"/>
            <w:left w:val="none" w:sz="0" w:space="0" w:color="auto"/>
            <w:bottom w:val="none" w:sz="0" w:space="0" w:color="auto"/>
            <w:right w:val="none" w:sz="0" w:space="0" w:color="auto"/>
          </w:divBdr>
        </w:div>
        <w:div w:id="1250499514">
          <w:marLeft w:val="1166"/>
          <w:marRight w:val="0"/>
          <w:marTop w:val="96"/>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01028381">
      <w:bodyDiv w:val="1"/>
      <w:marLeft w:val="0"/>
      <w:marRight w:val="0"/>
      <w:marTop w:val="0"/>
      <w:marBottom w:val="0"/>
      <w:divBdr>
        <w:top w:val="none" w:sz="0" w:space="0" w:color="auto"/>
        <w:left w:val="none" w:sz="0" w:space="0" w:color="auto"/>
        <w:bottom w:val="none" w:sz="0" w:space="0" w:color="auto"/>
        <w:right w:val="none" w:sz="0" w:space="0" w:color="auto"/>
      </w:divBdr>
      <w:divsChild>
        <w:div w:id="244149731">
          <w:marLeft w:val="547"/>
          <w:marRight w:val="0"/>
          <w:marTop w:val="86"/>
          <w:marBottom w:val="0"/>
          <w:divBdr>
            <w:top w:val="none" w:sz="0" w:space="0" w:color="auto"/>
            <w:left w:val="none" w:sz="0" w:space="0" w:color="auto"/>
            <w:bottom w:val="none" w:sz="0" w:space="0" w:color="auto"/>
            <w:right w:val="none" w:sz="0" w:space="0" w:color="auto"/>
          </w:divBdr>
        </w:div>
        <w:div w:id="727456377">
          <w:marLeft w:val="1166"/>
          <w:marRight w:val="0"/>
          <w:marTop w:val="72"/>
          <w:marBottom w:val="0"/>
          <w:divBdr>
            <w:top w:val="none" w:sz="0" w:space="0" w:color="auto"/>
            <w:left w:val="none" w:sz="0" w:space="0" w:color="auto"/>
            <w:bottom w:val="none" w:sz="0" w:space="0" w:color="auto"/>
            <w:right w:val="none" w:sz="0" w:space="0" w:color="auto"/>
          </w:divBdr>
        </w:div>
        <w:div w:id="332295464">
          <w:marLeft w:val="1166"/>
          <w:marRight w:val="0"/>
          <w:marTop w:val="72"/>
          <w:marBottom w:val="0"/>
          <w:divBdr>
            <w:top w:val="none" w:sz="0" w:space="0" w:color="auto"/>
            <w:left w:val="none" w:sz="0" w:space="0" w:color="auto"/>
            <w:bottom w:val="none" w:sz="0" w:space="0" w:color="auto"/>
            <w:right w:val="none" w:sz="0" w:space="0" w:color="auto"/>
          </w:divBdr>
        </w:div>
        <w:div w:id="1464886149">
          <w:marLeft w:val="1166"/>
          <w:marRight w:val="0"/>
          <w:marTop w:val="72"/>
          <w:marBottom w:val="0"/>
          <w:divBdr>
            <w:top w:val="none" w:sz="0" w:space="0" w:color="auto"/>
            <w:left w:val="none" w:sz="0" w:space="0" w:color="auto"/>
            <w:bottom w:val="none" w:sz="0" w:space="0" w:color="auto"/>
            <w:right w:val="none" w:sz="0" w:space="0" w:color="auto"/>
          </w:divBdr>
        </w:div>
        <w:div w:id="203948659">
          <w:marLeft w:val="1800"/>
          <w:marRight w:val="0"/>
          <w:marTop w:val="62"/>
          <w:marBottom w:val="0"/>
          <w:divBdr>
            <w:top w:val="none" w:sz="0" w:space="0" w:color="auto"/>
            <w:left w:val="none" w:sz="0" w:space="0" w:color="auto"/>
            <w:bottom w:val="none" w:sz="0" w:space="0" w:color="auto"/>
            <w:right w:val="none" w:sz="0" w:space="0" w:color="auto"/>
          </w:divBdr>
        </w:div>
        <w:div w:id="171995782">
          <w:marLeft w:val="1800"/>
          <w:marRight w:val="0"/>
          <w:marTop w:val="62"/>
          <w:marBottom w:val="0"/>
          <w:divBdr>
            <w:top w:val="none" w:sz="0" w:space="0" w:color="auto"/>
            <w:left w:val="none" w:sz="0" w:space="0" w:color="auto"/>
            <w:bottom w:val="none" w:sz="0" w:space="0" w:color="auto"/>
            <w:right w:val="none" w:sz="0" w:space="0" w:color="auto"/>
          </w:divBdr>
        </w:div>
        <w:div w:id="1846312781">
          <w:marLeft w:val="1800"/>
          <w:marRight w:val="0"/>
          <w:marTop w:val="62"/>
          <w:marBottom w:val="0"/>
          <w:divBdr>
            <w:top w:val="none" w:sz="0" w:space="0" w:color="auto"/>
            <w:left w:val="none" w:sz="0" w:space="0" w:color="auto"/>
            <w:bottom w:val="none" w:sz="0" w:space="0" w:color="auto"/>
            <w:right w:val="none" w:sz="0" w:space="0" w:color="auto"/>
          </w:divBdr>
        </w:div>
        <w:div w:id="93869693">
          <w:marLeft w:val="1166"/>
          <w:marRight w:val="0"/>
          <w:marTop w:val="72"/>
          <w:marBottom w:val="0"/>
          <w:divBdr>
            <w:top w:val="none" w:sz="0" w:space="0" w:color="auto"/>
            <w:left w:val="none" w:sz="0" w:space="0" w:color="auto"/>
            <w:bottom w:val="none" w:sz="0" w:space="0" w:color="auto"/>
            <w:right w:val="none" w:sz="0" w:space="0" w:color="auto"/>
          </w:divBdr>
        </w:div>
        <w:div w:id="630981184">
          <w:marLeft w:val="1166"/>
          <w:marRight w:val="0"/>
          <w:marTop w:val="72"/>
          <w:marBottom w:val="0"/>
          <w:divBdr>
            <w:top w:val="none" w:sz="0" w:space="0" w:color="auto"/>
            <w:left w:val="none" w:sz="0" w:space="0" w:color="auto"/>
            <w:bottom w:val="none" w:sz="0" w:space="0" w:color="auto"/>
            <w:right w:val="none" w:sz="0" w:space="0" w:color="auto"/>
          </w:divBdr>
        </w:div>
        <w:div w:id="904222355">
          <w:marLeft w:val="547"/>
          <w:marRight w:val="0"/>
          <w:marTop w:val="86"/>
          <w:marBottom w:val="0"/>
          <w:divBdr>
            <w:top w:val="none" w:sz="0" w:space="0" w:color="auto"/>
            <w:left w:val="none" w:sz="0" w:space="0" w:color="auto"/>
            <w:bottom w:val="none" w:sz="0" w:space="0" w:color="auto"/>
            <w:right w:val="none" w:sz="0" w:space="0" w:color="auto"/>
          </w:divBdr>
        </w:div>
        <w:div w:id="863447192">
          <w:marLeft w:val="547"/>
          <w:marRight w:val="0"/>
          <w:marTop w:val="86"/>
          <w:marBottom w:val="0"/>
          <w:divBdr>
            <w:top w:val="none" w:sz="0" w:space="0" w:color="auto"/>
            <w:left w:val="none" w:sz="0" w:space="0" w:color="auto"/>
            <w:bottom w:val="none" w:sz="0" w:space="0" w:color="auto"/>
            <w:right w:val="none" w:sz="0" w:space="0" w:color="auto"/>
          </w:divBdr>
        </w:div>
        <w:div w:id="325940561">
          <w:marLeft w:val="1166"/>
          <w:marRight w:val="0"/>
          <w:marTop w:val="72"/>
          <w:marBottom w:val="0"/>
          <w:divBdr>
            <w:top w:val="none" w:sz="0" w:space="0" w:color="auto"/>
            <w:left w:val="none" w:sz="0" w:space="0" w:color="auto"/>
            <w:bottom w:val="none" w:sz="0" w:space="0" w:color="auto"/>
            <w:right w:val="none" w:sz="0" w:space="0" w:color="auto"/>
          </w:divBdr>
        </w:div>
        <w:div w:id="361439787">
          <w:marLeft w:val="1800"/>
          <w:marRight w:val="0"/>
          <w:marTop w:val="62"/>
          <w:marBottom w:val="0"/>
          <w:divBdr>
            <w:top w:val="none" w:sz="0" w:space="0" w:color="auto"/>
            <w:left w:val="none" w:sz="0" w:space="0" w:color="auto"/>
            <w:bottom w:val="none" w:sz="0" w:space="0" w:color="auto"/>
            <w:right w:val="none" w:sz="0" w:space="0" w:color="auto"/>
          </w:divBdr>
        </w:div>
        <w:div w:id="970553330">
          <w:marLeft w:val="1800"/>
          <w:marRight w:val="0"/>
          <w:marTop w:val="62"/>
          <w:marBottom w:val="0"/>
          <w:divBdr>
            <w:top w:val="none" w:sz="0" w:space="0" w:color="auto"/>
            <w:left w:val="none" w:sz="0" w:space="0" w:color="auto"/>
            <w:bottom w:val="none" w:sz="0" w:space="0" w:color="auto"/>
            <w:right w:val="none" w:sz="0" w:space="0" w:color="auto"/>
          </w:divBdr>
        </w:div>
        <w:div w:id="1187937658">
          <w:marLeft w:val="1166"/>
          <w:marRight w:val="0"/>
          <w:marTop w:val="72"/>
          <w:marBottom w:val="0"/>
          <w:divBdr>
            <w:top w:val="none" w:sz="0" w:space="0" w:color="auto"/>
            <w:left w:val="none" w:sz="0" w:space="0" w:color="auto"/>
            <w:bottom w:val="none" w:sz="0" w:space="0" w:color="auto"/>
            <w:right w:val="none" w:sz="0" w:space="0" w:color="auto"/>
          </w:divBdr>
        </w:div>
        <w:div w:id="1853303533">
          <w:marLeft w:val="547"/>
          <w:marRight w:val="0"/>
          <w:marTop w:val="86"/>
          <w:marBottom w:val="0"/>
          <w:divBdr>
            <w:top w:val="none" w:sz="0" w:space="0" w:color="auto"/>
            <w:left w:val="none" w:sz="0" w:space="0" w:color="auto"/>
            <w:bottom w:val="none" w:sz="0" w:space="0" w:color="auto"/>
            <w:right w:val="none" w:sz="0" w:space="0" w:color="auto"/>
          </w:divBdr>
        </w:div>
        <w:div w:id="303202299">
          <w:marLeft w:val="1166"/>
          <w:marRight w:val="0"/>
          <w:marTop w:val="72"/>
          <w:marBottom w:val="0"/>
          <w:divBdr>
            <w:top w:val="none" w:sz="0" w:space="0" w:color="auto"/>
            <w:left w:val="none" w:sz="0" w:space="0" w:color="auto"/>
            <w:bottom w:val="none" w:sz="0" w:space="0" w:color="auto"/>
            <w:right w:val="none" w:sz="0" w:space="0" w:color="auto"/>
          </w:divBdr>
        </w:div>
        <w:div w:id="190998481">
          <w:marLeft w:val="1166"/>
          <w:marRight w:val="0"/>
          <w:marTop w:val="72"/>
          <w:marBottom w:val="0"/>
          <w:divBdr>
            <w:top w:val="none" w:sz="0" w:space="0" w:color="auto"/>
            <w:left w:val="none" w:sz="0" w:space="0" w:color="auto"/>
            <w:bottom w:val="none" w:sz="0" w:space="0" w:color="auto"/>
            <w:right w:val="none" w:sz="0" w:space="0" w:color="auto"/>
          </w:divBdr>
        </w:div>
        <w:div w:id="1644046978">
          <w:marLeft w:val="547"/>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2089177">
      <w:bodyDiv w:val="1"/>
      <w:marLeft w:val="0"/>
      <w:marRight w:val="0"/>
      <w:marTop w:val="0"/>
      <w:marBottom w:val="0"/>
      <w:divBdr>
        <w:top w:val="none" w:sz="0" w:space="0" w:color="auto"/>
        <w:left w:val="none" w:sz="0" w:space="0" w:color="auto"/>
        <w:bottom w:val="none" w:sz="0" w:space="0" w:color="auto"/>
        <w:right w:val="none" w:sz="0" w:space="0" w:color="auto"/>
      </w:divBdr>
      <w:divsChild>
        <w:div w:id="47995499">
          <w:marLeft w:val="547"/>
          <w:marRight w:val="0"/>
          <w:marTop w:val="144"/>
          <w:marBottom w:val="0"/>
          <w:divBdr>
            <w:top w:val="none" w:sz="0" w:space="0" w:color="auto"/>
            <w:left w:val="none" w:sz="0" w:space="0" w:color="auto"/>
            <w:bottom w:val="none" w:sz="0" w:space="0" w:color="auto"/>
            <w:right w:val="none" w:sz="0" w:space="0" w:color="auto"/>
          </w:divBdr>
        </w:div>
        <w:div w:id="1670985273">
          <w:marLeft w:val="547"/>
          <w:marRight w:val="0"/>
          <w:marTop w:val="144"/>
          <w:marBottom w:val="0"/>
          <w:divBdr>
            <w:top w:val="none" w:sz="0" w:space="0" w:color="auto"/>
            <w:left w:val="none" w:sz="0" w:space="0" w:color="auto"/>
            <w:bottom w:val="none" w:sz="0" w:space="0" w:color="auto"/>
            <w:right w:val="none" w:sz="0" w:space="0" w:color="auto"/>
          </w:divBdr>
        </w:div>
      </w:divsChild>
    </w:div>
    <w:div w:id="1217814825">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264847801">
      <w:bodyDiv w:val="1"/>
      <w:marLeft w:val="0"/>
      <w:marRight w:val="0"/>
      <w:marTop w:val="0"/>
      <w:marBottom w:val="0"/>
      <w:divBdr>
        <w:top w:val="none" w:sz="0" w:space="0" w:color="auto"/>
        <w:left w:val="none" w:sz="0" w:space="0" w:color="auto"/>
        <w:bottom w:val="none" w:sz="0" w:space="0" w:color="auto"/>
        <w:right w:val="none" w:sz="0" w:space="0" w:color="auto"/>
      </w:divBdr>
      <w:divsChild>
        <w:div w:id="1147043181">
          <w:marLeft w:val="547"/>
          <w:marRight w:val="0"/>
          <w:marTop w:val="91"/>
          <w:marBottom w:val="0"/>
          <w:divBdr>
            <w:top w:val="none" w:sz="0" w:space="0" w:color="auto"/>
            <w:left w:val="none" w:sz="0" w:space="0" w:color="auto"/>
            <w:bottom w:val="none" w:sz="0" w:space="0" w:color="auto"/>
            <w:right w:val="none" w:sz="0" w:space="0" w:color="auto"/>
          </w:divBdr>
        </w:div>
        <w:div w:id="1855877241">
          <w:marLeft w:val="1166"/>
          <w:marRight w:val="0"/>
          <w:marTop w:val="72"/>
          <w:marBottom w:val="0"/>
          <w:divBdr>
            <w:top w:val="none" w:sz="0" w:space="0" w:color="auto"/>
            <w:left w:val="none" w:sz="0" w:space="0" w:color="auto"/>
            <w:bottom w:val="none" w:sz="0" w:space="0" w:color="auto"/>
            <w:right w:val="none" w:sz="0" w:space="0" w:color="auto"/>
          </w:divBdr>
        </w:div>
        <w:div w:id="1512178272">
          <w:marLeft w:val="1166"/>
          <w:marRight w:val="0"/>
          <w:marTop w:val="72"/>
          <w:marBottom w:val="0"/>
          <w:divBdr>
            <w:top w:val="none" w:sz="0" w:space="0" w:color="auto"/>
            <w:left w:val="none" w:sz="0" w:space="0" w:color="auto"/>
            <w:bottom w:val="none" w:sz="0" w:space="0" w:color="auto"/>
            <w:right w:val="none" w:sz="0" w:space="0" w:color="auto"/>
          </w:divBdr>
        </w:div>
        <w:div w:id="843010209">
          <w:marLeft w:val="1166"/>
          <w:marRight w:val="0"/>
          <w:marTop w:val="72"/>
          <w:marBottom w:val="0"/>
          <w:divBdr>
            <w:top w:val="none" w:sz="0" w:space="0" w:color="auto"/>
            <w:left w:val="none" w:sz="0" w:space="0" w:color="auto"/>
            <w:bottom w:val="none" w:sz="0" w:space="0" w:color="auto"/>
            <w:right w:val="none" w:sz="0" w:space="0" w:color="auto"/>
          </w:divBdr>
        </w:div>
        <w:div w:id="1596670085">
          <w:marLeft w:val="1166"/>
          <w:marRight w:val="0"/>
          <w:marTop w:val="72"/>
          <w:marBottom w:val="0"/>
          <w:divBdr>
            <w:top w:val="none" w:sz="0" w:space="0" w:color="auto"/>
            <w:left w:val="none" w:sz="0" w:space="0" w:color="auto"/>
            <w:bottom w:val="none" w:sz="0" w:space="0" w:color="auto"/>
            <w:right w:val="none" w:sz="0" w:space="0" w:color="auto"/>
          </w:divBdr>
        </w:div>
        <w:div w:id="1315375636">
          <w:marLeft w:val="1800"/>
          <w:marRight w:val="0"/>
          <w:marTop w:val="72"/>
          <w:marBottom w:val="0"/>
          <w:divBdr>
            <w:top w:val="none" w:sz="0" w:space="0" w:color="auto"/>
            <w:left w:val="none" w:sz="0" w:space="0" w:color="auto"/>
            <w:bottom w:val="none" w:sz="0" w:space="0" w:color="auto"/>
            <w:right w:val="none" w:sz="0" w:space="0" w:color="auto"/>
          </w:divBdr>
        </w:div>
        <w:div w:id="1870994409">
          <w:marLeft w:val="1800"/>
          <w:marRight w:val="0"/>
          <w:marTop w:val="72"/>
          <w:marBottom w:val="0"/>
          <w:divBdr>
            <w:top w:val="none" w:sz="0" w:space="0" w:color="auto"/>
            <w:left w:val="none" w:sz="0" w:space="0" w:color="auto"/>
            <w:bottom w:val="none" w:sz="0" w:space="0" w:color="auto"/>
            <w:right w:val="none" w:sz="0" w:space="0" w:color="auto"/>
          </w:divBdr>
        </w:div>
      </w:divsChild>
    </w:div>
    <w:div w:id="1302466806">
      <w:bodyDiv w:val="1"/>
      <w:marLeft w:val="0"/>
      <w:marRight w:val="0"/>
      <w:marTop w:val="0"/>
      <w:marBottom w:val="0"/>
      <w:divBdr>
        <w:top w:val="none" w:sz="0" w:space="0" w:color="auto"/>
        <w:left w:val="none" w:sz="0" w:space="0" w:color="auto"/>
        <w:bottom w:val="none" w:sz="0" w:space="0" w:color="auto"/>
        <w:right w:val="none" w:sz="0" w:space="0" w:color="auto"/>
      </w:divBdr>
      <w:divsChild>
        <w:div w:id="989551617">
          <w:marLeft w:val="547"/>
          <w:marRight w:val="0"/>
          <w:marTop w:val="91"/>
          <w:marBottom w:val="0"/>
          <w:divBdr>
            <w:top w:val="none" w:sz="0" w:space="0" w:color="auto"/>
            <w:left w:val="none" w:sz="0" w:space="0" w:color="auto"/>
            <w:bottom w:val="none" w:sz="0" w:space="0" w:color="auto"/>
            <w:right w:val="none" w:sz="0" w:space="0" w:color="auto"/>
          </w:divBdr>
        </w:div>
        <w:div w:id="226965696">
          <w:marLeft w:val="1166"/>
          <w:marRight w:val="0"/>
          <w:marTop w:val="72"/>
          <w:marBottom w:val="0"/>
          <w:divBdr>
            <w:top w:val="none" w:sz="0" w:space="0" w:color="auto"/>
            <w:left w:val="none" w:sz="0" w:space="0" w:color="auto"/>
            <w:bottom w:val="none" w:sz="0" w:space="0" w:color="auto"/>
            <w:right w:val="none" w:sz="0" w:space="0" w:color="auto"/>
          </w:divBdr>
        </w:div>
        <w:div w:id="977297228">
          <w:marLeft w:val="1166"/>
          <w:marRight w:val="0"/>
          <w:marTop w:val="72"/>
          <w:marBottom w:val="0"/>
          <w:divBdr>
            <w:top w:val="none" w:sz="0" w:space="0" w:color="auto"/>
            <w:left w:val="none" w:sz="0" w:space="0" w:color="auto"/>
            <w:bottom w:val="none" w:sz="0" w:space="0" w:color="auto"/>
            <w:right w:val="none" w:sz="0" w:space="0" w:color="auto"/>
          </w:divBdr>
        </w:div>
        <w:div w:id="495463658">
          <w:marLeft w:val="1166"/>
          <w:marRight w:val="0"/>
          <w:marTop w:val="72"/>
          <w:marBottom w:val="0"/>
          <w:divBdr>
            <w:top w:val="none" w:sz="0" w:space="0" w:color="auto"/>
            <w:left w:val="none" w:sz="0" w:space="0" w:color="auto"/>
            <w:bottom w:val="none" w:sz="0" w:space="0" w:color="auto"/>
            <w:right w:val="none" w:sz="0" w:space="0" w:color="auto"/>
          </w:divBdr>
        </w:div>
        <w:div w:id="772363467">
          <w:marLeft w:val="1166"/>
          <w:marRight w:val="0"/>
          <w:marTop w:val="72"/>
          <w:marBottom w:val="0"/>
          <w:divBdr>
            <w:top w:val="none" w:sz="0" w:space="0" w:color="auto"/>
            <w:left w:val="none" w:sz="0" w:space="0" w:color="auto"/>
            <w:bottom w:val="none" w:sz="0" w:space="0" w:color="auto"/>
            <w:right w:val="none" w:sz="0" w:space="0" w:color="auto"/>
          </w:divBdr>
        </w:div>
        <w:div w:id="786003462">
          <w:marLeft w:val="1800"/>
          <w:marRight w:val="0"/>
          <w:marTop w:val="72"/>
          <w:marBottom w:val="0"/>
          <w:divBdr>
            <w:top w:val="none" w:sz="0" w:space="0" w:color="auto"/>
            <w:left w:val="none" w:sz="0" w:space="0" w:color="auto"/>
            <w:bottom w:val="none" w:sz="0" w:space="0" w:color="auto"/>
            <w:right w:val="none" w:sz="0" w:space="0" w:color="auto"/>
          </w:divBdr>
        </w:div>
        <w:div w:id="1410035634">
          <w:marLeft w:val="1800"/>
          <w:marRight w:val="0"/>
          <w:marTop w:val="72"/>
          <w:marBottom w:val="0"/>
          <w:divBdr>
            <w:top w:val="none" w:sz="0" w:space="0" w:color="auto"/>
            <w:left w:val="none" w:sz="0" w:space="0" w:color="auto"/>
            <w:bottom w:val="none" w:sz="0" w:space="0" w:color="auto"/>
            <w:right w:val="none" w:sz="0" w:space="0" w:color="auto"/>
          </w:divBdr>
        </w:div>
        <w:div w:id="1984000870">
          <w:marLeft w:val="547"/>
          <w:marRight w:val="0"/>
          <w:marTop w:val="91"/>
          <w:marBottom w:val="0"/>
          <w:divBdr>
            <w:top w:val="none" w:sz="0" w:space="0" w:color="auto"/>
            <w:left w:val="none" w:sz="0" w:space="0" w:color="auto"/>
            <w:bottom w:val="none" w:sz="0" w:space="0" w:color="auto"/>
            <w:right w:val="none" w:sz="0" w:space="0" w:color="auto"/>
          </w:divBdr>
        </w:div>
      </w:divsChild>
    </w:div>
    <w:div w:id="1327635706">
      <w:bodyDiv w:val="1"/>
      <w:marLeft w:val="0"/>
      <w:marRight w:val="0"/>
      <w:marTop w:val="0"/>
      <w:marBottom w:val="0"/>
      <w:divBdr>
        <w:top w:val="none" w:sz="0" w:space="0" w:color="auto"/>
        <w:left w:val="none" w:sz="0" w:space="0" w:color="auto"/>
        <w:bottom w:val="none" w:sz="0" w:space="0" w:color="auto"/>
        <w:right w:val="none" w:sz="0" w:space="0" w:color="auto"/>
      </w:divBdr>
      <w:divsChild>
        <w:div w:id="1954094108">
          <w:marLeft w:val="547"/>
          <w:marRight w:val="0"/>
          <w:marTop w:val="144"/>
          <w:marBottom w:val="0"/>
          <w:divBdr>
            <w:top w:val="none" w:sz="0" w:space="0" w:color="auto"/>
            <w:left w:val="none" w:sz="0" w:space="0" w:color="auto"/>
            <w:bottom w:val="none" w:sz="0" w:space="0" w:color="auto"/>
            <w:right w:val="none" w:sz="0" w:space="0" w:color="auto"/>
          </w:divBdr>
        </w:div>
        <w:div w:id="1809976558">
          <w:marLeft w:val="1166"/>
          <w:marRight w:val="0"/>
          <w:marTop w:val="125"/>
          <w:marBottom w:val="0"/>
          <w:divBdr>
            <w:top w:val="none" w:sz="0" w:space="0" w:color="auto"/>
            <w:left w:val="none" w:sz="0" w:space="0" w:color="auto"/>
            <w:bottom w:val="none" w:sz="0" w:space="0" w:color="auto"/>
            <w:right w:val="none" w:sz="0" w:space="0" w:color="auto"/>
          </w:divBdr>
        </w:div>
        <w:div w:id="879174612">
          <w:marLeft w:val="1166"/>
          <w:marRight w:val="0"/>
          <w:marTop w:val="125"/>
          <w:marBottom w:val="0"/>
          <w:divBdr>
            <w:top w:val="none" w:sz="0" w:space="0" w:color="auto"/>
            <w:left w:val="none" w:sz="0" w:space="0" w:color="auto"/>
            <w:bottom w:val="none" w:sz="0" w:space="0" w:color="auto"/>
            <w:right w:val="none" w:sz="0" w:space="0" w:color="auto"/>
          </w:divBdr>
        </w:div>
        <w:div w:id="471407918">
          <w:marLeft w:val="547"/>
          <w:marRight w:val="0"/>
          <w:marTop w:val="144"/>
          <w:marBottom w:val="0"/>
          <w:divBdr>
            <w:top w:val="none" w:sz="0" w:space="0" w:color="auto"/>
            <w:left w:val="none" w:sz="0" w:space="0" w:color="auto"/>
            <w:bottom w:val="none" w:sz="0" w:space="0" w:color="auto"/>
            <w:right w:val="none" w:sz="0" w:space="0" w:color="auto"/>
          </w:divBdr>
        </w:div>
        <w:div w:id="1481116314">
          <w:marLeft w:val="1166"/>
          <w:marRight w:val="0"/>
          <w:marTop w:val="125"/>
          <w:marBottom w:val="0"/>
          <w:divBdr>
            <w:top w:val="none" w:sz="0" w:space="0" w:color="auto"/>
            <w:left w:val="none" w:sz="0" w:space="0" w:color="auto"/>
            <w:bottom w:val="none" w:sz="0" w:space="0" w:color="auto"/>
            <w:right w:val="none" w:sz="0" w:space="0" w:color="auto"/>
          </w:divBdr>
        </w:div>
        <w:div w:id="1293171768">
          <w:marLeft w:val="1166"/>
          <w:marRight w:val="0"/>
          <w:marTop w:val="125"/>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0743013">
      <w:bodyDiv w:val="1"/>
      <w:marLeft w:val="0"/>
      <w:marRight w:val="0"/>
      <w:marTop w:val="0"/>
      <w:marBottom w:val="0"/>
      <w:divBdr>
        <w:top w:val="none" w:sz="0" w:space="0" w:color="auto"/>
        <w:left w:val="none" w:sz="0" w:space="0" w:color="auto"/>
        <w:bottom w:val="none" w:sz="0" w:space="0" w:color="auto"/>
        <w:right w:val="none" w:sz="0" w:space="0" w:color="auto"/>
      </w:divBdr>
      <w:divsChild>
        <w:div w:id="1416630083">
          <w:marLeft w:val="547"/>
          <w:marRight w:val="0"/>
          <w:marTop w:val="130"/>
          <w:marBottom w:val="0"/>
          <w:divBdr>
            <w:top w:val="none" w:sz="0" w:space="0" w:color="auto"/>
            <w:left w:val="none" w:sz="0" w:space="0" w:color="auto"/>
            <w:bottom w:val="none" w:sz="0" w:space="0" w:color="auto"/>
            <w:right w:val="none" w:sz="0" w:space="0" w:color="auto"/>
          </w:divBdr>
        </w:div>
        <w:div w:id="982344612">
          <w:marLeft w:val="1166"/>
          <w:marRight w:val="0"/>
          <w:marTop w:val="115"/>
          <w:marBottom w:val="0"/>
          <w:divBdr>
            <w:top w:val="none" w:sz="0" w:space="0" w:color="auto"/>
            <w:left w:val="none" w:sz="0" w:space="0" w:color="auto"/>
            <w:bottom w:val="none" w:sz="0" w:space="0" w:color="auto"/>
            <w:right w:val="none" w:sz="0" w:space="0" w:color="auto"/>
          </w:divBdr>
        </w:div>
        <w:div w:id="127751242">
          <w:marLeft w:val="1166"/>
          <w:marRight w:val="0"/>
          <w:marTop w:val="115"/>
          <w:marBottom w:val="0"/>
          <w:divBdr>
            <w:top w:val="none" w:sz="0" w:space="0" w:color="auto"/>
            <w:left w:val="none" w:sz="0" w:space="0" w:color="auto"/>
            <w:bottom w:val="none" w:sz="0" w:space="0" w:color="auto"/>
            <w:right w:val="none" w:sz="0" w:space="0" w:color="auto"/>
          </w:divBdr>
        </w:div>
        <w:div w:id="2087607327">
          <w:marLeft w:val="1166"/>
          <w:marRight w:val="0"/>
          <w:marTop w:val="115"/>
          <w:marBottom w:val="0"/>
          <w:divBdr>
            <w:top w:val="none" w:sz="0" w:space="0" w:color="auto"/>
            <w:left w:val="none" w:sz="0" w:space="0" w:color="auto"/>
            <w:bottom w:val="none" w:sz="0" w:space="0" w:color="auto"/>
            <w:right w:val="none" w:sz="0" w:space="0" w:color="auto"/>
          </w:divBdr>
        </w:div>
        <w:div w:id="663314948">
          <w:marLeft w:val="547"/>
          <w:marRight w:val="0"/>
          <w:marTop w:val="130"/>
          <w:marBottom w:val="0"/>
          <w:divBdr>
            <w:top w:val="none" w:sz="0" w:space="0" w:color="auto"/>
            <w:left w:val="none" w:sz="0" w:space="0" w:color="auto"/>
            <w:bottom w:val="none" w:sz="0" w:space="0" w:color="auto"/>
            <w:right w:val="none" w:sz="0" w:space="0" w:color="auto"/>
          </w:divBdr>
        </w:div>
        <w:div w:id="474756368">
          <w:marLeft w:val="1166"/>
          <w:marRight w:val="0"/>
          <w:marTop w:val="115"/>
          <w:marBottom w:val="0"/>
          <w:divBdr>
            <w:top w:val="none" w:sz="0" w:space="0" w:color="auto"/>
            <w:left w:val="none" w:sz="0" w:space="0" w:color="auto"/>
            <w:bottom w:val="none" w:sz="0" w:space="0" w:color="auto"/>
            <w:right w:val="none" w:sz="0" w:space="0" w:color="auto"/>
          </w:divBdr>
        </w:div>
        <w:div w:id="473370469">
          <w:marLeft w:val="1166"/>
          <w:marRight w:val="0"/>
          <w:marTop w:val="115"/>
          <w:marBottom w:val="0"/>
          <w:divBdr>
            <w:top w:val="none" w:sz="0" w:space="0" w:color="auto"/>
            <w:left w:val="none" w:sz="0" w:space="0" w:color="auto"/>
            <w:bottom w:val="none" w:sz="0" w:space="0" w:color="auto"/>
            <w:right w:val="none" w:sz="0" w:space="0" w:color="auto"/>
          </w:divBdr>
        </w:div>
        <w:div w:id="380398245">
          <w:marLeft w:val="1166"/>
          <w:marRight w:val="0"/>
          <w:marTop w:val="115"/>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1241648">
      <w:bodyDiv w:val="1"/>
      <w:marLeft w:val="0"/>
      <w:marRight w:val="0"/>
      <w:marTop w:val="0"/>
      <w:marBottom w:val="0"/>
      <w:divBdr>
        <w:top w:val="none" w:sz="0" w:space="0" w:color="auto"/>
        <w:left w:val="none" w:sz="0" w:space="0" w:color="auto"/>
        <w:bottom w:val="none" w:sz="0" w:space="0" w:color="auto"/>
        <w:right w:val="none" w:sz="0" w:space="0" w:color="auto"/>
      </w:divBdr>
      <w:divsChild>
        <w:div w:id="550070505">
          <w:marLeft w:val="547"/>
          <w:marRight w:val="0"/>
          <w:marTop w:val="134"/>
          <w:marBottom w:val="0"/>
          <w:divBdr>
            <w:top w:val="none" w:sz="0" w:space="0" w:color="auto"/>
            <w:left w:val="none" w:sz="0" w:space="0" w:color="auto"/>
            <w:bottom w:val="none" w:sz="0" w:space="0" w:color="auto"/>
            <w:right w:val="none" w:sz="0" w:space="0" w:color="auto"/>
          </w:divBdr>
        </w:div>
        <w:div w:id="1131822634">
          <w:marLeft w:val="1166"/>
          <w:marRight w:val="0"/>
          <w:marTop w:val="115"/>
          <w:marBottom w:val="0"/>
          <w:divBdr>
            <w:top w:val="none" w:sz="0" w:space="0" w:color="auto"/>
            <w:left w:val="none" w:sz="0" w:space="0" w:color="auto"/>
            <w:bottom w:val="none" w:sz="0" w:space="0" w:color="auto"/>
            <w:right w:val="none" w:sz="0" w:space="0" w:color="auto"/>
          </w:divBdr>
        </w:div>
      </w:divsChild>
    </w:div>
    <w:div w:id="1569728671">
      <w:bodyDiv w:val="1"/>
      <w:marLeft w:val="0"/>
      <w:marRight w:val="0"/>
      <w:marTop w:val="0"/>
      <w:marBottom w:val="0"/>
      <w:divBdr>
        <w:top w:val="none" w:sz="0" w:space="0" w:color="auto"/>
        <w:left w:val="none" w:sz="0" w:space="0" w:color="auto"/>
        <w:bottom w:val="none" w:sz="0" w:space="0" w:color="auto"/>
        <w:right w:val="none" w:sz="0" w:space="0" w:color="auto"/>
      </w:divBdr>
    </w:div>
    <w:div w:id="1581210779">
      <w:bodyDiv w:val="1"/>
      <w:marLeft w:val="0"/>
      <w:marRight w:val="0"/>
      <w:marTop w:val="0"/>
      <w:marBottom w:val="0"/>
      <w:divBdr>
        <w:top w:val="none" w:sz="0" w:space="0" w:color="auto"/>
        <w:left w:val="none" w:sz="0" w:space="0" w:color="auto"/>
        <w:bottom w:val="none" w:sz="0" w:space="0" w:color="auto"/>
        <w:right w:val="none" w:sz="0" w:space="0" w:color="auto"/>
      </w:divBdr>
      <w:divsChild>
        <w:div w:id="951017399">
          <w:marLeft w:val="547"/>
          <w:marRight w:val="0"/>
          <w:marTop w:val="144"/>
          <w:marBottom w:val="0"/>
          <w:divBdr>
            <w:top w:val="none" w:sz="0" w:space="0" w:color="auto"/>
            <w:left w:val="none" w:sz="0" w:space="0" w:color="auto"/>
            <w:bottom w:val="none" w:sz="0" w:space="0" w:color="auto"/>
            <w:right w:val="none" w:sz="0" w:space="0" w:color="auto"/>
          </w:divBdr>
        </w:div>
        <w:div w:id="1310280017">
          <w:marLeft w:val="1166"/>
          <w:marRight w:val="0"/>
          <w:marTop w:val="125"/>
          <w:marBottom w:val="0"/>
          <w:divBdr>
            <w:top w:val="none" w:sz="0" w:space="0" w:color="auto"/>
            <w:left w:val="none" w:sz="0" w:space="0" w:color="auto"/>
            <w:bottom w:val="none" w:sz="0" w:space="0" w:color="auto"/>
            <w:right w:val="none" w:sz="0" w:space="0" w:color="auto"/>
          </w:divBdr>
        </w:div>
        <w:div w:id="1696418682">
          <w:marLeft w:val="1800"/>
          <w:marRight w:val="0"/>
          <w:marTop w:val="106"/>
          <w:marBottom w:val="0"/>
          <w:divBdr>
            <w:top w:val="none" w:sz="0" w:space="0" w:color="auto"/>
            <w:left w:val="none" w:sz="0" w:space="0" w:color="auto"/>
            <w:bottom w:val="none" w:sz="0" w:space="0" w:color="auto"/>
            <w:right w:val="none" w:sz="0" w:space="0" w:color="auto"/>
          </w:divBdr>
        </w:div>
        <w:div w:id="983852187">
          <w:marLeft w:val="1800"/>
          <w:marRight w:val="0"/>
          <w:marTop w:val="106"/>
          <w:marBottom w:val="0"/>
          <w:divBdr>
            <w:top w:val="none" w:sz="0" w:space="0" w:color="auto"/>
            <w:left w:val="none" w:sz="0" w:space="0" w:color="auto"/>
            <w:bottom w:val="none" w:sz="0" w:space="0" w:color="auto"/>
            <w:right w:val="none" w:sz="0" w:space="0" w:color="auto"/>
          </w:divBdr>
        </w:div>
        <w:div w:id="1414400985">
          <w:marLeft w:val="1166"/>
          <w:marRight w:val="0"/>
          <w:marTop w:val="125"/>
          <w:marBottom w:val="0"/>
          <w:divBdr>
            <w:top w:val="none" w:sz="0" w:space="0" w:color="auto"/>
            <w:left w:val="none" w:sz="0" w:space="0" w:color="auto"/>
            <w:bottom w:val="none" w:sz="0" w:space="0" w:color="auto"/>
            <w:right w:val="none" w:sz="0" w:space="0" w:color="auto"/>
          </w:divBdr>
        </w:div>
        <w:div w:id="1028457581">
          <w:marLeft w:val="1800"/>
          <w:marRight w:val="0"/>
          <w:marTop w:val="106"/>
          <w:marBottom w:val="0"/>
          <w:divBdr>
            <w:top w:val="none" w:sz="0" w:space="0" w:color="auto"/>
            <w:left w:val="none" w:sz="0" w:space="0" w:color="auto"/>
            <w:bottom w:val="none" w:sz="0" w:space="0" w:color="auto"/>
            <w:right w:val="none" w:sz="0" w:space="0" w:color="auto"/>
          </w:divBdr>
        </w:div>
        <w:div w:id="105466594">
          <w:marLeft w:val="1166"/>
          <w:marRight w:val="0"/>
          <w:marTop w:val="125"/>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0451572">
      <w:bodyDiv w:val="1"/>
      <w:marLeft w:val="0"/>
      <w:marRight w:val="0"/>
      <w:marTop w:val="0"/>
      <w:marBottom w:val="0"/>
      <w:divBdr>
        <w:top w:val="none" w:sz="0" w:space="0" w:color="auto"/>
        <w:left w:val="none" w:sz="0" w:space="0" w:color="auto"/>
        <w:bottom w:val="none" w:sz="0" w:space="0" w:color="auto"/>
        <w:right w:val="none" w:sz="0" w:space="0" w:color="auto"/>
      </w:divBdr>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36511983">
      <w:bodyDiv w:val="1"/>
      <w:marLeft w:val="0"/>
      <w:marRight w:val="0"/>
      <w:marTop w:val="0"/>
      <w:marBottom w:val="0"/>
      <w:divBdr>
        <w:top w:val="none" w:sz="0" w:space="0" w:color="auto"/>
        <w:left w:val="none" w:sz="0" w:space="0" w:color="auto"/>
        <w:bottom w:val="none" w:sz="0" w:space="0" w:color="auto"/>
        <w:right w:val="none" w:sz="0" w:space="0" w:color="auto"/>
      </w:divBdr>
      <w:divsChild>
        <w:div w:id="1546719859">
          <w:marLeft w:val="547"/>
          <w:marRight w:val="0"/>
          <w:marTop w:val="134"/>
          <w:marBottom w:val="0"/>
          <w:divBdr>
            <w:top w:val="none" w:sz="0" w:space="0" w:color="auto"/>
            <w:left w:val="none" w:sz="0" w:space="0" w:color="auto"/>
            <w:bottom w:val="none" w:sz="0" w:space="0" w:color="auto"/>
            <w:right w:val="none" w:sz="0" w:space="0" w:color="auto"/>
          </w:divBdr>
        </w:div>
        <w:div w:id="434519346">
          <w:marLeft w:val="1166"/>
          <w:marRight w:val="0"/>
          <w:marTop w:val="134"/>
          <w:marBottom w:val="0"/>
          <w:divBdr>
            <w:top w:val="none" w:sz="0" w:space="0" w:color="auto"/>
            <w:left w:val="none" w:sz="0" w:space="0" w:color="auto"/>
            <w:bottom w:val="none" w:sz="0" w:space="0" w:color="auto"/>
            <w:right w:val="none" w:sz="0" w:space="0" w:color="auto"/>
          </w:divBdr>
        </w:div>
        <w:div w:id="863981101">
          <w:marLeft w:val="547"/>
          <w:marRight w:val="0"/>
          <w:marTop w:val="134"/>
          <w:marBottom w:val="0"/>
          <w:divBdr>
            <w:top w:val="none" w:sz="0" w:space="0" w:color="auto"/>
            <w:left w:val="none" w:sz="0" w:space="0" w:color="auto"/>
            <w:bottom w:val="none" w:sz="0" w:space="0" w:color="auto"/>
            <w:right w:val="none" w:sz="0" w:space="0" w:color="auto"/>
          </w:divBdr>
        </w:div>
        <w:div w:id="391926157">
          <w:marLeft w:val="1166"/>
          <w:marRight w:val="0"/>
          <w:marTop w:val="134"/>
          <w:marBottom w:val="0"/>
          <w:divBdr>
            <w:top w:val="none" w:sz="0" w:space="0" w:color="auto"/>
            <w:left w:val="none" w:sz="0" w:space="0" w:color="auto"/>
            <w:bottom w:val="none" w:sz="0" w:space="0" w:color="auto"/>
            <w:right w:val="none" w:sz="0" w:space="0" w:color="auto"/>
          </w:divBdr>
        </w:div>
        <w:div w:id="1959602049">
          <w:marLeft w:val="1166"/>
          <w:marRight w:val="0"/>
          <w:marTop w:val="134"/>
          <w:marBottom w:val="0"/>
          <w:divBdr>
            <w:top w:val="none" w:sz="0" w:space="0" w:color="auto"/>
            <w:left w:val="none" w:sz="0" w:space="0" w:color="auto"/>
            <w:bottom w:val="none" w:sz="0" w:space="0" w:color="auto"/>
            <w:right w:val="none" w:sz="0" w:space="0" w:color="auto"/>
          </w:divBdr>
        </w:div>
        <w:div w:id="115682488">
          <w:marLeft w:val="1800"/>
          <w:marRight w:val="0"/>
          <w:marTop w:val="134"/>
          <w:marBottom w:val="0"/>
          <w:divBdr>
            <w:top w:val="none" w:sz="0" w:space="0" w:color="auto"/>
            <w:left w:val="none" w:sz="0" w:space="0" w:color="auto"/>
            <w:bottom w:val="none" w:sz="0" w:space="0" w:color="auto"/>
            <w:right w:val="none" w:sz="0" w:space="0" w:color="auto"/>
          </w:divBdr>
        </w:div>
        <w:div w:id="1381248973">
          <w:marLeft w:val="1800"/>
          <w:marRight w:val="0"/>
          <w:marTop w:val="134"/>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0777636">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1424605">
      <w:bodyDiv w:val="1"/>
      <w:marLeft w:val="0"/>
      <w:marRight w:val="0"/>
      <w:marTop w:val="0"/>
      <w:marBottom w:val="0"/>
      <w:divBdr>
        <w:top w:val="none" w:sz="0" w:space="0" w:color="auto"/>
        <w:left w:val="none" w:sz="0" w:space="0" w:color="auto"/>
        <w:bottom w:val="none" w:sz="0" w:space="0" w:color="auto"/>
        <w:right w:val="none" w:sz="0" w:space="0" w:color="auto"/>
      </w:divBdr>
      <w:divsChild>
        <w:div w:id="1687050328">
          <w:marLeft w:val="547"/>
          <w:marRight w:val="0"/>
          <w:marTop w:val="120"/>
          <w:marBottom w:val="0"/>
          <w:divBdr>
            <w:top w:val="none" w:sz="0" w:space="0" w:color="auto"/>
            <w:left w:val="none" w:sz="0" w:space="0" w:color="auto"/>
            <w:bottom w:val="none" w:sz="0" w:space="0" w:color="auto"/>
            <w:right w:val="none" w:sz="0" w:space="0" w:color="auto"/>
          </w:divBdr>
        </w:div>
        <w:div w:id="1770395739">
          <w:marLeft w:val="1166"/>
          <w:marRight w:val="0"/>
          <w:marTop w:val="106"/>
          <w:marBottom w:val="0"/>
          <w:divBdr>
            <w:top w:val="none" w:sz="0" w:space="0" w:color="auto"/>
            <w:left w:val="none" w:sz="0" w:space="0" w:color="auto"/>
            <w:bottom w:val="none" w:sz="0" w:space="0" w:color="auto"/>
            <w:right w:val="none" w:sz="0" w:space="0" w:color="auto"/>
          </w:divBdr>
        </w:div>
        <w:div w:id="391273562">
          <w:marLeft w:val="547"/>
          <w:marRight w:val="0"/>
          <w:marTop w:val="120"/>
          <w:marBottom w:val="0"/>
          <w:divBdr>
            <w:top w:val="none" w:sz="0" w:space="0" w:color="auto"/>
            <w:left w:val="none" w:sz="0" w:space="0" w:color="auto"/>
            <w:bottom w:val="none" w:sz="0" w:space="0" w:color="auto"/>
            <w:right w:val="none" w:sz="0" w:space="0" w:color="auto"/>
          </w:divBdr>
        </w:div>
        <w:div w:id="340090111">
          <w:marLeft w:val="1166"/>
          <w:marRight w:val="0"/>
          <w:marTop w:val="106"/>
          <w:marBottom w:val="0"/>
          <w:divBdr>
            <w:top w:val="none" w:sz="0" w:space="0" w:color="auto"/>
            <w:left w:val="none" w:sz="0" w:space="0" w:color="auto"/>
            <w:bottom w:val="none" w:sz="0" w:space="0" w:color="auto"/>
            <w:right w:val="none" w:sz="0" w:space="0" w:color="auto"/>
          </w:divBdr>
        </w:div>
        <w:div w:id="1371106659">
          <w:marLeft w:val="1166"/>
          <w:marRight w:val="0"/>
          <w:marTop w:val="106"/>
          <w:marBottom w:val="0"/>
          <w:divBdr>
            <w:top w:val="none" w:sz="0" w:space="0" w:color="auto"/>
            <w:left w:val="none" w:sz="0" w:space="0" w:color="auto"/>
            <w:bottom w:val="none" w:sz="0" w:space="0" w:color="auto"/>
            <w:right w:val="none" w:sz="0" w:space="0" w:color="auto"/>
          </w:divBdr>
        </w:div>
        <w:div w:id="133330885">
          <w:marLeft w:val="1800"/>
          <w:marRight w:val="0"/>
          <w:marTop w:val="91"/>
          <w:marBottom w:val="0"/>
          <w:divBdr>
            <w:top w:val="none" w:sz="0" w:space="0" w:color="auto"/>
            <w:left w:val="none" w:sz="0" w:space="0" w:color="auto"/>
            <w:bottom w:val="none" w:sz="0" w:space="0" w:color="auto"/>
            <w:right w:val="none" w:sz="0" w:space="0" w:color="auto"/>
          </w:divBdr>
        </w:div>
        <w:div w:id="1767530874">
          <w:marLeft w:val="1800"/>
          <w:marRight w:val="0"/>
          <w:marTop w:val="91"/>
          <w:marBottom w:val="0"/>
          <w:divBdr>
            <w:top w:val="none" w:sz="0" w:space="0" w:color="auto"/>
            <w:left w:val="none" w:sz="0" w:space="0" w:color="auto"/>
            <w:bottom w:val="none" w:sz="0" w:space="0" w:color="auto"/>
            <w:right w:val="none" w:sz="0" w:space="0" w:color="auto"/>
          </w:divBdr>
        </w:div>
        <w:div w:id="50540854">
          <w:marLeft w:val="1166"/>
          <w:marRight w:val="0"/>
          <w:marTop w:val="106"/>
          <w:marBottom w:val="0"/>
          <w:divBdr>
            <w:top w:val="none" w:sz="0" w:space="0" w:color="auto"/>
            <w:left w:val="none" w:sz="0" w:space="0" w:color="auto"/>
            <w:bottom w:val="none" w:sz="0" w:space="0" w:color="auto"/>
            <w:right w:val="none" w:sz="0" w:space="0" w:color="auto"/>
          </w:divBdr>
        </w:div>
        <w:div w:id="1251545482">
          <w:marLeft w:val="1166"/>
          <w:marRight w:val="0"/>
          <w:marTop w:val="106"/>
          <w:marBottom w:val="0"/>
          <w:divBdr>
            <w:top w:val="none" w:sz="0" w:space="0" w:color="auto"/>
            <w:left w:val="none" w:sz="0" w:space="0" w:color="auto"/>
            <w:bottom w:val="none" w:sz="0" w:space="0" w:color="auto"/>
            <w:right w:val="none" w:sz="0" w:space="0" w:color="auto"/>
          </w:divBdr>
        </w:div>
        <w:div w:id="158154034">
          <w:marLeft w:val="547"/>
          <w:marRight w:val="0"/>
          <w:marTop w:val="120"/>
          <w:marBottom w:val="0"/>
          <w:divBdr>
            <w:top w:val="none" w:sz="0" w:space="0" w:color="auto"/>
            <w:left w:val="none" w:sz="0" w:space="0" w:color="auto"/>
            <w:bottom w:val="none" w:sz="0" w:space="0" w:color="auto"/>
            <w:right w:val="none" w:sz="0" w:space="0" w:color="auto"/>
          </w:divBdr>
        </w:div>
        <w:div w:id="853425393">
          <w:marLeft w:val="547"/>
          <w:marRight w:val="0"/>
          <w:marTop w:val="120"/>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05039719">
      <w:bodyDiv w:val="1"/>
      <w:marLeft w:val="0"/>
      <w:marRight w:val="0"/>
      <w:marTop w:val="0"/>
      <w:marBottom w:val="0"/>
      <w:divBdr>
        <w:top w:val="none" w:sz="0" w:space="0" w:color="auto"/>
        <w:left w:val="none" w:sz="0" w:space="0" w:color="auto"/>
        <w:bottom w:val="none" w:sz="0" w:space="0" w:color="auto"/>
        <w:right w:val="none" w:sz="0" w:space="0" w:color="auto"/>
      </w:divBdr>
      <w:divsChild>
        <w:div w:id="1236627046">
          <w:marLeft w:val="547"/>
          <w:marRight w:val="0"/>
          <w:marTop w:val="91"/>
          <w:marBottom w:val="0"/>
          <w:divBdr>
            <w:top w:val="none" w:sz="0" w:space="0" w:color="auto"/>
            <w:left w:val="none" w:sz="0" w:space="0" w:color="auto"/>
            <w:bottom w:val="none" w:sz="0" w:space="0" w:color="auto"/>
            <w:right w:val="none" w:sz="0" w:space="0" w:color="auto"/>
          </w:divBdr>
        </w:div>
        <w:div w:id="389546521">
          <w:marLeft w:val="1166"/>
          <w:marRight w:val="0"/>
          <w:marTop w:val="72"/>
          <w:marBottom w:val="0"/>
          <w:divBdr>
            <w:top w:val="none" w:sz="0" w:space="0" w:color="auto"/>
            <w:left w:val="none" w:sz="0" w:space="0" w:color="auto"/>
            <w:bottom w:val="none" w:sz="0" w:space="0" w:color="auto"/>
            <w:right w:val="none" w:sz="0" w:space="0" w:color="auto"/>
          </w:divBdr>
        </w:div>
        <w:div w:id="1365181237">
          <w:marLeft w:val="1800"/>
          <w:marRight w:val="0"/>
          <w:marTop w:val="62"/>
          <w:marBottom w:val="0"/>
          <w:divBdr>
            <w:top w:val="none" w:sz="0" w:space="0" w:color="auto"/>
            <w:left w:val="none" w:sz="0" w:space="0" w:color="auto"/>
            <w:bottom w:val="none" w:sz="0" w:space="0" w:color="auto"/>
            <w:right w:val="none" w:sz="0" w:space="0" w:color="auto"/>
          </w:divBdr>
        </w:div>
        <w:div w:id="1036195716">
          <w:marLeft w:val="1800"/>
          <w:marRight w:val="0"/>
          <w:marTop w:val="62"/>
          <w:marBottom w:val="0"/>
          <w:divBdr>
            <w:top w:val="none" w:sz="0" w:space="0" w:color="auto"/>
            <w:left w:val="none" w:sz="0" w:space="0" w:color="auto"/>
            <w:bottom w:val="none" w:sz="0" w:space="0" w:color="auto"/>
            <w:right w:val="none" w:sz="0" w:space="0" w:color="auto"/>
          </w:divBdr>
        </w:div>
        <w:div w:id="1449154436">
          <w:marLeft w:val="1166"/>
          <w:marRight w:val="0"/>
          <w:marTop w:val="72"/>
          <w:marBottom w:val="0"/>
          <w:divBdr>
            <w:top w:val="none" w:sz="0" w:space="0" w:color="auto"/>
            <w:left w:val="none" w:sz="0" w:space="0" w:color="auto"/>
            <w:bottom w:val="none" w:sz="0" w:space="0" w:color="auto"/>
            <w:right w:val="none" w:sz="0" w:space="0" w:color="auto"/>
          </w:divBdr>
        </w:div>
        <w:div w:id="1777405845">
          <w:marLeft w:val="1800"/>
          <w:marRight w:val="0"/>
          <w:marTop w:val="62"/>
          <w:marBottom w:val="0"/>
          <w:divBdr>
            <w:top w:val="none" w:sz="0" w:space="0" w:color="auto"/>
            <w:left w:val="none" w:sz="0" w:space="0" w:color="auto"/>
            <w:bottom w:val="none" w:sz="0" w:space="0" w:color="auto"/>
            <w:right w:val="none" w:sz="0" w:space="0" w:color="auto"/>
          </w:divBdr>
        </w:div>
        <w:div w:id="1747874648">
          <w:marLeft w:val="1800"/>
          <w:marRight w:val="0"/>
          <w:marTop w:val="62"/>
          <w:marBottom w:val="0"/>
          <w:divBdr>
            <w:top w:val="none" w:sz="0" w:space="0" w:color="auto"/>
            <w:left w:val="none" w:sz="0" w:space="0" w:color="auto"/>
            <w:bottom w:val="none" w:sz="0" w:space="0" w:color="auto"/>
            <w:right w:val="none" w:sz="0" w:space="0" w:color="auto"/>
          </w:divBdr>
        </w:div>
        <w:div w:id="1084956543">
          <w:marLeft w:val="1800"/>
          <w:marRight w:val="0"/>
          <w:marTop w:val="62"/>
          <w:marBottom w:val="0"/>
          <w:divBdr>
            <w:top w:val="none" w:sz="0" w:space="0" w:color="auto"/>
            <w:left w:val="none" w:sz="0" w:space="0" w:color="auto"/>
            <w:bottom w:val="none" w:sz="0" w:space="0" w:color="auto"/>
            <w:right w:val="none" w:sz="0" w:space="0" w:color="auto"/>
          </w:divBdr>
        </w:div>
        <w:div w:id="652950768">
          <w:marLeft w:val="1166"/>
          <w:marRight w:val="0"/>
          <w:marTop w:val="72"/>
          <w:marBottom w:val="0"/>
          <w:divBdr>
            <w:top w:val="none" w:sz="0" w:space="0" w:color="auto"/>
            <w:left w:val="none" w:sz="0" w:space="0" w:color="auto"/>
            <w:bottom w:val="none" w:sz="0" w:space="0" w:color="auto"/>
            <w:right w:val="none" w:sz="0" w:space="0" w:color="auto"/>
          </w:divBdr>
        </w:div>
        <w:div w:id="329723959">
          <w:marLeft w:val="1800"/>
          <w:marRight w:val="0"/>
          <w:marTop w:val="62"/>
          <w:marBottom w:val="0"/>
          <w:divBdr>
            <w:top w:val="none" w:sz="0" w:space="0" w:color="auto"/>
            <w:left w:val="none" w:sz="0" w:space="0" w:color="auto"/>
            <w:bottom w:val="none" w:sz="0" w:space="0" w:color="auto"/>
            <w:right w:val="none" w:sz="0" w:space="0" w:color="auto"/>
          </w:divBdr>
        </w:div>
        <w:div w:id="184708226">
          <w:marLeft w:val="1166"/>
          <w:marRight w:val="0"/>
          <w:marTop w:val="72"/>
          <w:marBottom w:val="0"/>
          <w:divBdr>
            <w:top w:val="none" w:sz="0" w:space="0" w:color="auto"/>
            <w:left w:val="none" w:sz="0" w:space="0" w:color="auto"/>
            <w:bottom w:val="none" w:sz="0" w:space="0" w:color="auto"/>
            <w:right w:val="none" w:sz="0" w:space="0" w:color="auto"/>
          </w:divBdr>
        </w:div>
        <w:div w:id="1523713651">
          <w:marLeft w:val="1800"/>
          <w:marRight w:val="0"/>
          <w:marTop w:val="62"/>
          <w:marBottom w:val="0"/>
          <w:divBdr>
            <w:top w:val="none" w:sz="0" w:space="0" w:color="auto"/>
            <w:left w:val="none" w:sz="0" w:space="0" w:color="auto"/>
            <w:bottom w:val="none" w:sz="0" w:space="0" w:color="auto"/>
            <w:right w:val="none" w:sz="0" w:space="0" w:color="auto"/>
          </w:divBdr>
        </w:div>
      </w:divsChild>
    </w:div>
    <w:div w:id="2012638587">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1612</Words>
  <Characters>9194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10785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2023-08-11T20:01:00Z</dcterms:created>
  <dcterms:modified xsi:type="dcterms:W3CDTF">2023-08-11T20:01:00Z</dcterms:modified>
</cp:coreProperties>
</file>