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C819A" w14:textId="6752E43D" w:rsidR="00FB2495" w:rsidRPr="00E13F75" w:rsidRDefault="00FB2495" w:rsidP="00FB2495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>R4-2</w:t>
      </w:r>
      <w:r>
        <w:rPr>
          <w:rFonts w:ascii="Arial" w:hAnsi="Arial" w:cs="Arial"/>
          <w:b/>
          <w:sz w:val="24"/>
          <w:szCs w:val="24"/>
        </w:rPr>
        <w:t>3</w:t>
      </w:r>
      <w:r w:rsidR="00E33C06">
        <w:rPr>
          <w:rFonts w:ascii="Arial" w:hAnsi="Arial" w:cs="Arial"/>
          <w:b/>
          <w:sz w:val="24"/>
          <w:szCs w:val="24"/>
        </w:rPr>
        <w:t>11435</w:t>
      </w:r>
    </w:p>
    <w:p w14:paraId="0194D042" w14:textId="77777777" w:rsidR="00FB2495" w:rsidRPr="00E13F75" w:rsidRDefault="00FB2495" w:rsidP="00FB2495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Toulouse, France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August 21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August 25</w:t>
      </w:r>
      <w:r w:rsidRPr="00E13633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3</w:t>
      </w:r>
    </w:p>
    <w:p w14:paraId="45062940" w14:textId="77777777" w:rsidR="00FB2495" w:rsidRPr="00EA540E" w:rsidRDefault="00FB2495" w:rsidP="00FB2495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18695BB6" w14:textId="632FE9FC" w:rsidR="00FB2495" w:rsidRPr="00E13F75" w:rsidRDefault="00FB2495" w:rsidP="00FB2495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8</w:t>
      </w:r>
      <w:r w:rsidRPr="00DC26D7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29</w:t>
      </w:r>
      <w:r w:rsidRPr="00DC26D7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3.3</w:t>
      </w:r>
    </w:p>
    <w:p w14:paraId="1CF023CB" w14:textId="77777777" w:rsidR="00FB2495" w:rsidRPr="00E13F75" w:rsidRDefault="00FB2495" w:rsidP="00FB2495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399F1F2" w14:textId="35E9203F" w:rsidR="00FB2495" w:rsidRPr="00E13F75" w:rsidRDefault="00FB2495" w:rsidP="00FB2495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Pr="004A3589">
        <w:rPr>
          <w:rFonts w:ascii="Arial" w:hAnsi="Arial" w:cs="Arial"/>
          <w:sz w:val="24"/>
          <w:szCs w:val="24"/>
        </w:rPr>
        <w:t xml:space="preserve">Further </w:t>
      </w:r>
      <w:r>
        <w:rPr>
          <w:rFonts w:ascii="Arial" w:hAnsi="Arial" w:cs="Arial"/>
          <w:sz w:val="24"/>
          <w:szCs w:val="24"/>
        </w:rPr>
        <w:t>d</w:t>
      </w:r>
      <w:r w:rsidRPr="00FB2495">
        <w:rPr>
          <w:rFonts w:ascii="Arial" w:hAnsi="Arial" w:cs="Arial"/>
          <w:sz w:val="24"/>
          <w:szCs w:val="24"/>
        </w:rPr>
        <w:t>iscussion on enhanced unified TCI framework in Rel-18 MIMO evolution</w:t>
      </w:r>
    </w:p>
    <w:p w14:paraId="03E3AA88" w14:textId="77777777" w:rsidR="00FB2495" w:rsidRPr="00E13F75" w:rsidRDefault="00FB2495" w:rsidP="00FB2495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5011E02C" w14:textId="77777777" w:rsidR="00FB2495" w:rsidRDefault="00FB2495" w:rsidP="00FB2495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11B960EA" w14:textId="27E6999B" w:rsidR="00982C80" w:rsidRPr="00982C80" w:rsidRDefault="00982C80" w:rsidP="00982C80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82C80">
        <w:rPr>
          <w:rFonts w:ascii="Times New Roman" w:eastAsia="宋体" w:hAnsi="Times New Roman" w:cs="Times New Roman"/>
          <w:sz w:val="20"/>
          <w:szCs w:val="20"/>
        </w:rPr>
        <w:t xml:space="preserve">In previous RAN4 meetings, we discussed the RRM </w:t>
      </w:r>
      <w:r>
        <w:rPr>
          <w:rFonts w:ascii="Times New Roman" w:eastAsia="宋体" w:hAnsi="Times New Roman" w:cs="Times New Roman"/>
          <w:sz w:val="20"/>
          <w:szCs w:val="20"/>
        </w:rPr>
        <w:t>requirements of</w:t>
      </w:r>
      <w:r w:rsidRPr="00982C80">
        <w:rPr>
          <w:rFonts w:ascii="Times New Roman" w:eastAsia="宋体" w:hAnsi="Times New Roman" w:cs="Times New Roman"/>
          <w:sz w:val="20"/>
          <w:szCs w:val="20"/>
        </w:rPr>
        <w:t xml:space="preserve"> enhanced unified TCI framework</w:t>
      </w:r>
      <w:r>
        <w:rPr>
          <w:rFonts w:ascii="Times New Roman" w:eastAsia="宋体" w:hAnsi="Times New Roman" w:cs="Times New Roman"/>
          <w:sz w:val="20"/>
          <w:szCs w:val="20"/>
        </w:rPr>
        <w:t>. T</w:t>
      </w:r>
      <w:r w:rsidRPr="00982C80">
        <w:rPr>
          <w:rFonts w:ascii="Times New Roman" w:eastAsia="宋体" w:hAnsi="Times New Roman" w:cs="Times New Roman"/>
          <w:sz w:val="20"/>
          <w:szCs w:val="20"/>
        </w:rPr>
        <w:t xml:space="preserve">here are still FFS in </w:t>
      </w:r>
      <w:r>
        <w:rPr>
          <w:rFonts w:ascii="Times New Roman" w:eastAsia="宋体" w:hAnsi="Times New Roman" w:cs="Times New Roman"/>
          <w:sz w:val="20"/>
          <w:szCs w:val="20"/>
        </w:rPr>
        <w:t>detailed</w:t>
      </w:r>
      <w:r w:rsidRPr="00982C80">
        <w:rPr>
          <w:rFonts w:ascii="Times New Roman" w:eastAsia="宋体" w:hAnsi="Times New Roman" w:cs="Times New Roman"/>
          <w:sz w:val="20"/>
          <w:szCs w:val="20"/>
        </w:rPr>
        <w:t xml:space="preserve"> requirements.</w:t>
      </w:r>
    </w:p>
    <w:p w14:paraId="018530F4" w14:textId="16629DD3" w:rsidR="00FB2495" w:rsidRPr="00A971AB" w:rsidRDefault="00982C80" w:rsidP="00982C80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82C80">
        <w:rPr>
          <w:rFonts w:ascii="Times New Roman" w:eastAsia="宋体" w:hAnsi="Times New Roman" w:cs="Times New Roman"/>
          <w:sz w:val="20"/>
          <w:szCs w:val="20"/>
        </w:rPr>
        <w:t xml:space="preserve">In this contribution, we continue to discuss </w:t>
      </w:r>
      <w:r>
        <w:rPr>
          <w:rFonts w:ascii="Times New Roman" w:eastAsia="宋体" w:hAnsi="Times New Roman" w:cs="Times New Roman"/>
          <w:sz w:val="20"/>
          <w:szCs w:val="20"/>
        </w:rPr>
        <w:t xml:space="preserve">how to define such RRM requirements. </w:t>
      </w:r>
    </w:p>
    <w:p w14:paraId="20FDC0FD" w14:textId="57921D55" w:rsidR="00FB2495" w:rsidRDefault="00FB2495" w:rsidP="00FB2495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1B7C2989" w14:textId="38E6D711" w:rsidR="000313F2" w:rsidRPr="00D03231" w:rsidRDefault="00D03231" w:rsidP="000313F2">
      <w:pPr>
        <w:rPr>
          <w:rFonts w:ascii="Times New Roman" w:hAnsi="Times New Roman" w:cs="Times New Roman"/>
          <w:sz w:val="20"/>
          <w:szCs w:val="20"/>
        </w:rPr>
      </w:pPr>
      <w:r w:rsidRPr="00D03231">
        <w:rPr>
          <w:rFonts w:ascii="Times New Roman" w:hAnsi="Times New Roman" w:cs="Times New Roman"/>
          <w:sz w:val="20"/>
          <w:szCs w:val="20"/>
        </w:rPr>
        <w:t>In previous meeting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D03231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some general rules are agreed. However, how to specify the TCI state switching </w:t>
      </w:r>
      <w:proofErr w:type="spellStart"/>
      <w:r>
        <w:rPr>
          <w:rFonts w:ascii="Times New Roman" w:hAnsi="Times New Roman" w:cs="Times New Roman"/>
          <w:sz w:val="20"/>
          <w:szCs w:val="20"/>
        </w:rPr>
        <w:t>requiements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for extension of unified TCI framework, there is still no consensus. As listed in WF [1] in last RAN4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13F2" w14:paraId="6EB38419" w14:textId="77777777" w:rsidTr="000313F2">
        <w:tc>
          <w:tcPr>
            <w:tcW w:w="9629" w:type="dxa"/>
          </w:tcPr>
          <w:p w14:paraId="77DFACEA" w14:textId="77777777" w:rsidR="000313F2" w:rsidRPr="00823A1E" w:rsidRDefault="000313F2" w:rsidP="000313F2">
            <w:pPr>
              <w:rPr>
                <w:b/>
                <w:u w:val="single"/>
                <w:lang w:eastAsia="ko-KR"/>
              </w:rPr>
            </w:pPr>
            <w:r w:rsidRPr="00823A1E">
              <w:rPr>
                <w:b/>
                <w:u w:val="single"/>
                <w:lang w:eastAsia="ko-KR"/>
              </w:rPr>
              <w:t>Issue 3-1-6: Whether/</w:t>
            </w:r>
            <w:r w:rsidRPr="00823A1E">
              <w:rPr>
                <w:rFonts w:hint="eastAsia"/>
                <w:b/>
                <w:u w:val="single"/>
              </w:rPr>
              <w:t>How</w:t>
            </w:r>
            <w:r w:rsidRPr="00823A1E">
              <w:rPr>
                <w:b/>
                <w:u w:val="single"/>
                <w:lang w:eastAsia="ko-KR"/>
              </w:rPr>
              <w:t xml:space="preserve"> to specify TCI state switching requirements for </w:t>
            </w:r>
            <w:proofErr w:type="spellStart"/>
            <w:r w:rsidRPr="00823A1E">
              <w:rPr>
                <w:b/>
                <w:u w:val="single"/>
                <w:lang w:eastAsia="ko-KR"/>
              </w:rPr>
              <w:t>eUTCI</w:t>
            </w:r>
            <w:proofErr w:type="spellEnd"/>
            <w:r w:rsidRPr="00823A1E">
              <w:rPr>
                <w:b/>
                <w:u w:val="single"/>
                <w:lang w:eastAsia="ko-KR"/>
              </w:rPr>
              <w:t>?</w:t>
            </w:r>
          </w:p>
          <w:p w14:paraId="5AF97455" w14:textId="77777777" w:rsidR="000313F2" w:rsidRPr="00823A1E" w:rsidRDefault="000313F2" w:rsidP="000313F2">
            <w:pPr>
              <w:pStyle w:val="a8"/>
              <w:widowControl/>
              <w:numPr>
                <w:ilvl w:val="0"/>
                <w:numId w:val="12"/>
              </w:numPr>
              <w:spacing w:after="120"/>
              <w:ind w:firstLineChars="0"/>
              <w:jc w:val="left"/>
              <w:rPr>
                <w:bCs/>
                <w:szCs w:val="24"/>
              </w:rPr>
            </w:pPr>
            <w:r w:rsidRPr="00823A1E">
              <w:rPr>
                <w:rFonts w:hint="eastAsia"/>
                <w:bCs/>
                <w:szCs w:val="24"/>
              </w:rPr>
              <w:t>RAN</w:t>
            </w:r>
            <w:r w:rsidRPr="00823A1E">
              <w:rPr>
                <w:bCs/>
                <w:szCs w:val="24"/>
              </w:rPr>
              <w:t>4 to discuss:</w:t>
            </w:r>
          </w:p>
          <w:p w14:paraId="2EF0CD4D" w14:textId="77777777" w:rsidR="000313F2" w:rsidRPr="00823A1E" w:rsidRDefault="000313F2" w:rsidP="000313F2">
            <w:pPr>
              <w:pStyle w:val="a8"/>
              <w:widowControl/>
              <w:numPr>
                <w:ilvl w:val="1"/>
                <w:numId w:val="12"/>
              </w:numPr>
              <w:spacing w:after="120"/>
              <w:ind w:firstLineChars="0"/>
              <w:jc w:val="left"/>
              <w:rPr>
                <w:bCs/>
                <w:szCs w:val="24"/>
              </w:rPr>
            </w:pPr>
            <w:r w:rsidRPr="00823A1E">
              <w:rPr>
                <w:bCs/>
                <w:szCs w:val="24"/>
              </w:rPr>
              <w:t xml:space="preserve">For </w:t>
            </w:r>
            <w:proofErr w:type="spellStart"/>
            <w:r w:rsidRPr="00823A1E">
              <w:rPr>
                <w:bCs/>
                <w:szCs w:val="24"/>
              </w:rPr>
              <w:t>mDCI</w:t>
            </w:r>
            <w:proofErr w:type="spellEnd"/>
            <w:r w:rsidRPr="00823A1E">
              <w:rPr>
                <w:bCs/>
                <w:szCs w:val="24"/>
              </w:rPr>
              <w:t xml:space="preserve"> based </w:t>
            </w:r>
            <w:proofErr w:type="spellStart"/>
            <w:r w:rsidRPr="00823A1E">
              <w:rPr>
                <w:bCs/>
                <w:szCs w:val="24"/>
              </w:rPr>
              <w:t>mTRP</w:t>
            </w:r>
            <w:proofErr w:type="spellEnd"/>
            <w:r w:rsidRPr="00823A1E">
              <w:rPr>
                <w:bCs/>
                <w:szCs w:val="24"/>
              </w:rPr>
              <w:t>:</w:t>
            </w:r>
          </w:p>
          <w:p w14:paraId="6700D671" w14:textId="77777777" w:rsidR="000313F2" w:rsidRPr="00823A1E" w:rsidRDefault="000313F2" w:rsidP="000313F2">
            <w:pPr>
              <w:pStyle w:val="a8"/>
              <w:widowControl/>
              <w:numPr>
                <w:ilvl w:val="2"/>
                <w:numId w:val="12"/>
              </w:numPr>
              <w:spacing w:after="120"/>
              <w:ind w:firstLineChars="0"/>
              <w:jc w:val="left"/>
              <w:rPr>
                <w:bCs/>
                <w:szCs w:val="24"/>
              </w:rPr>
            </w:pPr>
            <w:r w:rsidRPr="00823A1E">
              <w:rPr>
                <w:bCs/>
                <w:szCs w:val="24"/>
              </w:rPr>
              <w:t xml:space="preserve">FFS: For UE not support two TAs, for each TRP joint/DL/UL TCI states, R17 Active downlink/uplink TCI state switching delay for unified TCI requirements can be reused by association to </w:t>
            </w:r>
            <w:proofErr w:type="spellStart"/>
            <w:r w:rsidRPr="00823A1E">
              <w:rPr>
                <w:bCs/>
                <w:szCs w:val="24"/>
              </w:rPr>
              <w:t>corestPoolIndex</w:t>
            </w:r>
            <w:proofErr w:type="spellEnd"/>
            <w:r w:rsidRPr="00823A1E">
              <w:rPr>
                <w:bCs/>
                <w:szCs w:val="24"/>
              </w:rPr>
              <w:t>.</w:t>
            </w:r>
          </w:p>
          <w:p w14:paraId="262F943B" w14:textId="77777777" w:rsidR="000313F2" w:rsidRPr="00823A1E" w:rsidRDefault="000313F2" w:rsidP="000313F2">
            <w:pPr>
              <w:pStyle w:val="a8"/>
              <w:widowControl/>
              <w:numPr>
                <w:ilvl w:val="2"/>
                <w:numId w:val="12"/>
              </w:numPr>
              <w:spacing w:after="120"/>
              <w:ind w:firstLineChars="0"/>
              <w:jc w:val="left"/>
              <w:rPr>
                <w:bCs/>
                <w:szCs w:val="24"/>
              </w:rPr>
            </w:pPr>
            <w:r w:rsidRPr="00823A1E">
              <w:rPr>
                <w:rFonts w:hint="eastAsia"/>
                <w:bCs/>
                <w:szCs w:val="24"/>
              </w:rPr>
              <w:t>F</w:t>
            </w:r>
            <w:r w:rsidRPr="00823A1E">
              <w:rPr>
                <w:bCs/>
                <w:szCs w:val="24"/>
              </w:rPr>
              <w:t>FS on the known condition and UE track timing/frequency from different TRPs if two TAs</w:t>
            </w:r>
          </w:p>
          <w:p w14:paraId="0A56537C" w14:textId="77777777" w:rsidR="000313F2" w:rsidRPr="00823A1E" w:rsidRDefault="000313F2" w:rsidP="000313F2">
            <w:pPr>
              <w:pStyle w:val="a8"/>
              <w:widowControl/>
              <w:numPr>
                <w:ilvl w:val="1"/>
                <w:numId w:val="12"/>
              </w:numPr>
              <w:spacing w:after="120"/>
              <w:ind w:firstLineChars="0"/>
              <w:jc w:val="left"/>
              <w:rPr>
                <w:bCs/>
                <w:szCs w:val="24"/>
              </w:rPr>
            </w:pPr>
            <w:r w:rsidRPr="00823A1E">
              <w:rPr>
                <w:bCs/>
                <w:szCs w:val="24"/>
              </w:rPr>
              <w:t xml:space="preserve">For </w:t>
            </w:r>
            <w:proofErr w:type="spellStart"/>
            <w:r w:rsidRPr="00823A1E">
              <w:rPr>
                <w:bCs/>
                <w:szCs w:val="24"/>
              </w:rPr>
              <w:t>sDCI</w:t>
            </w:r>
            <w:proofErr w:type="spellEnd"/>
            <w:r w:rsidRPr="00823A1E">
              <w:rPr>
                <w:bCs/>
                <w:szCs w:val="24"/>
              </w:rPr>
              <w:t xml:space="preserve"> based </w:t>
            </w:r>
            <w:proofErr w:type="spellStart"/>
            <w:r w:rsidRPr="00823A1E">
              <w:rPr>
                <w:bCs/>
                <w:szCs w:val="24"/>
              </w:rPr>
              <w:t>mTRP</w:t>
            </w:r>
            <w:proofErr w:type="spellEnd"/>
            <w:r w:rsidRPr="00823A1E">
              <w:rPr>
                <w:bCs/>
                <w:szCs w:val="24"/>
              </w:rPr>
              <w:t>:</w:t>
            </w:r>
          </w:p>
          <w:p w14:paraId="2CCD6A6E" w14:textId="77777777" w:rsidR="000313F2" w:rsidRPr="00823A1E" w:rsidRDefault="000313F2" w:rsidP="000313F2">
            <w:pPr>
              <w:pStyle w:val="a8"/>
              <w:widowControl/>
              <w:numPr>
                <w:ilvl w:val="2"/>
                <w:numId w:val="12"/>
              </w:numPr>
              <w:spacing w:after="120"/>
              <w:ind w:firstLineChars="0"/>
              <w:jc w:val="left"/>
              <w:rPr>
                <w:bCs/>
                <w:szCs w:val="24"/>
              </w:rPr>
            </w:pPr>
            <w:r w:rsidRPr="00823A1E">
              <w:rPr>
                <w:bCs/>
                <w:color w:val="000000"/>
              </w:rPr>
              <w:t>FFS: Whether different RRM requirements are based on different physical channels?</w:t>
            </w:r>
          </w:p>
          <w:p w14:paraId="5F78C225" w14:textId="77777777" w:rsidR="000313F2" w:rsidRPr="00823A1E" w:rsidRDefault="000313F2" w:rsidP="000313F2">
            <w:pPr>
              <w:pStyle w:val="a8"/>
              <w:widowControl/>
              <w:numPr>
                <w:ilvl w:val="2"/>
                <w:numId w:val="12"/>
              </w:numPr>
              <w:spacing w:after="120"/>
              <w:ind w:firstLineChars="0"/>
              <w:jc w:val="left"/>
              <w:rPr>
                <w:bCs/>
                <w:szCs w:val="24"/>
              </w:rPr>
            </w:pPr>
            <w:r w:rsidRPr="00823A1E">
              <w:rPr>
                <w:bCs/>
                <w:color w:val="000000"/>
              </w:rPr>
              <w:t xml:space="preserve">FFS: Whether to specify different RRM requirements to support one or </w:t>
            </w:r>
            <w:r w:rsidRPr="00823A1E">
              <w:rPr>
                <w:color w:val="000000"/>
              </w:rPr>
              <w:t>two TCI states are switched?</w:t>
            </w:r>
          </w:p>
          <w:p w14:paraId="194E5F87" w14:textId="36BCEA85" w:rsidR="000313F2" w:rsidRDefault="000313F2" w:rsidP="000313F2">
            <w:pPr>
              <w:pStyle w:val="a8"/>
              <w:widowControl/>
              <w:numPr>
                <w:ilvl w:val="2"/>
                <w:numId w:val="12"/>
              </w:numPr>
              <w:spacing w:after="120"/>
              <w:ind w:firstLineChars="0"/>
              <w:jc w:val="left"/>
              <w:rPr>
                <w:b/>
                <w:bCs/>
                <w:u w:val="single"/>
              </w:rPr>
            </w:pPr>
            <w:r w:rsidRPr="00823A1E">
              <w:rPr>
                <w:color w:val="000000"/>
              </w:rPr>
              <w:t xml:space="preserve">FFS: </w:t>
            </w:r>
            <w:r w:rsidRPr="00823A1E">
              <w:rPr>
                <w:rFonts w:hint="eastAsia"/>
                <w:color w:val="000000"/>
              </w:rPr>
              <w:t>W</w:t>
            </w:r>
            <w:r w:rsidRPr="00823A1E">
              <w:rPr>
                <w:color w:val="000000"/>
              </w:rPr>
              <w:t xml:space="preserve">hether to specify RRC based TCI state switch delay requirements for </w:t>
            </w:r>
            <w:proofErr w:type="spellStart"/>
            <w:r w:rsidRPr="00823A1E">
              <w:rPr>
                <w:color w:val="000000"/>
              </w:rPr>
              <w:t>eUTCI</w:t>
            </w:r>
            <w:proofErr w:type="spellEnd"/>
            <w:r w:rsidRPr="00823A1E">
              <w:rPr>
                <w:color w:val="000000"/>
              </w:rPr>
              <w:t>?</w:t>
            </w:r>
          </w:p>
        </w:tc>
      </w:tr>
    </w:tbl>
    <w:p w14:paraId="531A5615" w14:textId="46807ECE" w:rsidR="00D03231" w:rsidRDefault="00D03231" w:rsidP="000313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Firstly, we think there are different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sDCI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mDCI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BE30E7">
        <w:rPr>
          <w:rFonts w:ascii="Times New Roman" w:hAnsi="Times New Roman" w:cs="Times New Roman"/>
          <w:sz w:val="20"/>
          <w:szCs w:val="20"/>
        </w:rPr>
        <w:t>So,</w:t>
      </w:r>
      <w:r>
        <w:rPr>
          <w:rFonts w:ascii="Times New Roman" w:hAnsi="Times New Roman" w:cs="Times New Roman"/>
          <w:sz w:val="20"/>
          <w:szCs w:val="20"/>
        </w:rPr>
        <w:t xml:space="preserve"> we support to define different TCI state switch delay requirements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mDCI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sDCI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EC63A14" w14:textId="59B9D2BB" w:rsidR="00D03231" w:rsidRPr="00D03231" w:rsidRDefault="00D03231" w:rsidP="000313F2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D03231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Pr="00D03231">
        <w:rPr>
          <w:rFonts w:ascii="Times New Roman" w:hAnsi="Times New Roman" w:cs="Times New Roman" w:hint="eastAsia"/>
          <w:b/>
          <w:bCs/>
          <w:sz w:val="20"/>
          <w:szCs w:val="20"/>
        </w:rPr>
        <w:t>D</w:t>
      </w:r>
      <w:r w:rsidRPr="00D03231">
        <w:rPr>
          <w:rFonts w:ascii="Times New Roman" w:hAnsi="Times New Roman" w:cs="Times New Roman"/>
          <w:b/>
          <w:bCs/>
          <w:sz w:val="20"/>
          <w:szCs w:val="20"/>
        </w:rPr>
        <w:t xml:space="preserve">efine different TCI state switch delay requirements for </w:t>
      </w:r>
      <w:proofErr w:type="spellStart"/>
      <w:r w:rsidRPr="00D03231">
        <w:rPr>
          <w:rFonts w:ascii="Times New Roman" w:hAnsi="Times New Roman" w:cs="Times New Roman"/>
          <w:b/>
          <w:bCs/>
          <w:sz w:val="20"/>
          <w:szCs w:val="20"/>
        </w:rPr>
        <w:t>mDCI</w:t>
      </w:r>
      <w:proofErr w:type="spellEnd"/>
      <w:r w:rsidRPr="00D03231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D03231">
        <w:rPr>
          <w:rFonts w:ascii="Times New Roman" w:hAnsi="Times New Roman" w:cs="Times New Roman"/>
          <w:b/>
          <w:bCs/>
          <w:sz w:val="20"/>
          <w:szCs w:val="20"/>
        </w:rPr>
        <w:t>sDCI</w:t>
      </w:r>
      <w:proofErr w:type="spellEnd"/>
      <w:r w:rsidRPr="00D0323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AB35CC6" w14:textId="3C9C4BF2" w:rsidR="000313F2" w:rsidRDefault="000313F2" w:rsidP="000313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sz w:val="20"/>
          <w:szCs w:val="20"/>
        </w:rPr>
        <w:t>mDCI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based </w:t>
      </w:r>
      <w:proofErr w:type="spellStart"/>
      <w:r>
        <w:rPr>
          <w:rFonts w:ascii="Times New Roman" w:hAnsi="Times New Roman" w:cs="Times New Roman"/>
          <w:sz w:val="20"/>
          <w:szCs w:val="20"/>
        </w:rPr>
        <w:t>mTRP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scenarios, in Rel-17, t</w:t>
      </w:r>
      <w:r w:rsidRPr="00B67773">
        <w:rPr>
          <w:rFonts w:ascii="Times New Roman" w:hAnsi="Times New Roman" w:cs="Times New Roman"/>
          <w:sz w:val="20"/>
          <w:szCs w:val="20"/>
        </w:rPr>
        <w:t xml:space="preserve">he network does not configure the field in a serving cell that is configured with more than one value for the </w:t>
      </w:r>
      <w:proofErr w:type="spellStart"/>
      <w:r w:rsidRPr="00B67773"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 w:rsidRPr="00B67773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DFAFC55" w14:textId="29AA2EA3" w:rsidR="000313F2" w:rsidRDefault="000313F2" w:rsidP="000313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Rel-18, RAN1 latest agreements are captured as</w:t>
      </w:r>
      <w:r w:rsidR="00BE30E7">
        <w:rPr>
          <w:rFonts w:ascii="Times New Roman" w:hAnsi="Times New Roman" w:cs="Times New Roman"/>
          <w:sz w:val="20"/>
          <w:szCs w:val="20"/>
        </w:rPr>
        <w:t xml:space="preserve"> in RAN1#112bis-e</w:t>
      </w:r>
      <w:r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13F2" w14:paraId="0B309E07" w14:textId="77777777" w:rsidTr="008969C8">
        <w:tc>
          <w:tcPr>
            <w:tcW w:w="9629" w:type="dxa"/>
          </w:tcPr>
          <w:p w14:paraId="00AF3202" w14:textId="77777777" w:rsidR="000313F2" w:rsidRPr="00E01EC5" w:rsidRDefault="000313F2" w:rsidP="008969C8">
            <w:pPr>
              <w:pStyle w:val="aa"/>
              <w:spacing w:beforeAutospacing="0" w:after="0" w:afterAutospacing="0" w:line="240" w:lineRule="auto"/>
              <w:jc w:val="both"/>
              <w:rPr>
                <w:rStyle w:val="ab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01EC5">
              <w:rPr>
                <w:b/>
                <w:bCs/>
                <w:color w:val="000000" w:themeColor="text1"/>
                <w:sz w:val="18"/>
                <w:szCs w:val="18"/>
                <w:highlight w:val="green"/>
              </w:rPr>
              <w:t>Agreement</w:t>
            </w:r>
          </w:p>
          <w:p w14:paraId="5C1E2422" w14:textId="77777777" w:rsidR="000313F2" w:rsidRPr="00E01EC5" w:rsidRDefault="000313F2" w:rsidP="008969C8">
            <w:pPr>
              <w:pStyle w:val="aa"/>
              <w:spacing w:beforeAutospacing="0" w:after="0" w:afterAutospacing="0" w:line="240" w:lineRule="auto"/>
              <w:jc w:val="both"/>
              <w:rPr>
                <w:rFonts w:eastAsia="PMingLiU"/>
                <w:color w:val="000000" w:themeColor="text1"/>
                <w:sz w:val="22"/>
                <w:szCs w:val="22"/>
              </w:rPr>
            </w:pPr>
            <w:r w:rsidRPr="00E01EC5">
              <w:rPr>
                <w:color w:val="000000" w:themeColor="text1"/>
                <w:sz w:val="18"/>
                <w:szCs w:val="18"/>
              </w:rPr>
              <w:t xml:space="preserve">If the UE is configured with </w:t>
            </w:r>
            <w:r w:rsidRPr="00E01EC5">
              <w:rPr>
                <w:rStyle w:val="ac"/>
                <w:color w:val="000000" w:themeColor="text1"/>
                <w:szCs w:val="18"/>
              </w:rPr>
              <w:t>SSB-MTC-</w:t>
            </w:r>
            <w:proofErr w:type="spellStart"/>
            <w:r w:rsidRPr="00E01EC5">
              <w:rPr>
                <w:rStyle w:val="ac"/>
                <w:color w:val="000000" w:themeColor="text1"/>
                <w:szCs w:val="18"/>
              </w:rPr>
              <w:t>AdditionalPCI</w:t>
            </w:r>
            <w:proofErr w:type="spellEnd"/>
            <w:r w:rsidRPr="00E01EC5">
              <w:rPr>
                <w:rStyle w:val="ac"/>
                <w:color w:val="000000" w:themeColor="text1"/>
                <w:szCs w:val="18"/>
              </w:rPr>
              <w:t xml:space="preserve"> </w:t>
            </w:r>
            <w:r w:rsidRPr="00E01EC5">
              <w:rPr>
                <w:color w:val="000000" w:themeColor="text1"/>
                <w:sz w:val="18"/>
                <w:szCs w:val="18"/>
              </w:rPr>
              <w:t xml:space="preserve">and receives </w:t>
            </w:r>
            <w:r w:rsidRPr="00E01EC5">
              <w:rPr>
                <w:color w:val="000000" w:themeColor="text1"/>
                <w:sz w:val="18"/>
                <w:szCs w:val="18"/>
                <w:lang w:val="en-GB"/>
              </w:rPr>
              <w:t xml:space="preserve">TCI state activation command (MAC-CE) that activates a set of </w:t>
            </w:r>
            <w:r w:rsidRPr="00E01EC5">
              <w:rPr>
                <w:color w:val="000000" w:themeColor="text1"/>
                <w:sz w:val="18"/>
                <w:szCs w:val="18"/>
              </w:rPr>
              <w:t xml:space="preserve">joint/DL /UL TCI state(s) specific to each </w:t>
            </w:r>
            <w:proofErr w:type="spellStart"/>
            <w:r w:rsidRPr="00E01EC5">
              <w:rPr>
                <w:rStyle w:val="ac"/>
                <w:color w:val="000000" w:themeColor="text1"/>
                <w:szCs w:val="18"/>
              </w:rPr>
              <w:t>coresetPoolIndex</w:t>
            </w:r>
            <w:proofErr w:type="spellEnd"/>
            <w:r w:rsidRPr="00E01EC5">
              <w:rPr>
                <w:rStyle w:val="ac"/>
                <w:color w:val="000000" w:themeColor="text1"/>
                <w:szCs w:val="18"/>
              </w:rPr>
              <w:t xml:space="preserve"> </w:t>
            </w:r>
            <w:r w:rsidRPr="00E01EC5">
              <w:rPr>
                <w:color w:val="000000" w:themeColor="text1"/>
                <w:sz w:val="18"/>
                <w:szCs w:val="18"/>
              </w:rPr>
              <w:t xml:space="preserve">value for M-DCI based MTRP in unified TCI framework extension, the activated joint/DL/UL TCI state(s) specific to one </w:t>
            </w:r>
            <w:proofErr w:type="spellStart"/>
            <w:r w:rsidRPr="00E01EC5">
              <w:rPr>
                <w:rStyle w:val="ac"/>
                <w:color w:val="000000" w:themeColor="text1"/>
                <w:szCs w:val="18"/>
              </w:rPr>
              <w:t>coresetPoolIndex</w:t>
            </w:r>
            <w:proofErr w:type="spellEnd"/>
            <w:r w:rsidRPr="00E01EC5">
              <w:rPr>
                <w:rStyle w:val="ac"/>
                <w:color w:val="000000" w:themeColor="text1"/>
                <w:szCs w:val="18"/>
              </w:rPr>
              <w:t xml:space="preserve"> </w:t>
            </w:r>
            <w:r w:rsidRPr="00E01EC5">
              <w:rPr>
                <w:color w:val="000000" w:themeColor="text1"/>
                <w:sz w:val="18"/>
                <w:szCs w:val="18"/>
              </w:rPr>
              <w:t xml:space="preserve">value is associated with the serving cell PCI and the activated joint/DL /UL TCI state(s) specific to another </w:t>
            </w:r>
            <w:proofErr w:type="spellStart"/>
            <w:r w:rsidRPr="00E01EC5">
              <w:rPr>
                <w:rStyle w:val="ac"/>
                <w:color w:val="000000" w:themeColor="text1"/>
                <w:szCs w:val="18"/>
              </w:rPr>
              <w:t>coresetPoolIndex</w:t>
            </w:r>
            <w:proofErr w:type="spellEnd"/>
            <w:r w:rsidRPr="00E01EC5">
              <w:rPr>
                <w:rStyle w:val="ac"/>
                <w:color w:val="000000" w:themeColor="text1"/>
                <w:szCs w:val="18"/>
              </w:rPr>
              <w:t xml:space="preserve"> </w:t>
            </w:r>
            <w:r w:rsidRPr="00E01EC5">
              <w:rPr>
                <w:color w:val="000000" w:themeColor="text1"/>
                <w:sz w:val="18"/>
                <w:szCs w:val="18"/>
              </w:rPr>
              <w:t>value can be associated with a PCI other than the serving cell PCI .</w:t>
            </w:r>
            <w:r w:rsidRPr="00E01EC5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0B5D090B" w14:textId="77777777" w:rsidR="000313F2" w:rsidRDefault="000313F2" w:rsidP="008969C8">
            <w:pPr>
              <w:spacing w:beforeLines="50" w:before="120" w:afterLines="50" w:after="120"/>
              <w:jc w:val="left"/>
            </w:pPr>
            <w:r w:rsidRPr="00E01EC5">
              <w:rPr>
                <w:color w:val="000000" w:themeColor="text1"/>
                <w:sz w:val="18"/>
                <w:szCs w:val="18"/>
              </w:rPr>
              <w:t>Note: How to implement above in specification is up to spec editor</w:t>
            </w:r>
          </w:p>
        </w:tc>
      </w:tr>
    </w:tbl>
    <w:p w14:paraId="2ADAA93A" w14:textId="77777777" w:rsidR="00BE30E7" w:rsidRDefault="000313F2" w:rsidP="000313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6E596E">
        <w:rPr>
          <w:rFonts w:ascii="Times New Roman" w:hAnsi="Times New Roman" w:cs="Times New Roman"/>
          <w:sz w:val="20"/>
          <w:szCs w:val="20"/>
        </w:rPr>
        <w:t xml:space="preserve">For each TRP with one </w:t>
      </w:r>
      <w:proofErr w:type="spellStart"/>
      <w:r w:rsidRPr="006E596E"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 w:rsidRPr="006E596E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the activated joint/DL /UL TCI states can be independent. </w:t>
      </w:r>
    </w:p>
    <w:p w14:paraId="1EFAA467" w14:textId="0944CF63" w:rsidR="000313F2" w:rsidRPr="006E596E" w:rsidRDefault="000313F2" w:rsidP="000313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The Rel-17 requirements can be reused for each </w:t>
      </w:r>
      <w:proofErr w:type="spellStart"/>
      <w:r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 w:rsidR="00BE30E7">
        <w:rPr>
          <w:rFonts w:ascii="Times New Roman" w:hAnsi="Times New Roman" w:cs="Times New Roman"/>
          <w:sz w:val="20"/>
          <w:szCs w:val="20"/>
        </w:rPr>
        <w:t xml:space="preserve"> if UE </w:t>
      </w:r>
      <w:proofErr w:type="spellStart"/>
      <w:r w:rsidR="00BE30E7">
        <w:rPr>
          <w:rFonts w:ascii="Times New Roman" w:hAnsi="Times New Roman" w:cs="Times New Roman"/>
          <w:sz w:val="20"/>
          <w:szCs w:val="20"/>
        </w:rPr>
        <w:t>can not</w:t>
      </w:r>
      <w:proofErr w:type="spellEnd"/>
      <w:r w:rsidR="00BE30E7">
        <w:rPr>
          <w:rFonts w:ascii="Times New Roman" w:hAnsi="Times New Roman" w:cs="Times New Roman"/>
          <w:sz w:val="20"/>
          <w:szCs w:val="20"/>
        </w:rPr>
        <w:t xml:space="preserve"> support two </w:t>
      </w:r>
      <w:proofErr w:type="spellStart"/>
      <w:r w:rsidR="00BE30E7">
        <w:rPr>
          <w:rFonts w:ascii="Times New Roman" w:hAnsi="Times New Roman" w:cs="Times New Roman"/>
          <w:sz w:val="20"/>
          <w:szCs w:val="20"/>
        </w:rPr>
        <w:t>TAs.</w:t>
      </w:r>
      <w:proofErr w:type="spellEnd"/>
      <w:r w:rsidR="00BE30E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081C8BB" w14:textId="77777777" w:rsidR="000313F2" w:rsidRDefault="000313F2" w:rsidP="000313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Another thing should be discussed in RAN4 is the condition defined requirement applicability. </w:t>
      </w:r>
    </w:p>
    <w:p w14:paraId="5DFE6215" w14:textId="77777777" w:rsidR="000313F2" w:rsidRDefault="000313F2" w:rsidP="000313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Such as: </w:t>
      </w:r>
      <w:r w:rsidRPr="008B45C2">
        <w:rPr>
          <w:rFonts w:ascii="Times New Roman" w:hAnsi="Times New Roman" w:cs="Times New Roman"/>
          <w:sz w:val="20"/>
          <w:szCs w:val="20"/>
          <w:lang w:val="en-GB"/>
        </w:rPr>
        <w:t>The timing difference of arrival at UE between the SSBs of serving cell and cell with different PCI is less than CP length of the corresponding SCS</w:t>
      </w:r>
    </w:p>
    <w:p w14:paraId="0305A9A8" w14:textId="77777777" w:rsidR="000313F2" w:rsidRDefault="000313F2" w:rsidP="000313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I</w:t>
      </w:r>
      <w:r>
        <w:rPr>
          <w:rFonts w:ascii="Times New Roman" w:hAnsi="Times New Roman" w:cs="Times New Roman"/>
          <w:sz w:val="20"/>
          <w:szCs w:val="20"/>
          <w:lang w:val="en-GB"/>
        </w:rPr>
        <w:t>n Rel-18, this limitation is not needed if UE can support RTD is larger than CP.</w:t>
      </w:r>
    </w:p>
    <w:p w14:paraId="3DCD40ED" w14:textId="4C0EFABD" w:rsidR="000313F2" w:rsidRPr="003375EA" w:rsidRDefault="000313F2" w:rsidP="000313F2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BE30E7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: For UE not support two TAs, for each TRP joint/DL/UL TCI states, R17 Active downlink/uplink TCI state switching delay for unified TCI requirements can be reused by association to </w:t>
      </w:r>
      <w:proofErr w:type="spellStart"/>
      <w:r w:rsidRPr="003375EA">
        <w:rPr>
          <w:rFonts w:ascii="Times New Roman" w:hAnsi="Times New Roman" w:cs="Times New Roman"/>
          <w:b/>
          <w:bCs/>
          <w:sz w:val="20"/>
          <w:szCs w:val="20"/>
        </w:rPr>
        <w:t>corestPoolIndex</w:t>
      </w:r>
      <w:proofErr w:type="spellEnd"/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53066573" w14:textId="5B4DB370" w:rsidR="0010241C" w:rsidRDefault="003375EA" w:rsidP="000313F2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BE30E7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0313F2"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For UE can support </w:t>
      </w:r>
      <w:r w:rsidR="0010241C"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two TAs, </w:t>
      </w:r>
      <w:r>
        <w:rPr>
          <w:rFonts w:ascii="Times New Roman" w:hAnsi="Times New Roman" w:cs="Times New Roman"/>
          <w:b/>
          <w:bCs/>
          <w:sz w:val="20"/>
          <w:szCs w:val="20"/>
        </w:rPr>
        <w:t>update</w:t>
      </w: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 known condition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and applicability</w:t>
      </w:r>
      <w:r w:rsidR="0015787A">
        <w:rPr>
          <w:rFonts w:ascii="Times New Roman" w:hAnsi="Times New Roman" w:cs="Times New Roman"/>
          <w:b/>
          <w:bCs/>
          <w:sz w:val="20"/>
          <w:szCs w:val="20"/>
        </w:rPr>
        <w:t xml:space="preserve"> and MAC-CE based downlink TCI state switch delay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7B183909" w14:textId="077A77FB" w:rsidR="003375EA" w:rsidRDefault="003375EA" w:rsidP="003375EA">
      <w:pPr>
        <w:spacing w:beforeLines="50" w:before="120" w:afterLines="50" w:after="120"/>
        <w:ind w:firstLine="4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Remove the restriction of timing offset with in CP.</w:t>
      </w:r>
    </w:p>
    <w:p w14:paraId="00599794" w14:textId="30B4D34F" w:rsidR="003375EA" w:rsidRDefault="003375EA" w:rsidP="003375EA">
      <w:pPr>
        <w:spacing w:beforeLines="50" w:before="120" w:afterLines="50" w:after="120"/>
        <w:ind w:firstLine="4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The DL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</w:rPr>
        <w:t>UL TCI state</w:t>
      </w:r>
      <w:r w:rsidR="003203C0">
        <w:rPr>
          <w:rFonts w:ascii="Times New Roman" w:hAnsi="Times New Roman" w:cs="Times New Roman"/>
          <w:b/>
          <w:bCs/>
          <w:sz w:val="20"/>
          <w:szCs w:val="20"/>
        </w:rPr>
        <w:t xml:space="preserve"> is associated to </w:t>
      </w:r>
      <w:proofErr w:type="spellStart"/>
      <w:r w:rsidR="003203C0" w:rsidRPr="003375EA">
        <w:rPr>
          <w:rFonts w:ascii="Times New Roman" w:hAnsi="Times New Roman" w:cs="Times New Roman"/>
          <w:b/>
          <w:bCs/>
          <w:sz w:val="20"/>
          <w:szCs w:val="20"/>
        </w:rPr>
        <w:t>corestPoolIndex</w:t>
      </w:r>
      <w:proofErr w:type="spellEnd"/>
      <w:r w:rsidR="003203C0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29A7D378" w14:textId="7B352555" w:rsidR="0015787A" w:rsidRPr="003375EA" w:rsidRDefault="0015787A" w:rsidP="0015787A">
      <w:r>
        <w:tab/>
      </w:r>
      <w:r>
        <w:rPr>
          <w:rFonts w:ascii="Times New Roman" w:eastAsia="Malgun Gothic" w:hAnsi="Times New Roman" w:cs="Times New Roman"/>
          <w:b/>
          <w:bCs/>
          <w:sz w:val="20"/>
          <w:szCs w:val="20"/>
        </w:rPr>
        <w:t xml:space="preserve">For active UL or joint TCI state, UE can track timing/frequency from DL-RS from different cell. </w:t>
      </w:r>
    </w:p>
    <w:p w14:paraId="41E17477" w14:textId="726F5081" w:rsidR="00FB2495" w:rsidRPr="00CB2237" w:rsidRDefault="00CB2CAC" w:rsidP="00CB2CAC">
      <w:pPr>
        <w:pStyle w:val="B1"/>
        <w:rPr>
          <w:rFonts w:eastAsia="宋体"/>
          <w:b/>
          <w:bCs/>
          <w:u w:val="single"/>
        </w:rPr>
      </w:pPr>
      <w:r>
        <w:rPr>
          <w:rFonts w:eastAsiaTheme="minorEastAsia" w:hint="eastAsia"/>
          <w:lang w:val="en-US" w:eastAsia="zh-CN"/>
        </w:rPr>
        <w:t xml:space="preserve"> </w:t>
      </w:r>
    </w:p>
    <w:p w14:paraId="013DC8CF" w14:textId="02A1D070" w:rsidR="00FB2495" w:rsidRPr="00016472" w:rsidRDefault="00CB2CAC" w:rsidP="00FB249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sz w:val="20"/>
          <w:szCs w:val="20"/>
        </w:rPr>
        <w:t>sDCI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based </w:t>
      </w:r>
      <w:proofErr w:type="spellStart"/>
      <w:r>
        <w:rPr>
          <w:rFonts w:ascii="Times New Roman" w:hAnsi="Times New Roman" w:cs="Times New Roman"/>
          <w:sz w:val="20"/>
          <w:szCs w:val="20"/>
        </w:rPr>
        <w:t>mTRP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scenarios</w:t>
      </w:r>
      <w:r w:rsidR="00882EA0">
        <w:rPr>
          <w:rFonts w:ascii="Times New Roman" w:hAnsi="Times New Roman" w:cs="Times New Roman"/>
          <w:sz w:val="20"/>
          <w:szCs w:val="20"/>
        </w:rPr>
        <w:t xml:space="preserve">, </w:t>
      </w:r>
      <w:r w:rsidR="00DB39A3">
        <w:rPr>
          <w:rFonts w:ascii="Times New Roman" w:hAnsi="Times New Roman" w:cs="Times New Roman"/>
          <w:sz w:val="20"/>
          <w:szCs w:val="20"/>
        </w:rPr>
        <w:t xml:space="preserve">according to RAN1 agreements, although the DCI field is extended for </w:t>
      </w:r>
      <w:r w:rsidR="00882EA0">
        <w:rPr>
          <w:rFonts w:ascii="Times New Roman" w:hAnsi="Times New Roman" w:cs="Times New Roman"/>
          <w:sz w:val="20"/>
          <w:szCs w:val="20"/>
        </w:rPr>
        <w:t xml:space="preserve">PDSCH </w:t>
      </w:r>
      <w:r w:rsidR="00B52868">
        <w:rPr>
          <w:rFonts w:ascii="Times New Roman" w:hAnsi="Times New Roman" w:cs="Times New Roman"/>
          <w:sz w:val="20"/>
          <w:szCs w:val="20"/>
        </w:rPr>
        <w:t>for the TCI selection field.</w:t>
      </w:r>
      <w:r w:rsidR="00A036AA">
        <w:rPr>
          <w:rFonts w:ascii="Times New Roman" w:hAnsi="Times New Roman" w:cs="Times New Roman"/>
          <w:sz w:val="20"/>
          <w:szCs w:val="20"/>
        </w:rPr>
        <w:t xml:space="preserve"> E.g. </w:t>
      </w:r>
      <w:r w:rsidR="00A036AA">
        <w:rPr>
          <w:rFonts w:ascii="Times New Roman" w:hAnsi="Times New Roman" w:cs="Times New Roman"/>
          <w:sz w:val="20"/>
          <w:szCs w:val="20"/>
        </w:rPr>
        <w:t>the PDSCH reception can be schedules/activates by DCI field in DCI format to one or both two will be used.</w:t>
      </w:r>
      <w:r w:rsidR="00B52868">
        <w:rPr>
          <w:rFonts w:ascii="Times New Roman" w:hAnsi="Times New Roman" w:cs="Times New Roman"/>
          <w:sz w:val="20"/>
          <w:szCs w:val="20"/>
        </w:rPr>
        <w:t xml:space="preserve"> The general mechanism is similar as that in Rel-17 which is MAC-CE can </w:t>
      </w:r>
      <w:r w:rsidR="00A036AA">
        <w:rPr>
          <w:rFonts w:ascii="Times New Roman" w:hAnsi="Times New Roman" w:cs="Times New Roman"/>
          <w:sz w:val="20"/>
          <w:szCs w:val="20"/>
        </w:rPr>
        <w:t>indicate</w:t>
      </w:r>
      <w:r w:rsidR="00B52868">
        <w:rPr>
          <w:rFonts w:ascii="Times New Roman" w:hAnsi="Times New Roman" w:cs="Times New Roman"/>
          <w:sz w:val="20"/>
          <w:szCs w:val="20"/>
        </w:rPr>
        <w:t xml:space="preserve"> not more than 8 codepoints then use DCI to </w:t>
      </w:r>
      <w:r w:rsidR="00A036AA">
        <w:rPr>
          <w:rFonts w:ascii="Times New Roman" w:hAnsi="Times New Roman" w:cs="Times New Roman"/>
          <w:sz w:val="20"/>
          <w:szCs w:val="20"/>
        </w:rPr>
        <w:t xml:space="preserve">determine which one is finally used. Therefore, for </w:t>
      </w:r>
      <w:proofErr w:type="spellStart"/>
      <w:r w:rsidR="00A036AA">
        <w:rPr>
          <w:rFonts w:ascii="Times New Roman" w:hAnsi="Times New Roman" w:cs="Times New Roman"/>
          <w:sz w:val="20"/>
          <w:szCs w:val="20"/>
        </w:rPr>
        <w:t>sDCI</w:t>
      </w:r>
      <w:proofErr w:type="spellEnd"/>
      <w:r w:rsidR="00A036AA">
        <w:rPr>
          <w:rFonts w:ascii="Times New Roman" w:hAnsi="Times New Roman" w:cs="Times New Roman"/>
          <w:sz w:val="20"/>
          <w:szCs w:val="20"/>
        </w:rPr>
        <w:t xml:space="preserve"> with single TCI state switching, legacy TCI state switching for MAC-CE based or DCI based can be reused. </w:t>
      </w:r>
    </w:p>
    <w:p w14:paraId="3A4D5CEE" w14:textId="2F2A72CE" w:rsidR="00FB2495" w:rsidRPr="00A036AA" w:rsidRDefault="00FB2495" w:rsidP="00FB2495">
      <w:pPr>
        <w:spacing w:beforeLines="50" w:before="120" w:afterLines="50" w:after="12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746013">
        <w:rPr>
          <w:rFonts w:ascii="Times New Roman" w:hAnsi="Times New Roman" w:cs="Times New Roman"/>
          <w:b/>
          <w:sz w:val="20"/>
          <w:szCs w:val="20"/>
        </w:rPr>
        <w:t>Proposal</w:t>
      </w:r>
      <w:r w:rsidRPr="00A036A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46013" w:rsidRPr="00A036AA">
        <w:rPr>
          <w:rFonts w:ascii="Times New Roman" w:hAnsi="Times New Roman" w:cs="Times New Roman"/>
          <w:b/>
          <w:sz w:val="20"/>
          <w:szCs w:val="20"/>
        </w:rPr>
        <w:t>4</w:t>
      </w:r>
      <w:r w:rsidRPr="00A036AA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A036AA">
        <w:rPr>
          <w:rFonts w:ascii="Times New Roman" w:hAnsi="Times New Roman" w:cs="Times New Roman"/>
          <w:b/>
          <w:sz w:val="20"/>
          <w:szCs w:val="20"/>
        </w:rPr>
        <w:t>F</w:t>
      </w:r>
      <w:r w:rsidR="00A036AA" w:rsidRPr="00A036AA">
        <w:rPr>
          <w:rFonts w:ascii="Times New Roman" w:hAnsi="Times New Roman" w:cs="Times New Roman"/>
          <w:b/>
          <w:sz w:val="20"/>
          <w:szCs w:val="20"/>
        </w:rPr>
        <w:t xml:space="preserve">or </w:t>
      </w:r>
      <w:proofErr w:type="spellStart"/>
      <w:r w:rsidR="00A036AA" w:rsidRPr="00A036AA">
        <w:rPr>
          <w:rFonts w:ascii="Times New Roman" w:hAnsi="Times New Roman" w:cs="Times New Roman"/>
          <w:b/>
          <w:sz w:val="20"/>
          <w:szCs w:val="20"/>
        </w:rPr>
        <w:t>sDCI</w:t>
      </w:r>
      <w:proofErr w:type="spellEnd"/>
      <w:r w:rsidR="00A036AA" w:rsidRPr="00A036AA">
        <w:rPr>
          <w:rFonts w:ascii="Times New Roman" w:hAnsi="Times New Roman" w:cs="Times New Roman"/>
          <w:b/>
          <w:sz w:val="20"/>
          <w:szCs w:val="20"/>
        </w:rPr>
        <w:t xml:space="preserve"> with single TCI state switching, legacy TCI state switching for MAC-CE based or DCI based can be reused.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3410" w14:paraId="63053A5E" w14:textId="77777777" w:rsidTr="001B3410">
        <w:tc>
          <w:tcPr>
            <w:tcW w:w="9629" w:type="dxa"/>
          </w:tcPr>
          <w:p w14:paraId="50E7ADD9" w14:textId="5A9D0E80" w:rsidR="001B3410" w:rsidRDefault="001B3410" w:rsidP="00FB2495">
            <w:pPr>
              <w:spacing w:beforeLines="50" w:before="120" w:afterLines="50" w:after="120"/>
              <w:jc w:val="left"/>
            </w:pPr>
            <w:r w:rsidRPr="00823A1E">
              <w:rPr>
                <w:color w:val="000000"/>
              </w:rPr>
              <w:t xml:space="preserve">FFS: </w:t>
            </w:r>
            <w:r w:rsidRPr="00823A1E">
              <w:rPr>
                <w:rFonts w:hint="eastAsia"/>
                <w:color w:val="000000"/>
              </w:rPr>
              <w:t>W</w:t>
            </w:r>
            <w:r w:rsidRPr="00823A1E">
              <w:rPr>
                <w:color w:val="000000"/>
              </w:rPr>
              <w:t xml:space="preserve">hether to specify RRC based TCI state switch delay requirements for </w:t>
            </w:r>
            <w:proofErr w:type="spellStart"/>
            <w:r w:rsidRPr="00823A1E">
              <w:rPr>
                <w:color w:val="000000"/>
              </w:rPr>
              <w:t>eUTCI</w:t>
            </w:r>
            <w:proofErr w:type="spellEnd"/>
            <w:r w:rsidRPr="00823A1E">
              <w:rPr>
                <w:color w:val="000000"/>
              </w:rPr>
              <w:t>?</w:t>
            </w:r>
          </w:p>
        </w:tc>
      </w:tr>
    </w:tbl>
    <w:p w14:paraId="0AA2A79F" w14:textId="115B2CAD" w:rsidR="00746013" w:rsidRPr="00746013" w:rsidRDefault="001B3410" w:rsidP="00FB2495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RRC based TCI state switch delay requirements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eUTCI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if it is </w:t>
      </w:r>
      <w:proofErr w:type="spellStart"/>
      <w:r>
        <w:rPr>
          <w:rFonts w:ascii="Times New Roman" w:hAnsi="Times New Roman" w:cs="Times New Roman"/>
          <w:sz w:val="20"/>
          <w:szCs w:val="20"/>
        </w:rPr>
        <w:t>mDCI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scenarios, it cannot be configured. Therefore, do not specify RRC based TCI state switch delay requirements.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sDCI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scenarios, we only doubt for PDCCH reception.</w:t>
      </w:r>
      <w:r w:rsidR="008E78ED">
        <w:rPr>
          <w:rFonts w:ascii="Times New Roman" w:hAnsi="Times New Roman" w:cs="Times New Roman"/>
          <w:sz w:val="20"/>
          <w:szCs w:val="20"/>
        </w:rPr>
        <w:t xml:space="preserve"> In Rel-17, PDCCH and PDSCH share the common beams. In Rel-18, RAN1 is still discussing whether PDCCH can have different PDSCH beams in </w:t>
      </w:r>
      <w:proofErr w:type="spellStart"/>
      <w:r w:rsidR="008E78ED">
        <w:rPr>
          <w:rFonts w:ascii="Times New Roman" w:hAnsi="Times New Roman" w:cs="Times New Roman"/>
          <w:sz w:val="20"/>
          <w:szCs w:val="20"/>
        </w:rPr>
        <w:t>sDCI</w:t>
      </w:r>
      <w:proofErr w:type="spellEnd"/>
      <w:r w:rsidR="008E78ED">
        <w:rPr>
          <w:rFonts w:ascii="Times New Roman" w:hAnsi="Times New Roman" w:cs="Times New Roman"/>
          <w:sz w:val="20"/>
          <w:szCs w:val="20"/>
        </w:rPr>
        <w:t xml:space="preserve"> case. If it is accepted, RRC based TCI state switch delay requirements can be specified when only 1 TCI state is configured and used for switching for PDCCH reception. </w:t>
      </w:r>
    </w:p>
    <w:p w14:paraId="44F2E4FD" w14:textId="33CCEAF9" w:rsidR="00FB2495" w:rsidRPr="00BB1C8C" w:rsidRDefault="008E78ED" w:rsidP="00FB2495">
      <w:pPr>
        <w:spacing w:beforeLines="50" w:before="120" w:afterLines="50" w:after="12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B1C8C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BB1C8C" w:rsidRPr="00BB1C8C">
        <w:rPr>
          <w:rFonts w:ascii="Times New Roman" w:hAnsi="Times New Roman" w:cs="Times New Roman"/>
          <w:b/>
          <w:sz w:val="20"/>
          <w:szCs w:val="20"/>
        </w:rPr>
        <w:t>5</w:t>
      </w:r>
      <w:r w:rsidRPr="00BB1C8C">
        <w:rPr>
          <w:rFonts w:ascii="Times New Roman" w:hAnsi="Times New Roman" w:cs="Times New Roman"/>
          <w:b/>
          <w:sz w:val="20"/>
          <w:szCs w:val="20"/>
        </w:rPr>
        <w:t>:</w:t>
      </w:r>
      <w:r w:rsidR="00BB1C8C" w:rsidRPr="00BB1C8C">
        <w:rPr>
          <w:rFonts w:ascii="Times New Roman" w:hAnsi="Times New Roman" w:cs="Times New Roman"/>
          <w:b/>
          <w:sz w:val="20"/>
          <w:szCs w:val="20"/>
        </w:rPr>
        <w:t xml:space="preserve"> For </w:t>
      </w:r>
      <w:proofErr w:type="spellStart"/>
      <w:r w:rsidR="00BB1C8C" w:rsidRPr="00BB1C8C">
        <w:rPr>
          <w:rFonts w:ascii="Times New Roman" w:hAnsi="Times New Roman" w:cs="Times New Roman"/>
          <w:b/>
          <w:sz w:val="20"/>
          <w:szCs w:val="20"/>
        </w:rPr>
        <w:t>mDCI</w:t>
      </w:r>
      <w:proofErr w:type="spellEnd"/>
      <w:r w:rsidR="00BB1C8C" w:rsidRPr="00BB1C8C">
        <w:rPr>
          <w:rFonts w:ascii="Times New Roman" w:hAnsi="Times New Roman" w:cs="Times New Roman"/>
          <w:b/>
          <w:sz w:val="20"/>
          <w:szCs w:val="20"/>
        </w:rPr>
        <w:t xml:space="preserve"> scenarios</w:t>
      </w:r>
      <w:r w:rsidR="00BB1C8C" w:rsidRPr="00BB1C8C">
        <w:rPr>
          <w:rFonts w:ascii="Times New Roman" w:hAnsi="Times New Roman" w:cs="Times New Roman"/>
          <w:b/>
          <w:sz w:val="20"/>
          <w:szCs w:val="20"/>
        </w:rPr>
        <w:t xml:space="preserve">, do not specify RRC </w:t>
      </w:r>
      <w:r w:rsidR="00BB1C8C" w:rsidRPr="00BB1C8C">
        <w:rPr>
          <w:rFonts w:ascii="Times New Roman" w:hAnsi="Times New Roman" w:cs="Times New Roman"/>
          <w:b/>
          <w:sz w:val="20"/>
          <w:szCs w:val="20"/>
        </w:rPr>
        <w:t>based TCI state switch delay requirements</w:t>
      </w:r>
      <w:r w:rsidR="00BB1C8C" w:rsidRPr="00BB1C8C">
        <w:rPr>
          <w:rFonts w:ascii="Times New Roman" w:hAnsi="Times New Roman" w:cs="Times New Roman"/>
          <w:b/>
          <w:sz w:val="20"/>
          <w:szCs w:val="20"/>
        </w:rPr>
        <w:t xml:space="preserve">. For </w:t>
      </w:r>
      <w:proofErr w:type="spellStart"/>
      <w:r w:rsidR="00BB1C8C" w:rsidRPr="00BB1C8C">
        <w:rPr>
          <w:rFonts w:ascii="Times New Roman" w:hAnsi="Times New Roman" w:cs="Times New Roman"/>
          <w:b/>
          <w:sz w:val="20"/>
          <w:szCs w:val="20"/>
        </w:rPr>
        <w:t>sDCI</w:t>
      </w:r>
      <w:proofErr w:type="spellEnd"/>
      <w:r w:rsidR="00BB1C8C" w:rsidRPr="00BB1C8C">
        <w:rPr>
          <w:rFonts w:ascii="Times New Roman" w:hAnsi="Times New Roman" w:cs="Times New Roman"/>
          <w:b/>
          <w:sz w:val="20"/>
          <w:szCs w:val="20"/>
        </w:rPr>
        <w:t xml:space="preserve"> scenarios, FFS on whether to introduce </w:t>
      </w:r>
      <w:r w:rsidR="00BB1C8C" w:rsidRPr="00BB1C8C">
        <w:rPr>
          <w:rFonts w:ascii="Times New Roman" w:hAnsi="Times New Roman" w:cs="Times New Roman"/>
          <w:b/>
          <w:sz w:val="20"/>
          <w:szCs w:val="20"/>
        </w:rPr>
        <w:t>RRC based TCI state switch delay requirements</w:t>
      </w:r>
      <w:r w:rsidR="00BB1C8C" w:rsidRPr="00BB1C8C">
        <w:rPr>
          <w:rFonts w:ascii="Times New Roman" w:hAnsi="Times New Roman" w:cs="Times New Roman"/>
          <w:b/>
          <w:sz w:val="20"/>
          <w:szCs w:val="20"/>
        </w:rPr>
        <w:t xml:space="preserve"> for PDCCH.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C8C" w14:paraId="7E96BF57" w14:textId="77777777" w:rsidTr="00BB1C8C">
        <w:tc>
          <w:tcPr>
            <w:tcW w:w="9629" w:type="dxa"/>
          </w:tcPr>
          <w:p w14:paraId="68617A1E" w14:textId="783762C4" w:rsidR="00BB1C8C" w:rsidRDefault="00BB1C8C" w:rsidP="00FB2495">
            <w:pPr>
              <w:spacing w:beforeLines="50" w:before="120" w:afterLines="50" w:after="120"/>
              <w:jc w:val="left"/>
              <w:rPr>
                <w:b/>
              </w:rPr>
            </w:pPr>
            <w:r w:rsidRPr="00823A1E">
              <w:rPr>
                <w:bCs/>
                <w:color w:val="000000"/>
              </w:rPr>
              <w:t xml:space="preserve">FFS: Whether to specify different RRM requirements to support one or </w:t>
            </w:r>
            <w:r w:rsidRPr="00823A1E">
              <w:rPr>
                <w:color w:val="000000"/>
              </w:rPr>
              <w:t>two TCI states are switched?</w:t>
            </w:r>
          </w:p>
        </w:tc>
      </w:tr>
    </w:tbl>
    <w:p w14:paraId="35478AA3" w14:textId="70DA5DB9" w:rsidR="00FB2495" w:rsidRDefault="00BB1C8C" w:rsidP="00FB2495">
      <w:pPr>
        <w:spacing w:beforeLines="50" w:before="120" w:afterLines="50" w:after="12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BB1C8C">
        <w:rPr>
          <w:rFonts w:ascii="Times New Roman" w:hAnsi="Times New Roman" w:cs="Times New Roman" w:hint="eastAsia"/>
          <w:bCs/>
          <w:sz w:val="20"/>
          <w:szCs w:val="20"/>
        </w:rPr>
        <w:t>A</w:t>
      </w:r>
      <w:r w:rsidRPr="00BB1C8C">
        <w:rPr>
          <w:rFonts w:ascii="Times New Roman" w:hAnsi="Times New Roman" w:cs="Times New Roman"/>
          <w:bCs/>
          <w:sz w:val="20"/>
          <w:szCs w:val="20"/>
        </w:rPr>
        <w:t xml:space="preserve">s mentioned above, for one TCI states is switched in </w:t>
      </w:r>
      <w:proofErr w:type="spellStart"/>
      <w:r w:rsidRPr="00BB1C8C">
        <w:rPr>
          <w:rFonts w:ascii="Times New Roman" w:hAnsi="Times New Roman" w:cs="Times New Roman"/>
          <w:bCs/>
          <w:sz w:val="20"/>
          <w:szCs w:val="20"/>
        </w:rPr>
        <w:t>sDCI</w:t>
      </w:r>
      <w:proofErr w:type="spellEnd"/>
      <w:r w:rsidRPr="00BB1C8C">
        <w:rPr>
          <w:rFonts w:ascii="Times New Roman" w:hAnsi="Times New Roman" w:cs="Times New Roman"/>
          <w:bCs/>
          <w:sz w:val="20"/>
          <w:szCs w:val="20"/>
        </w:rPr>
        <w:t xml:space="preserve">, the legacy reequipments can be reused. </w:t>
      </w:r>
      <w:r>
        <w:rPr>
          <w:rFonts w:ascii="Times New Roman" w:hAnsi="Times New Roman" w:cs="Times New Roman"/>
          <w:bCs/>
          <w:sz w:val="20"/>
          <w:szCs w:val="20"/>
        </w:rPr>
        <w:t>For two TCI states</w:t>
      </w:r>
      <w:r w:rsidR="000C2EE1">
        <w:rPr>
          <w:rFonts w:ascii="Times New Roman" w:hAnsi="Times New Roman" w:cs="Times New Roman"/>
          <w:bCs/>
          <w:sz w:val="20"/>
          <w:szCs w:val="20"/>
        </w:rPr>
        <w:t xml:space="preserve"> switch, for </w:t>
      </w:r>
      <w:r w:rsidR="000C2EE1">
        <w:rPr>
          <w:rFonts w:ascii="Times New Roman" w:hAnsi="Times New Roman" w:cs="Times New Roman"/>
          <w:bCs/>
          <w:sz w:val="20"/>
          <w:szCs w:val="20"/>
        </w:rPr>
        <w:t xml:space="preserve">simultaneous </w:t>
      </w:r>
      <w:r w:rsidR="000C2EE1">
        <w:rPr>
          <w:rFonts w:ascii="Times New Roman" w:hAnsi="Times New Roman" w:cs="Times New Roman"/>
          <w:bCs/>
          <w:sz w:val="20"/>
          <w:szCs w:val="20"/>
        </w:rPr>
        <w:t xml:space="preserve">reception for FR1 or not support simultaneous reception in FR2, </w:t>
      </w:r>
      <w:r w:rsidR="001E7D21">
        <w:rPr>
          <w:rFonts w:ascii="Times New Roman" w:hAnsi="Times New Roman" w:cs="Times New Roman"/>
          <w:bCs/>
          <w:sz w:val="20"/>
          <w:szCs w:val="20"/>
        </w:rPr>
        <w:t xml:space="preserve">we think different RRM requirements should be used to distinguish from single TCI state switching. </w:t>
      </w:r>
      <w:r w:rsidR="00DC17C4">
        <w:rPr>
          <w:rFonts w:ascii="Times New Roman" w:hAnsi="Times New Roman" w:cs="Times New Roman"/>
          <w:bCs/>
          <w:sz w:val="20"/>
          <w:szCs w:val="20"/>
        </w:rPr>
        <w:t xml:space="preserve">Such as in the delay requirements, the time duration for SSB or PL-RS and L1-RSRP should be extended by two durations for dual TCIs. </w:t>
      </w:r>
    </w:p>
    <w:p w14:paraId="044A6C89" w14:textId="4318877A" w:rsidR="00DC17C4" w:rsidRPr="00DC17C4" w:rsidRDefault="00DC17C4" w:rsidP="00FB2495">
      <w:pPr>
        <w:spacing w:beforeLines="50" w:before="120" w:afterLines="50" w:after="12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B1C8C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BB1C8C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Specify </w:t>
      </w:r>
      <w:r w:rsidRPr="00DC17C4">
        <w:rPr>
          <w:rFonts w:ascii="Times New Roman" w:hAnsi="Times New Roman" w:cs="Times New Roman"/>
          <w:b/>
          <w:sz w:val="20"/>
          <w:szCs w:val="20"/>
        </w:rPr>
        <w:t>different RRM requirements to support one or two TCI states are switched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I</w:t>
      </w:r>
      <w:r w:rsidRPr="00DC17C4">
        <w:rPr>
          <w:rFonts w:ascii="Times New Roman" w:hAnsi="Times New Roman" w:cs="Times New Roman"/>
          <w:b/>
          <w:sz w:val="20"/>
          <w:szCs w:val="20"/>
        </w:rPr>
        <w:t>n the delay requirements, the time duration for SSB or PL-RS and L1-RSRP should be extended by two durations for dual TCIs.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149E690F" w14:textId="77777777" w:rsidR="00FB2495" w:rsidRPr="00884DD0" w:rsidRDefault="00FB2495" w:rsidP="00FB2495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1C310FC3" w14:textId="5BB47DAD" w:rsidR="00FB2495" w:rsidRDefault="00FB2495" w:rsidP="00FB2495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 xml:space="preserve">In this contribution, we provide our consideration of </w:t>
      </w:r>
      <w:r w:rsidR="00CB2CAC" w:rsidRPr="00982C80">
        <w:rPr>
          <w:rFonts w:ascii="Times New Roman" w:eastAsia="宋体" w:hAnsi="Times New Roman" w:cs="Times New Roman"/>
          <w:sz w:val="20"/>
          <w:szCs w:val="20"/>
        </w:rPr>
        <w:t xml:space="preserve">RRM </w:t>
      </w:r>
      <w:r w:rsidR="00CB2CAC">
        <w:rPr>
          <w:rFonts w:ascii="Times New Roman" w:eastAsia="宋体" w:hAnsi="Times New Roman" w:cs="Times New Roman"/>
          <w:sz w:val="20"/>
          <w:szCs w:val="20"/>
        </w:rPr>
        <w:t>requirements of</w:t>
      </w:r>
      <w:r w:rsidR="00CB2CAC" w:rsidRPr="00982C80">
        <w:rPr>
          <w:rFonts w:ascii="Times New Roman" w:eastAsia="宋体" w:hAnsi="Times New Roman" w:cs="Times New Roman"/>
          <w:sz w:val="20"/>
          <w:szCs w:val="20"/>
        </w:rPr>
        <w:t xml:space="preserve"> enhanced unified TCI framework</w:t>
      </w:r>
      <w:r w:rsidRPr="00F720EF">
        <w:rPr>
          <w:rFonts w:ascii="Times New Roman" w:hAnsi="Times New Roman" w:cs="Times New Roman"/>
          <w:sz w:val="20"/>
          <w:szCs w:val="20"/>
        </w:rPr>
        <w:t xml:space="preserve"> and our proposals are:</w:t>
      </w:r>
    </w:p>
    <w:p w14:paraId="36464EDC" w14:textId="424C0ECF" w:rsidR="00BE30E7" w:rsidRDefault="00BE30E7" w:rsidP="00FB2495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D03231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Pr="00D03231">
        <w:rPr>
          <w:rFonts w:ascii="Times New Roman" w:hAnsi="Times New Roman" w:cs="Times New Roman" w:hint="eastAsia"/>
          <w:b/>
          <w:bCs/>
          <w:sz w:val="20"/>
          <w:szCs w:val="20"/>
        </w:rPr>
        <w:t>D</w:t>
      </w:r>
      <w:r w:rsidRPr="00D03231">
        <w:rPr>
          <w:rFonts w:ascii="Times New Roman" w:hAnsi="Times New Roman" w:cs="Times New Roman"/>
          <w:b/>
          <w:bCs/>
          <w:sz w:val="20"/>
          <w:szCs w:val="20"/>
        </w:rPr>
        <w:t xml:space="preserve">efine different TCI state switch delay requirements for </w:t>
      </w:r>
      <w:proofErr w:type="spellStart"/>
      <w:r w:rsidRPr="00D03231">
        <w:rPr>
          <w:rFonts w:ascii="Times New Roman" w:hAnsi="Times New Roman" w:cs="Times New Roman"/>
          <w:b/>
          <w:bCs/>
          <w:sz w:val="20"/>
          <w:szCs w:val="20"/>
        </w:rPr>
        <w:t>mDCI</w:t>
      </w:r>
      <w:proofErr w:type="spellEnd"/>
      <w:r w:rsidRPr="00D03231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D03231">
        <w:rPr>
          <w:rFonts w:ascii="Times New Roman" w:hAnsi="Times New Roman" w:cs="Times New Roman"/>
          <w:b/>
          <w:bCs/>
          <w:sz w:val="20"/>
          <w:szCs w:val="20"/>
        </w:rPr>
        <w:t>sDCI</w:t>
      </w:r>
      <w:proofErr w:type="spellEnd"/>
      <w:r w:rsidRPr="00D0323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6613334" w14:textId="77777777" w:rsidR="00C3667F" w:rsidRPr="003375EA" w:rsidRDefault="00C3667F" w:rsidP="00C3667F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: For UE not support two TAs, for each TRP joint/DL/UL TCI states, R17 Active downlink/uplink TCI state switching delay for unified TCI requirements can be reused by association to </w:t>
      </w:r>
      <w:proofErr w:type="spellStart"/>
      <w:r w:rsidRPr="003375EA">
        <w:rPr>
          <w:rFonts w:ascii="Times New Roman" w:hAnsi="Times New Roman" w:cs="Times New Roman"/>
          <w:b/>
          <w:bCs/>
          <w:sz w:val="20"/>
          <w:szCs w:val="20"/>
        </w:rPr>
        <w:t>corestPoolIndex</w:t>
      </w:r>
      <w:proofErr w:type="spellEnd"/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09F65518" w14:textId="77777777" w:rsidR="00C3667F" w:rsidRDefault="00C3667F" w:rsidP="00C3667F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: For UE can support two TAs, </w:t>
      </w:r>
      <w:r>
        <w:rPr>
          <w:rFonts w:ascii="Times New Roman" w:hAnsi="Times New Roman" w:cs="Times New Roman"/>
          <w:b/>
          <w:bCs/>
          <w:sz w:val="20"/>
          <w:szCs w:val="20"/>
        </w:rPr>
        <w:t>update</w:t>
      </w:r>
      <w:r w:rsidRPr="003375EA">
        <w:rPr>
          <w:rFonts w:ascii="Times New Roman" w:hAnsi="Times New Roman" w:cs="Times New Roman"/>
          <w:b/>
          <w:bCs/>
          <w:sz w:val="20"/>
          <w:szCs w:val="20"/>
        </w:rPr>
        <w:t xml:space="preserve"> known condition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and applicability and MAC-CE based downlink TCI state switch delay:</w:t>
      </w:r>
    </w:p>
    <w:p w14:paraId="4A2B2F4B" w14:textId="77777777" w:rsidR="00C3667F" w:rsidRDefault="00C3667F" w:rsidP="00C3667F">
      <w:pPr>
        <w:spacing w:beforeLines="50" w:before="120" w:afterLines="50" w:after="120"/>
        <w:ind w:firstLine="4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Remove the restriction of timing offset with in CP.</w:t>
      </w:r>
    </w:p>
    <w:p w14:paraId="75C22536" w14:textId="77777777" w:rsidR="00C3667F" w:rsidRDefault="00C3667F" w:rsidP="00C3667F">
      <w:pPr>
        <w:spacing w:beforeLines="50" w:before="120" w:afterLines="50" w:after="120"/>
        <w:ind w:firstLine="4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The DL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UL TCI state is associated to </w:t>
      </w:r>
      <w:proofErr w:type="spellStart"/>
      <w:r w:rsidRPr="003375EA">
        <w:rPr>
          <w:rFonts w:ascii="Times New Roman" w:hAnsi="Times New Roman" w:cs="Times New Roman"/>
          <w:b/>
          <w:bCs/>
          <w:sz w:val="20"/>
          <w:szCs w:val="20"/>
        </w:rPr>
        <w:t>corestPoolIndex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21365EDE" w14:textId="341A8812" w:rsidR="00FB2495" w:rsidRDefault="00C3667F" w:rsidP="00C3667F">
      <w:pPr>
        <w:spacing w:beforeLines="50" w:before="120" w:afterLines="50" w:after="120"/>
        <w:jc w:val="left"/>
        <w:rPr>
          <w:rFonts w:ascii="Times New Roman" w:hAnsi="Times New Roman" w:cs="Times New Roman"/>
          <w:b/>
          <w:sz w:val="20"/>
          <w:szCs w:val="20"/>
        </w:rPr>
      </w:pPr>
      <w:r>
        <w:tab/>
      </w:r>
      <w:r>
        <w:rPr>
          <w:rFonts w:ascii="Times New Roman" w:eastAsia="Malgun Gothic" w:hAnsi="Times New Roman" w:cs="Times New Roman"/>
          <w:b/>
          <w:bCs/>
          <w:sz w:val="20"/>
          <w:szCs w:val="20"/>
        </w:rPr>
        <w:t>For active UL or joint TCI state, UE can track timing/frequency from DL-RS from different cell.</w:t>
      </w:r>
    </w:p>
    <w:p w14:paraId="3DE238E0" w14:textId="4DDB0891" w:rsidR="00FB2495" w:rsidRDefault="00A036AA" w:rsidP="00FB2495">
      <w:pPr>
        <w:spacing w:beforeLines="50" w:before="120" w:afterLines="50" w:after="12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746013">
        <w:rPr>
          <w:rFonts w:ascii="Times New Roman" w:hAnsi="Times New Roman" w:cs="Times New Roman"/>
          <w:b/>
          <w:sz w:val="20"/>
          <w:szCs w:val="20"/>
        </w:rPr>
        <w:t>Proposal</w:t>
      </w:r>
      <w:r w:rsidRPr="00A036AA">
        <w:rPr>
          <w:rFonts w:ascii="Times New Roman" w:hAnsi="Times New Roman" w:cs="Times New Roman"/>
          <w:b/>
          <w:sz w:val="20"/>
          <w:szCs w:val="20"/>
        </w:rPr>
        <w:t xml:space="preserve"> 4: </w:t>
      </w:r>
      <w:r>
        <w:rPr>
          <w:rFonts w:ascii="Times New Roman" w:hAnsi="Times New Roman" w:cs="Times New Roman"/>
          <w:b/>
          <w:sz w:val="20"/>
          <w:szCs w:val="20"/>
        </w:rPr>
        <w:t>F</w:t>
      </w:r>
      <w:r w:rsidRPr="00A036AA">
        <w:rPr>
          <w:rFonts w:ascii="Times New Roman" w:hAnsi="Times New Roman" w:cs="Times New Roman"/>
          <w:b/>
          <w:sz w:val="20"/>
          <w:szCs w:val="20"/>
        </w:rPr>
        <w:t xml:space="preserve">or </w:t>
      </w:r>
      <w:proofErr w:type="spellStart"/>
      <w:r w:rsidRPr="00A036AA">
        <w:rPr>
          <w:rFonts w:ascii="Times New Roman" w:hAnsi="Times New Roman" w:cs="Times New Roman"/>
          <w:b/>
          <w:sz w:val="20"/>
          <w:szCs w:val="20"/>
        </w:rPr>
        <w:t>sDCI</w:t>
      </w:r>
      <w:proofErr w:type="spellEnd"/>
      <w:r w:rsidRPr="00A036AA">
        <w:rPr>
          <w:rFonts w:ascii="Times New Roman" w:hAnsi="Times New Roman" w:cs="Times New Roman"/>
          <w:b/>
          <w:sz w:val="20"/>
          <w:szCs w:val="20"/>
        </w:rPr>
        <w:t xml:space="preserve"> with single TCI state switching, legacy TCI state switching for MAC-CE based or DCI based can be reused.</w:t>
      </w:r>
    </w:p>
    <w:p w14:paraId="66E486EE" w14:textId="1E8FD949" w:rsidR="00D610FD" w:rsidRDefault="00D610FD" w:rsidP="00FB2495">
      <w:pPr>
        <w:spacing w:beforeLines="50" w:before="120" w:afterLines="50" w:after="12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B1C8C">
        <w:rPr>
          <w:rFonts w:ascii="Times New Roman" w:hAnsi="Times New Roman" w:cs="Times New Roman"/>
          <w:b/>
          <w:sz w:val="20"/>
          <w:szCs w:val="20"/>
        </w:rPr>
        <w:t xml:space="preserve">Proposal 5: For </w:t>
      </w:r>
      <w:proofErr w:type="spellStart"/>
      <w:r w:rsidRPr="00BB1C8C">
        <w:rPr>
          <w:rFonts w:ascii="Times New Roman" w:hAnsi="Times New Roman" w:cs="Times New Roman"/>
          <w:b/>
          <w:sz w:val="20"/>
          <w:szCs w:val="20"/>
        </w:rPr>
        <w:t>mDCI</w:t>
      </w:r>
      <w:proofErr w:type="spellEnd"/>
      <w:r w:rsidRPr="00BB1C8C">
        <w:rPr>
          <w:rFonts w:ascii="Times New Roman" w:hAnsi="Times New Roman" w:cs="Times New Roman"/>
          <w:b/>
          <w:sz w:val="20"/>
          <w:szCs w:val="20"/>
        </w:rPr>
        <w:t xml:space="preserve"> scenarios, do not specify RRC based TCI state switch delay requirements. For </w:t>
      </w:r>
      <w:proofErr w:type="spellStart"/>
      <w:r w:rsidRPr="00BB1C8C">
        <w:rPr>
          <w:rFonts w:ascii="Times New Roman" w:hAnsi="Times New Roman" w:cs="Times New Roman"/>
          <w:b/>
          <w:sz w:val="20"/>
          <w:szCs w:val="20"/>
        </w:rPr>
        <w:t>sDCI</w:t>
      </w:r>
      <w:proofErr w:type="spellEnd"/>
      <w:r w:rsidRPr="00BB1C8C">
        <w:rPr>
          <w:rFonts w:ascii="Times New Roman" w:hAnsi="Times New Roman" w:cs="Times New Roman"/>
          <w:b/>
          <w:sz w:val="20"/>
          <w:szCs w:val="20"/>
        </w:rPr>
        <w:t xml:space="preserve"> scenarios, FFS on whether to introduce RRC based TCI state switch delay requirements for PDCCH.</w:t>
      </w:r>
    </w:p>
    <w:p w14:paraId="0F8F940C" w14:textId="122F51A0" w:rsidR="00DC17C4" w:rsidRPr="00ED464B" w:rsidRDefault="00DC17C4" w:rsidP="00FB2495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B1C8C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BB1C8C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Specify </w:t>
      </w:r>
      <w:r w:rsidRPr="00DC17C4">
        <w:rPr>
          <w:rFonts w:ascii="Times New Roman" w:hAnsi="Times New Roman" w:cs="Times New Roman"/>
          <w:b/>
          <w:sz w:val="20"/>
          <w:szCs w:val="20"/>
        </w:rPr>
        <w:t>different RRM requirements to support one or two TCI states are switched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I</w:t>
      </w:r>
      <w:r w:rsidRPr="00DC17C4">
        <w:rPr>
          <w:rFonts w:ascii="Times New Roman" w:hAnsi="Times New Roman" w:cs="Times New Roman"/>
          <w:b/>
          <w:sz w:val="20"/>
          <w:szCs w:val="20"/>
        </w:rPr>
        <w:t>n the delay requirements, the time duration for SSB or PL-RS and L1-RSRP should be extended by two durations for dual TCIs.</w:t>
      </w:r>
    </w:p>
    <w:p w14:paraId="2AACB521" w14:textId="77777777" w:rsidR="00FB2495" w:rsidRPr="00884DD0" w:rsidRDefault="00FB2495" w:rsidP="00FB2495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4B5FB77A" w14:textId="0D9FD8F8" w:rsidR="002743A8" w:rsidRPr="008E6C00" w:rsidRDefault="008E6C00" w:rsidP="00A57215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E6C00">
        <w:rPr>
          <w:rFonts w:ascii="Times New Roman" w:eastAsia="宋体" w:hAnsi="Times New Roman" w:cs="Times New Roman"/>
          <w:sz w:val="20"/>
          <w:szCs w:val="20"/>
        </w:rPr>
        <w:t>[1] R4-2310178</w:t>
      </w:r>
      <w:r w:rsidRPr="008E6C00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Pr="008E6C00">
        <w:rPr>
          <w:rFonts w:ascii="Times New Roman" w:eastAsia="宋体" w:hAnsi="Times New Roman" w:cs="Times New Roman"/>
          <w:sz w:val="20"/>
          <w:szCs w:val="20"/>
        </w:rPr>
        <w:t xml:space="preserve"> WF on NR MIMO evolution RRM requirements, Samsung</w:t>
      </w:r>
    </w:p>
    <w:sectPr w:rsidR="002743A8" w:rsidRPr="008E6C00" w:rsidSect="00862E0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43CFB" w14:textId="77777777" w:rsidR="00E216A9" w:rsidRDefault="00E216A9" w:rsidP="00FB2495">
      <w:r>
        <w:separator/>
      </w:r>
    </w:p>
  </w:endnote>
  <w:endnote w:type="continuationSeparator" w:id="0">
    <w:p w14:paraId="6FC3DB10" w14:textId="77777777" w:rsidR="00E216A9" w:rsidRDefault="00E216A9" w:rsidP="00FB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A7BB5" w14:textId="77777777" w:rsidR="00E216A9" w:rsidRDefault="00E216A9" w:rsidP="00FB2495">
      <w:r>
        <w:separator/>
      </w:r>
    </w:p>
  </w:footnote>
  <w:footnote w:type="continuationSeparator" w:id="0">
    <w:p w14:paraId="5CC75303" w14:textId="77777777" w:rsidR="00E216A9" w:rsidRDefault="00E216A9" w:rsidP="00FB2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4"/>
  </w:num>
  <w:num w:numId="7">
    <w:abstractNumId w:val="11"/>
  </w:num>
  <w:num w:numId="8">
    <w:abstractNumId w:val="6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6E5"/>
    <w:rsid w:val="000313F2"/>
    <w:rsid w:val="00051CAA"/>
    <w:rsid w:val="00052CA4"/>
    <w:rsid w:val="000C2EE1"/>
    <w:rsid w:val="000E76E5"/>
    <w:rsid w:val="00100486"/>
    <w:rsid w:val="0010241C"/>
    <w:rsid w:val="0015787A"/>
    <w:rsid w:val="001B3410"/>
    <w:rsid w:val="001E7D21"/>
    <w:rsid w:val="002743A8"/>
    <w:rsid w:val="003203C0"/>
    <w:rsid w:val="003375EA"/>
    <w:rsid w:val="00417CDC"/>
    <w:rsid w:val="004E2BEA"/>
    <w:rsid w:val="00651BF8"/>
    <w:rsid w:val="00653A56"/>
    <w:rsid w:val="0069338E"/>
    <w:rsid w:val="00746013"/>
    <w:rsid w:val="00882EA0"/>
    <w:rsid w:val="008E6C00"/>
    <w:rsid w:val="008E78ED"/>
    <w:rsid w:val="00982C80"/>
    <w:rsid w:val="00A036AA"/>
    <w:rsid w:val="00A57215"/>
    <w:rsid w:val="00A95368"/>
    <w:rsid w:val="00AB4A45"/>
    <w:rsid w:val="00B52868"/>
    <w:rsid w:val="00BB1C8C"/>
    <w:rsid w:val="00BE30E7"/>
    <w:rsid w:val="00C3667F"/>
    <w:rsid w:val="00C869A2"/>
    <w:rsid w:val="00CB2CAC"/>
    <w:rsid w:val="00D03231"/>
    <w:rsid w:val="00D610FD"/>
    <w:rsid w:val="00DB39A3"/>
    <w:rsid w:val="00DC17C4"/>
    <w:rsid w:val="00E216A9"/>
    <w:rsid w:val="00E33C06"/>
    <w:rsid w:val="00EA4758"/>
    <w:rsid w:val="00FB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69F98"/>
  <w15:chartTrackingRefBased/>
  <w15:docId w15:val="{55D1E147-70AA-450F-8109-85D41F63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495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B24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2495"/>
    <w:rPr>
      <w:sz w:val="18"/>
      <w:szCs w:val="18"/>
    </w:rPr>
  </w:style>
  <w:style w:type="paragraph" w:styleId="a5">
    <w:name w:val="footer"/>
    <w:basedOn w:val="a"/>
    <w:link w:val="a6"/>
    <w:unhideWhenUsed/>
    <w:rsid w:val="00FB24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B2495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B249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59"/>
    <w:qFormat/>
    <w:rsid w:val="00FB2495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11"/>
    <w:basedOn w:val="a"/>
    <w:link w:val="a9"/>
    <w:uiPriority w:val="34"/>
    <w:qFormat/>
    <w:rsid w:val="00982C80"/>
    <w:pPr>
      <w:ind w:firstLineChars="200" w:firstLine="420"/>
    </w:p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0313F2"/>
  </w:style>
  <w:style w:type="paragraph" w:styleId="aa">
    <w:name w:val="Normal (Web)"/>
    <w:basedOn w:val="a"/>
    <w:uiPriority w:val="99"/>
    <w:unhideWhenUsed/>
    <w:qFormat/>
    <w:rsid w:val="000313F2"/>
    <w:pPr>
      <w:widowControl/>
      <w:suppressAutoHyphens/>
      <w:spacing w:beforeAutospacing="1" w:after="160" w:afterAutospacing="1" w:line="259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styleId="ab">
    <w:name w:val="Strong"/>
    <w:basedOn w:val="a0"/>
    <w:uiPriority w:val="22"/>
    <w:qFormat/>
    <w:rsid w:val="000313F2"/>
    <w:rPr>
      <w:b/>
      <w:bCs/>
    </w:rPr>
  </w:style>
  <w:style w:type="character" w:styleId="ac">
    <w:name w:val="Emphasis"/>
    <w:basedOn w:val="a0"/>
    <w:uiPriority w:val="20"/>
    <w:qFormat/>
    <w:rsid w:val="000313F2"/>
    <w:rPr>
      <w:i/>
      <w:iCs/>
    </w:rPr>
  </w:style>
  <w:style w:type="paragraph" w:customStyle="1" w:styleId="B1">
    <w:name w:val="B1"/>
    <w:basedOn w:val="ad"/>
    <w:link w:val="B1Char"/>
    <w:rsid w:val="003375E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3375E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3375EA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link w:val="EQChar"/>
    <w:rsid w:val="003375EA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3375EA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1072</Words>
  <Characters>6112</Characters>
  <Application>Microsoft Office Word</Application>
  <DocSecurity>0</DocSecurity>
  <Lines>50</Lines>
  <Paragraphs>14</Paragraphs>
  <ScaleCrop>false</ScaleCrop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32</cp:revision>
  <dcterms:created xsi:type="dcterms:W3CDTF">2023-08-10T06:32:00Z</dcterms:created>
  <dcterms:modified xsi:type="dcterms:W3CDTF">2023-08-11T14:03:00Z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