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4FFB87B2" w:rsidR="00940649" w:rsidRPr="00131FE9" w:rsidRDefault="00940649" w:rsidP="00940649">
      <w:pPr>
        <w:tabs>
          <w:tab w:val="left" w:pos="1985"/>
        </w:tabs>
        <w:spacing w:after="120"/>
        <w:jc w:val="both"/>
        <w:rPr>
          <w:rFonts w:ascii="Arial" w:hAnsi="Arial" w:cs="Arial"/>
          <w:b/>
          <w:noProof/>
          <w:sz w:val="24"/>
          <w:lang w:val="en-CN"/>
        </w:rPr>
      </w:pPr>
      <w:bookmarkStart w:id="0" w:name="Title"/>
      <w:bookmarkEnd w:id="0"/>
      <w:r w:rsidRPr="008F2251">
        <w:rPr>
          <w:rFonts w:ascii="Arial" w:hAnsi="Arial" w:cs="Arial"/>
          <w:b/>
          <w:noProof/>
          <w:sz w:val="24"/>
          <w:lang w:val="en-US"/>
        </w:rPr>
        <w:t>3GPP TSG-RAN WG4 Meeting #10</w:t>
      </w:r>
      <w:r w:rsidR="00B43A5A" w:rsidRPr="008F2251">
        <w:rPr>
          <w:rFonts w:ascii="Arial" w:hAnsi="Arial" w:cs="Arial"/>
          <w:b/>
          <w:noProof/>
          <w:sz w:val="24"/>
          <w:lang w:val="en-US"/>
        </w:rPr>
        <w:t>8</w:t>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t xml:space="preserve">              </w:t>
      </w:r>
      <w:r w:rsidR="00131FE9" w:rsidRPr="00131FE9">
        <w:rPr>
          <w:rFonts w:ascii="Arial" w:hAnsi="Arial" w:cs="Arial"/>
          <w:b/>
          <w:noProof/>
          <w:sz w:val="24"/>
          <w:lang w:val="en-CN"/>
        </w:rPr>
        <w:t>R4-2311371</w:t>
      </w:r>
    </w:p>
    <w:p w14:paraId="7A3D17CE" w14:textId="3435695E" w:rsidR="00940649" w:rsidRPr="008F2251" w:rsidRDefault="008573B3" w:rsidP="00940649">
      <w:pPr>
        <w:tabs>
          <w:tab w:val="left" w:pos="1985"/>
        </w:tabs>
        <w:spacing w:after="120"/>
        <w:jc w:val="both"/>
        <w:rPr>
          <w:rFonts w:ascii="Arial" w:hAnsi="Arial" w:cs="Arial"/>
          <w:b/>
          <w:noProof/>
          <w:sz w:val="24"/>
          <w:lang w:val="en-US"/>
        </w:rPr>
      </w:pPr>
      <w:r w:rsidRPr="008F2251">
        <w:rPr>
          <w:rFonts w:ascii="Arial" w:hAnsi="Arial" w:cs="Arial"/>
          <w:b/>
          <w:noProof/>
          <w:sz w:val="24"/>
          <w:lang w:val="en-US"/>
        </w:rPr>
        <w:t>Toulouse</w:t>
      </w:r>
      <w:r w:rsidR="00940649" w:rsidRPr="008F2251">
        <w:rPr>
          <w:rFonts w:ascii="Arial" w:hAnsi="Arial" w:cs="Arial"/>
          <w:b/>
          <w:noProof/>
          <w:sz w:val="24"/>
          <w:lang w:val="en-US"/>
        </w:rPr>
        <w:t xml:space="preserve">, </w:t>
      </w:r>
      <w:r w:rsidRPr="008F2251">
        <w:rPr>
          <w:rFonts w:ascii="Arial" w:hAnsi="Arial" w:cs="Arial"/>
          <w:b/>
          <w:noProof/>
          <w:sz w:val="24"/>
          <w:lang w:val="en-US"/>
        </w:rPr>
        <w:t>France</w:t>
      </w:r>
      <w:r w:rsidR="00940649" w:rsidRPr="008F2251">
        <w:rPr>
          <w:rFonts w:ascii="Arial" w:hAnsi="Arial" w:cs="Arial"/>
          <w:b/>
          <w:noProof/>
          <w:sz w:val="24"/>
          <w:lang w:val="en-US"/>
        </w:rPr>
        <w:t xml:space="preserve">, </w:t>
      </w:r>
      <w:r w:rsidRPr="008F2251">
        <w:rPr>
          <w:rFonts w:ascii="Arial" w:hAnsi="Arial" w:cs="Arial"/>
          <w:b/>
          <w:noProof/>
          <w:sz w:val="24"/>
          <w:lang w:val="en-US"/>
        </w:rPr>
        <w:t>Aug</w:t>
      </w:r>
      <w:r w:rsidR="00280D77" w:rsidRPr="008F2251">
        <w:rPr>
          <w:rFonts w:ascii="Arial" w:hAnsi="Arial" w:cs="Arial"/>
          <w:b/>
          <w:noProof/>
          <w:sz w:val="24"/>
          <w:lang w:val="en-US"/>
        </w:rPr>
        <w:t>ust</w:t>
      </w:r>
      <w:r w:rsidR="00940649" w:rsidRPr="008F2251">
        <w:rPr>
          <w:rFonts w:ascii="Arial" w:hAnsi="Arial" w:cs="Arial"/>
          <w:b/>
          <w:noProof/>
          <w:sz w:val="24"/>
          <w:lang w:val="en-US"/>
        </w:rPr>
        <w:t xml:space="preserve"> 2</w:t>
      </w:r>
      <w:r w:rsidR="00F76E1C" w:rsidRPr="008F2251">
        <w:rPr>
          <w:rFonts w:ascii="Arial" w:hAnsi="Arial" w:cs="Arial"/>
          <w:b/>
          <w:noProof/>
          <w:sz w:val="24"/>
          <w:lang w:val="en-US"/>
        </w:rPr>
        <w:t>1</w:t>
      </w:r>
      <w:r w:rsidR="00940649" w:rsidRPr="008F2251">
        <w:rPr>
          <w:rFonts w:ascii="Arial" w:hAnsi="Arial" w:cs="Arial"/>
          <w:b/>
          <w:noProof/>
          <w:sz w:val="24"/>
          <w:lang w:val="en-US"/>
        </w:rPr>
        <w:t xml:space="preserve"> – 2</w:t>
      </w:r>
      <w:r w:rsidR="00F76E1C" w:rsidRPr="008F2251">
        <w:rPr>
          <w:rFonts w:ascii="Arial" w:hAnsi="Arial" w:cs="Arial"/>
          <w:b/>
          <w:noProof/>
          <w:sz w:val="24"/>
          <w:lang w:val="en-US"/>
        </w:rPr>
        <w:t>5</w:t>
      </w:r>
      <w:r w:rsidR="00940649" w:rsidRPr="008F2251">
        <w:rPr>
          <w:rFonts w:ascii="Arial" w:hAnsi="Arial" w:cs="Arial"/>
          <w:b/>
          <w:noProof/>
          <w:sz w:val="24"/>
          <w:lang w:val="en-US"/>
        </w:rPr>
        <w:t>, 2023</w:t>
      </w:r>
    </w:p>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6F2E4A99"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1" w:name="Source"/>
      <w:bookmarkEnd w:id="1"/>
      <w:r w:rsidRPr="008F2251">
        <w:rPr>
          <w:rFonts w:ascii="Arial" w:hAnsi="Arial" w:cs="Arial"/>
          <w:b/>
          <w:sz w:val="22"/>
          <w:szCs w:val="22"/>
          <w:lang w:val="en-US"/>
        </w:rPr>
        <w:tab/>
      </w:r>
      <w:r w:rsidR="008F5B2F" w:rsidRPr="008F2251">
        <w:rPr>
          <w:rFonts w:ascii="Arial" w:hAnsi="Arial" w:cs="Arial"/>
          <w:b/>
          <w:sz w:val="22"/>
          <w:szCs w:val="22"/>
          <w:lang w:val="en-US"/>
        </w:rPr>
        <w:t>8</w:t>
      </w:r>
      <w:r w:rsidR="00265A85" w:rsidRPr="008F2251">
        <w:rPr>
          <w:rFonts w:ascii="Arial" w:hAnsi="Arial" w:cs="Arial"/>
          <w:b/>
          <w:sz w:val="22"/>
          <w:szCs w:val="22"/>
          <w:lang w:val="en-US"/>
        </w:rPr>
        <w:t>.</w:t>
      </w:r>
      <w:r w:rsidR="00E22632">
        <w:rPr>
          <w:rFonts w:ascii="Arial" w:hAnsi="Arial" w:cs="Arial"/>
          <w:b/>
          <w:sz w:val="22"/>
          <w:szCs w:val="22"/>
          <w:lang w:val="en-US"/>
        </w:rPr>
        <w:t>10</w:t>
      </w:r>
      <w:r w:rsidR="00265A85" w:rsidRPr="008F2251">
        <w:rPr>
          <w:rFonts w:ascii="Arial" w:hAnsi="Arial" w:cs="Arial"/>
          <w:b/>
          <w:sz w:val="22"/>
          <w:szCs w:val="22"/>
          <w:lang w:val="en-US"/>
        </w:rPr>
        <w:t>.</w:t>
      </w:r>
      <w:r w:rsidR="00E22632">
        <w:rPr>
          <w:rFonts w:ascii="Arial" w:hAnsi="Arial" w:cs="Arial"/>
          <w:b/>
          <w:sz w:val="22"/>
          <w:szCs w:val="22"/>
          <w:lang w:val="en-US"/>
        </w:rPr>
        <w:t>2.</w:t>
      </w:r>
      <w:r w:rsidR="00613460">
        <w:rPr>
          <w:rFonts w:ascii="Arial" w:hAnsi="Arial" w:cs="Arial"/>
          <w:b/>
          <w:sz w:val="22"/>
          <w:szCs w:val="22"/>
          <w:lang w:val="en-US"/>
        </w:rPr>
        <w:t>2</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6A9431E2" w:rsidR="00712CC1" w:rsidRPr="00D95AEF" w:rsidRDefault="00712CC1" w:rsidP="00A90CF8">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A90CF8" w:rsidRPr="00A90CF8">
        <w:rPr>
          <w:rFonts w:ascii="Arial" w:hAnsi="Arial" w:cs="Arial"/>
          <w:b/>
          <w:sz w:val="22"/>
          <w:szCs w:val="22"/>
          <w:lang w:val="en-CN"/>
        </w:rPr>
        <w:t xml:space="preserve">Discussion on RRM core requirements for option </w:t>
      </w:r>
      <w:r w:rsidR="005C01CF">
        <w:rPr>
          <w:rFonts w:ascii="Arial" w:hAnsi="Arial" w:cs="Arial"/>
          <w:b/>
          <w:sz w:val="22"/>
          <w:szCs w:val="22"/>
          <w:lang w:val="en-US"/>
        </w:rPr>
        <w:t>B-1-1</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2" w:name="DocumentFor"/>
      <w:bookmarkEnd w:id="2"/>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16074F10" w:rsidR="008E537B" w:rsidRDefault="00ED4DA8" w:rsidP="00CA0B7B">
      <w:pPr>
        <w:rPr>
          <w:lang w:val="en-US"/>
        </w:rPr>
      </w:pPr>
      <w:r w:rsidRPr="00ED4DA8">
        <w:rPr>
          <w:bCs/>
          <w:lang w:val="en-CN" w:eastAsia="zh-CN"/>
        </w:rPr>
        <w:t xml:space="preserve">RRM core requirement for option </w:t>
      </w:r>
      <w:r w:rsidR="007E079A">
        <w:rPr>
          <w:bCs/>
          <w:lang w:val="en-US" w:eastAsia="zh-CN"/>
        </w:rPr>
        <w:t>B-1-1</w:t>
      </w:r>
      <w:r w:rsidR="00487C24">
        <w:rPr>
          <w:lang w:val="en-US"/>
        </w:rPr>
        <w:t xml:space="preserve"> was extensively discussed in previous RAN4 meetings. The latest agreements can be found in [1]. </w:t>
      </w:r>
      <w:r w:rsidR="00C53910">
        <w:rPr>
          <w:lang w:val="en-US"/>
        </w:rPr>
        <w:t>In the last RANP#100, it was</w:t>
      </w:r>
      <w:r w:rsidR="00870C2C">
        <w:rPr>
          <w:lang w:val="en-US"/>
        </w:rPr>
        <w:t xml:space="preserve"> agreed to include L3 intra-frequency measurement without gaps for option B-1-1:</w:t>
      </w:r>
    </w:p>
    <w:tbl>
      <w:tblPr>
        <w:tblStyle w:val="TableGrid"/>
        <w:tblW w:w="0" w:type="auto"/>
        <w:tblLook w:val="04A0" w:firstRow="1" w:lastRow="0" w:firstColumn="1" w:lastColumn="0" w:noHBand="0" w:noVBand="1"/>
      </w:tblPr>
      <w:tblGrid>
        <w:gridCol w:w="9629"/>
      </w:tblGrid>
      <w:tr w:rsidR="00870C2C" w14:paraId="1E53D470" w14:textId="77777777" w:rsidTr="00870C2C">
        <w:tc>
          <w:tcPr>
            <w:tcW w:w="9629" w:type="dxa"/>
          </w:tcPr>
          <w:p w14:paraId="1109809E" w14:textId="77777777" w:rsidR="00870C2C" w:rsidRPr="00C205E2" w:rsidRDefault="00870C2C" w:rsidP="00870C2C">
            <w:pPr>
              <w:spacing w:after="120"/>
              <w:rPr>
                <w:bCs/>
                <w:lang w:eastAsia="ja-JP"/>
              </w:rPr>
            </w:pPr>
            <w:r w:rsidRPr="00074C6A">
              <w:rPr>
                <w:bCs/>
                <w:lang w:eastAsia="ja-JP"/>
              </w:rPr>
              <w:t xml:space="preserve">2) </w:t>
            </w:r>
            <w:r w:rsidRPr="00074C6A">
              <w:rPr>
                <w:bCs/>
                <w:lang w:val="en-US" w:eastAsia="ja-JP"/>
              </w:rPr>
              <w:t xml:space="preserve">Specify the necessary requirements to support L3 intra-frequency measurements without gaps </w:t>
            </w:r>
            <w:r w:rsidRPr="00C205E2">
              <w:rPr>
                <w:bCs/>
                <w:lang w:val="en-US" w:eastAsia="ja-JP"/>
              </w:rPr>
              <w:t>(RAN4)</w:t>
            </w:r>
          </w:p>
          <w:p w14:paraId="3497DC28" w14:textId="77777777" w:rsidR="00870C2C" w:rsidRPr="00074C6A" w:rsidRDefault="00870C2C" w:rsidP="00870C2C">
            <w:pPr>
              <w:numPr>
                <w:ilvl w:val="0"/>
                <w:numId w:val="51"/>
              </w:numPr>
              <w:spacing w:after="120"/>
              <w:rPr>
                <w:rFonts w:eastAsia="DengXian"/>
                <w:lang w:val="en-US" w:eastAsia="zh-CN"/>
              </w:rPr>
            </w:pPr>
            <w:r>
              <w:rPr>
                <w:rFonts w:eastAsia="DengXian"/>
                <w:lang w:val="en-US" w:eastAsia="zh-CN"/>
              </w:rPr>
              <w:t xml:space="preserve">For </w:t>
            </w:r>
            <w:r w:rsidRPr="00074C6A">
              <w:rPr>
                <w:rFonts w:eastAsia="DengXian"/>
                <w:lang w:val="en-US" w:eastAsia="zh-CN"/>
              </w:rPr>
              <w:t>Option B-1-1</w:t>
            </w:r>
          </w:p>
          <w:p w14:paraId="40E5AB32" w14:textId="77777777" w:rsidR="00870C2C" w:rsidRPr="00074C6A" w:rsidRDefault="00870C2C" w:rsidP="00870C2C">
            <w:pPr>
              <w:numPr>
                <w:ilvl w:val="1"/>
                <w:numId w:val="51"/>
              </w:numPr>
              <w:spacing w:after="120"/>
              <w:rPr>
                <w:rFonts w:eastAsia="DengXian"/>
                <w:lang w:val="en-US" w:eastAsia="zh-CN"/>
              </w:rPr>
            </w:pPr>
            <w:r w:rsidRPr="00074C6A">
              <w:rPr>
                <w:rFonts w:eastAsia="DengXian"/>
                <w:lang w:val="en-US" w:eastAsia="zh-CN"/>
              </w:rPr>
              <w:t>Specify applicability of legacy intra-frequency L3 measurements without gap and corresponding UE capabilities, if needed.</w:t>
            </w:r>
          </w:p>
          <w:p w14:paraId="45E56DA3" w14:textId="77777777" w:rsidR="00870C2C" w:rsidRPr="00074C6A" w:rsidRDefault="00870C2C" w:rsidP="00870C2C">
            <w:pPr>
              <w:numPr>
                <w:ilvl w:val="1"/>
                <w:numId w:val="51"/>
              </w:numPr>
              <w:spacing w:after="120"/>
              <w:rPr>
                <w:rFonts w:eastAsia="DengXian"/>
                <w:lang w:val="en-US" w:eastAsia="zh-CN"/>
              </w:rPr>
            </w:pPr>
            <w:r w:rsidRPr="00074C6A">
              <w:rPr>
                <w:rFonts w:eastAsia="DengXian"/>
                <w:lang w:val="en-US" w:eastAsia="zh-CN"/>
              </w:rPr>
              <w:t>Note: UEs capable of Option B-1-1 BWP operation can optionally support L3 intra-frequency measurements with gaps</w:t>
            </w:r>
            <w:r>
              <w:rPr>
                <w:rFonts w:eastAsia="DengXian"/>
                <w:lang w:val="en-US" w:eastAsia="zh-CN"/>
              </w:rPr>
              <w:t>.</w:t>
            </w:r>
          </w:p>
          <w:p w14:paraId="0DABE334" w14:textId="77777777" w:rsidR="00870C2C" w:rsidRPr="00074C6A" w:rsidRDefault="00870C2C" w:rsidP="00870C2C">
            <w:pPr>
              <w:numPr>
                <w:ilvl w:val="0"/>
                <w:numId w:val="51"/>
              </w:numPr>
              <w:spacing w:after="120"/>
              <w:rPr>
                <w:rFonts w:eastAsia="DengXian"/>
                <w:lang w:val="en-US" w:eastAsia="zh-CN"/>
              </w:rPr>
            </w:pPr>
            <w:r>
              <w:rPr>
                <w:rFonts w:eastAsia="DengXian"/>
                <w:lang w:val="en-US" w:eastAsia="zh-CN"/>
              </w:rPr>
              <w:t xml:space="preserve">For </w:t>
            </w:r>
            <w:r w:rsidRPr="00074C6A">
              <w:rPr>
                <w:rFonts w:eastAsia="DengXian"/>
                <w:lang w:val="en-US" w:eastAsia="zh-CN"/>
              </w:rPr>
              <w:t>Option C</w:t>
            </w:r>
          </w:p>
          <w:p w14:paraId="16380554" w14:textId="77777777" w:rsidR="00870C2C" w:rsidRPr="00074C6A" w:rsidRDefault="00870C2C" w:rsidP="00870C2C">
            <w:pPr>
              <w:numPr>
                <w:ilvl w:val="1"/>
                <w:numId w:val="51"/>
              </w:numPr>
              <w:spacing w:after="120"/>
              <w:rPr>
                <w:rFonts w:eastAsia="DengXian"/>
                <w:lang w:val="en-US" w:eastAsia="zh-CN"/>
              </w:rPr>
            </w:pPr>
            <w:r w:rsidRPr="00074C6A">
              <w:rPr>
                <w:rFonts w:eastAsia="DengXian"/>
                <w:lang w:val="en-US" w:eastAsia="zh-CN"/>
              </w:rPr>
              <w:t>Specify requirements for L3 intra-frequency measurements based on existing RedCap</w:t>
            </w:r>
            <w:r>
              <w:rPr>
                <w:rFonts w:eastAsia="DengXian"/>
                <w:lang w:val="en-US" w:eastAsia="zh-CN"/>
              </w:rPr>
              <w:t xml:space="preserve"> </w:t>
            </w:r>
            <w:r w:rsidRPr="00074C6A">
              <w:rPr>
                <w:rFonts w:eastAsia="DengXian"/>
                <w:lang w:val="en-US" w:eastAsia="zh-CN"/>
              </w:rPr>
              <w:t>NCD-SSB</w:t>
            </w:r>
            <w:r>
              <w:rPr>
                <w:rFonts w:eastAsia="DengXian"/>
                <w:lang w:val="en-US" w:eastAsia="zh-CN"/>
              </w:rPr>
              <w:t xml:space="preserve"> </w:t>
            </w:r>
            <w:r w:rsidRPr="00074C6A">
              <w:rPr>
                <w:rFonts w:eastAsia="DengXian"/>
                <w:lang w:val="en-US" w:eastAsia="zh-CN"/>
              </w:rPr>
              <w:t>requirements</w:t>
            </w:r>
            <w:r>
              <w:rPr>
                <w:rFonts w:eastAsia="DengXian"/>
                <w:lang w:val="en-US" w:eastAsia="zh-CN"/>
              </w:rPr>
              <w:t>.</w:t>
            </w:r>
          </w:p>
          <w:p w14:paraId="7E312D45" w14:textId="77777777" w:rsidR="00870C2C" w:rsidRPr="00074C6A" w:rsidRDefault="00870C2C" w:rsidP="00870C2C">
            <w:pPr>
              <w:numPr>
                <w:ilvl w:val="0"/>
                <w:numId w:val="51"/>
              </w:numPr>
              <w:spacing w:after="120"/>
              <w:rPr>
                <w:rFonts w:eastAsia="DengXian"/>
                <w:lang w:val="en-US" w:eastAsia="zh-CN"/>
              </w:rPr>
            </w:pPr>
            <w:r w:rsidRPr="00074C6A">
              <w:rPr>
                <w:rFonts w:eastAsia="DengXian"/>
                <w:lang w:val="en-US" w:eastAsia="zh-CN"/>
              </w:rPr>
              <w:t xml:space="preserve">Note: further check in RAN #101 on whether any work is required to support L3 intra-frequency measurements without gaps for Option B-1-2 </w:t>
            </w:r>
          </w:p>
          <w:p w14:paraId="3CB246D3" w14:textId="77777777" w:rsidR="00870C2C" w:rsidRDefault="00870C2C" w:rsidP="00CA0B7B">
            <w:pPr>
              <w:rPr>
                <w:lang w:val="en-US"/>
              </w:rPr>
            </w:pPr>
          </w:p>
        </w:tc>
      </w:tr>
    </w:tbl>
    <w:p w14:paraId="794B7133" w14:textId="7A0F8E0B" w:rsidR="00870C2C" w:rsidRPr="008F2251" w:rsidRDefault="00870C2C" w:rsidP="00CA0B7B">
      <w:pPr>
        <w:rPr>
          <w:lang w:val="en-US"/>
        </w:rPr>
      </w:pPr>
      <w:r>
        <w:rPr>
          <w:lang w:val="en-US"/>
        </w:rPr>
        <w:t>In this contribution, we provide our view on L3 measurement related design for option B-1-1.</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12CD3679" w14:textId="188CC72A" w:rsidR="00B62315" w:rsidRDefault="001E45EE" w:rsidP="00CD46A3">
      <w:pPr>
        <w:rPr>
          <w:lang w:val="en-US" w:eastAsia="x-none"/>
        </w:rPr>
      </w:pPr>
      <w:r>
        <w:rPr>
          <w:lang w:val="en-US" w:eastAsia="x-none"/>
        </w:rPr>
        <w:t>In e</w:t>
      </w:r>
      <w:r w:rsidR="00E62339">
        <w:rPr>
          <w:lang w:val="en-US" w:eastAsia="x-none"/>
        </w:rPr>
        <w:t xml:space="preserve">xisting intra-frequency measurement </w:t>
      </w:r>
      <w:r>
        <w:rPr>
          <w:lang w:val="en-US" w:eastAsia="x-none"/>
        </w:rPr>
        <w:t xml:space="preserve">requirements, UE </w:t>
      </w:r>
      <w:r w:rsidR="00E62339">
        <w:rPr>
          <w:lang w:val="en-US" w:eastAsia="x-none"/>
        </w:rPr>
        <w:t xml:space="preserve">is </w:t>
      </w:r>
      <w:r>
        <w:rPr>
          <w:lang w:val="en-US" w:eastAsia="x-none"/>
        </w:rPr>
        <w:t xml:space="preserve">shall be able to perform measurement </w:t>
      </w:r>
      <w:r w:rsidR="00E62339">
        <w:rPr>
          <w:lang w:val="en-US" w:eastAsia="x-none"/>
        </w:rPr>
        <w:t xml:space="preserve">without gap </w:t>
      </w:r>
      <w:r>
        <w:rPr>
          <w:lang w:val="en-US" w:eastAsia="x-none"/>
        </w:rPr>
        <w:t>under certain condition</w:t>
      </w:r>
      <w:r w:rsidR="00E62339">
        <w:rPr>
          <w:lang w:val="en-US" w:eastAsia="x-none"/>
        </w:rPr>
        <w:t>:</w:t>
      </w:r>
    </w:p>
    <w:p w14:paraId="7CFA191B" w14:textId="77777777" w:rsidR="001E45EE" w:rsidRPr="001E45EE" w:rsidRDefault="001E45EE" w:rsidP="001E45EE">
      <w:pPr>
        <w:rPr>
          <w:i/>
          <w:iCs/>
          <w:color w:val="0070C0"/>
        </w:rPr>
      </w:pPr>
      <w:r w:rsidRPr="001E45EE">
        <w:rPr>
          <w:i/>
          <w:iCs/>
          <w:color w:val="0070C0"/>
        </w:rPr>
        <w:t>The UE can perform intra-frequency SSB based measurements without measurement gaps (either legacy measurement gap or NCSG) if</w:t>
      </w:r>
    </w:p>
    <w:p w14:paraId="21A2115A" w14:textId="77777777" w:rsidR="001E45EE" w:rsidRPr="001E45EE" w:rsidRDefault="001E45EE" w:rsidP="001E45EE">
      <w:pPr>
        <w:pStyle w:val="B1"/>
        <w:rPr>
          <w:i/>
          <w:iCs/>
          <w:color w:val="0070C0"/>
          <w:lang w:eastAsia="zh-CN"/>
        </w:rPr>
      </w:pPr>
      <w:r w:rsidRPr="001E45EE">
        <w:rPr>
          <w:i/>
          <w:iCs/>
          <w:color w:val="0070C0"/>
        </w:rPr>
        <w:t>-</w:t>
      </w:r>
      <w:r w:rsidRPr="001E45EE">
        <w:rPr>
          <w:i/>
          <w:iCs/>
          <w:color w:val="0070C0"/>
        </w:rPr>
        <w:tab/>
        <w:t>the UE indicates ‘no-gap’ via intraFreq-needForGap for intra-frequency measurement</w:t>
      </w:r>
      <w:r w:rsidRPr="001E45EE">
        <w:rPr>
          <w:i/>
          <w:iCs/>
          <w:color w:val="0070C0"/>
          <w:lang w:eastAsia="zh-CN"/>
        </w:rPr>
        <w:t>, or</w:t>
      </w:r>
    </w:p>
    <w:p w14:paraId="61807CF0" w14:textId="77777777" w:rsidR="001E45EE" w:rsidRPr="001E45EE" w:rsidRDefault="001E45EE" w:rsidP="001E45EE">
      <w:pPr>
        <w:pStyle w:val="B1"/>
        <w:rPr>
          <w:i/>
          <w:iCs/>
          <w:color w:val="0070C0"/>
          <w:lang w:eastAsia="zh-CN"/>
        </w:rPr>
      </w:pPr>
      <w:r w:rsidRPr="001E45EE">
        <w:rPr>
          <w:i/>
          <w:iCs/>
          <w:color w:val="0070C0"/>
        </w:rPr>
        <w:t>-</w:t>
      </w:r>
      <w:r w:rsidRPr="001E45EE">
        <w:rPr>
          <w:i/>
          <w:iCs/>
          <w:color w:val="0070C0"/>
        </w:rPr>
        <w:tab/>
        <w:t xml:space="preserve">the SSB is completely contained in the </w:t>
      </w:r>
      <w:r w:rsidRPr="001E45EE">
        <w:rPr>
          <w:i/>
          <w:iCs/>
          <w:color w:val="0070C0"/>
          <w:lang w:eastAsia="zh-CN"/>
        </w:rPr>
        <w:t>active BWP</w:t>
      </w:r>
      <w:r w:rsidRPr="001E45EE">
        <w:rPr>
          <w:i/>
          <w:iCs/>
          <w:color w:val="0070C0"/>
        </w:rPr>
        <w:t xml:space="preserve"> of the UE</w:t>
      </w:r>
      <w:r w:rsidRPr="001E45EE">
        <w:rPr>
          <w:i/>
          <w:iCs/>
          <w:color w:val="0070C0"/>
          <w:lang w:eastAsia="zh-CN"/>
        </w:rPr>
        <w:t>, or</w:t>
      </w:r>
    </w:p>
    <w:p w14:paraId="1945FBD3" w14:textId="77777777" w:rsidR="001E45EE" w:rsidRPr="001E45EE" w:rsidRDefault="001E45EE" w:rsidP="001E45EE">
      <w:pPr>
        <w:pStyle w:val="B1"/>
        <w:rPr>
          <w:i/>
          <w:iCs/>
          <w:color w:val="0070C0"/>
        </w:rPr>
      </w:pPr>
      <w:r w:rsidRPr="001E45EE">
        <w:rPr>
          <w:i/>
          <w:iCs/>
          <w:color w:val="0070C0"/>
          <w:lang w:eastAsia="zh-CN"/>
        </w:rPr>
        <w:t>-</w:t>
      </w:r>
      <w:r w:rsidRPr="001E45EE">
        <w:rPr>
          <w:i/>
          <w:iCs/>
          <w:color w:val="0070C0"/>
        </w:rPr>
        <w:tab/>
        <w:t>the active downlink BWP is initial BWP</w:t>
      </w:r>
      <w:r w:rsidRPr="001E45EE">
        <w:rPr>
          <w:i/>
          <w:iCs/>
          <w:color w:val="0070C0"/>
          <w:lang w:eastAsia="zh-CN"/>
        </w:rPr>
        <w:t>[3]</w:t>
      </w:r>
      <w:r w:rsidRPr="001E45EE">
        <w:rPr>
          <w:i/>
          <w:iCs/>
          <w:color w:val="0070C0"/>
        </w:rPr>
        <w:t>.</w:t>
      </w:r>
    </w:p>
    <w:p w14:paraId="39B341B4" w14:textId="1C511BFD" w:rsidR="00E62339" w:rsidRDefault="00265325" w:rsidP="00CD46A3">
      <w:pPr>
        <w:rPr>
          <w:lang w:eastAsia="x-none"/>
        </w:rPr>
      </w:pPr>
      <w:r>
        <w:rPr>
          <w:lang w:eastAsia="x-none"/>
        </w:rPr>
        <w:t xml:space="preserve">If UE supports option B-1-1 for BWP without restriction, then UE </w:t>
      </w:r>
      <w:r w:rsidR="00DF28C9">
        <w:rPr>
          <w:lang w:eastAsia="x-none"/>
        </w:rPr>
        <w:t>may be able to</w:t>
      </w:r>
      <w:r>
        <w:rPr>
          <w:lang w:eastAsia="x-none"/>
        </w:rPr>
        <w:t xml:space="preserve"> measure CD-SSB without gap or interruption even if target SSB is outside UE active BWP. </w:t>
      </w:r>
      <w:r w:rsidR="0050760D">
        <w:rPr>
          <w:lang w:eastAsia="x-none"/>
        </w:rPr>
        <w:t xml:space="preserve">This can be considered as an additional scenario </w:t>
      </w:r>
      <w:r w:rsidR="004F7BF8">
        <w:rPr>
          <w:lang w:eastAsia="x-none"/>
        </w:rPr>
        <w:t xml:space="preserve">in applicability of intra-frequency measurement without gap requirements. </w:t>
      </w:r>
    </w:p>
    <w:p w14:paraId="4918FE04" w14:textId="77777777" w:rsidR="00AA7AF8" w:rsidRDefault="008656AE" w:rsidP="00CD46A3">
      <w:pPr>
        <w:rPr>
          <w:lang w:eastAsia="x-none"/>
        </w:rPr>
      </w:pPr>
      <w:r>
        <w:rPr>
          <w:lang w:eastAsia="x-none"/>
        </w:rPr>
        <w:t xml:space="preserve">One thing we would like to highlight is that the support of new intra-frequency measurement shall be band dependent. One typical implementation to support </w:t>
      </w:r>
      <w:r w:rsidR="0093145C">
        <w:rPr>
          <w:lang w:eastAsia="x-none"/>
        </w:rPr>
        <w:t>the new intra-frequency measurement without gap</w:t>
      </w:r>
      <w:r>
        <w:rPr>
          <w:lang w:eastAsia="x-none"/>
        </w:rPr>
        <w:t xml:space="preserve"> is to let UE stay with large BW (e.g. actual BW equals to CBW).</w:t>
      </w:r>
      <w:r w:rsidR="00D90B4F">
        <w:rPr>
          <w:lang w:eastAsia="x-none"/>
        </w:rPr>
        <w:t xml:space="preserve"> </w:t>
      </w:r>
      <w:r w:rsidR="0093145C">
        <w:rPr>
          <w:lang w:eastAsia="x-none"/>
        </w:rPr>
        <w:t xml:space="preserve">Since different bands have different maximum BW, the support of </w:t>
      </w:r>
      <w:r w:rsidR="00502F14">
        <w:rPr>
          <w:lang w:eastAsia="x-none"/>
        </w:rPr>
        <w:t>this feature may require different effort for different bands.</w:t>
      </w:r>
      <w:r w:rsidR="000627F6">
        <w:rPr>
          <w:lang w:eastAsia="x-none"/>
        </w:rPr>
        <w:t xml:space="preserve"> Therefore, we propose to introduce a new per-band UE capability to indicate the support of the new intra-frequency measurement without gap.</w:t>
      </w:r>
    </w:p>
    <w:p w14:paraId="434DBFA1" w14:textId="34D7FB32" w:rsidR="00723B56" w:rsidRDefault="00AA7AF8" w:rsidP="00AA7AF8">
      <w:pPr>
        <w:pStyle w:val="Caption"/>
      </w:pPr>
      <w:bookmarkStart w:id="3" w:name="_Ref142572969"/>
      <w:r>
        <w:lastRenderedPageBreak/>
        <w:t xml:space="preserve">Proposal </w:t>
      </w:r>
      <w:r>
        <w:fldChar w:fldCharType="begin"/>
      </w:r>
      <w:r>
        <w:instrText xml:space="preserve"> SEQ Proposal \* ARABIC </w:instrText>
      </w:r>
      <w:r>
        <w:fldChar w:fldCharType="separate"/>
      </w:r>
      <w:r w:rsidR="0076743C">
        <w:rPr>
          <w:noProof/>
        </w:rPr>
        <w:t>1</w:t>
      </w:r>
      <w:r>
        <w:fldChar w:fldCharType="end"/>
      </w:r>
      <w:r>
        <w:t>: introduce a new per-band UE capability to indicate support of the new intra-frequency measurement without gap</w:t>
      </w:r>
      <w:r w:rsidR="001B730C">
        <w:t xml:space="preserve">, e.g., </w:t>
      </w:r>
      <w:r w:rsidR="001B730C" w:rsidRPr="001B730C">
        <w:rPr>
          <w:i/>
          <w:iCs/>
          <w:lang w:val="en-US"/>
        </w:rPr>
        <w:t>intraFrequencyMeasOutsideBWP-NoGap</w:t>
      </w:r>
      <w:r>
        <w:t>.</w:t>
      </w:r>
      <w:bookmarkEnd w:id="3"/>
    </w:p>
    <w:p w14:paraId="1CFAF83E" w14:textId="57383DE5" w:rsidR="003F7968" w:rsidRDefault="001B730C" w:rsidP="00AA7AF8">
      <w:pPr>
        <w:pStyle w:val="Caption"/>
        <w:rPr>
          <w:b w:val="0"/>
          <w:bCs w:val="0"/>
        </w:rPr>
      </w:pPr>
      <w:r w:rsidRPr="001B730C">
        <w:rPr>
          <w:b w:val="0"/>
          <w:bCs w:val="0"/>
        </w:rPr>
        <w:t xml:space="preserve">With this new UE capability, the condition </w:t>
      </w:r>
      <w:r>
        <w:rPr>
          <w:b w:val="0"/>
          <w:bCs w:val="0"/>
        </w:rPr>
        <w:t>for the new intra-frequency measurement without gap could be:</w:t>
      </w:r>
    </w:p>
    <w:p w14:paraId="7D8476EE" w14:textId="23C8D4CC" w:rsidR="001B730C" w:rsidRDefault="001B730C" w:rsidP="001B730C">
      <w:pPr>
        <w:pStyle w:val="Caption"/>
      </w:pPr>
      <w:bookmarkStart w:id="4" w:name="_Ref142572972"/>
      <w:r>
        <w:t xml:space="preserve">Proposal </w:t>
      </w:r>
      <w:r>
        <w:fldChar w:fldCharType="begin"/>
      </w:r>
      <w:r>
        <w:instrText xml:space="preserve"> SEQ Proposal \* ARABIC </w:instrText>
      </w:r>
      <w:r>
        <w:fldChar w:fldCharType="separate"/>
      </w:r>
      <w:r w:rsidR="0076743C">
        <w:rPr>
          <w:noProof/>
        </w:rPr>
        <w:t>2</w:t>
      </w:r>
      <w:r>
        <w:fldChar w:fldCharType="end"/>
      </w:r>
      <w:r>
        <w:t xml:space="preserve">: update conditions for intra-frequency measurement without gap (highlighted in </w:t>
      </w:r>
      <w:r w:rsidRPr="009C1FF1">
        <w:rPr>
          <w:highlight w:val="yellow"/>
        </w:rPr>
        <w:t>yellow</w:t>
      </w:r>
      <w:r>
        <w:t>):</w:t>
      </w:r>
      <w:bookmarkEnd w:id="4"/>
    </w:p>
    <w:p w14:paraId="718FF83E" w14:textId="58A063B8" w:rsidR="001B730C" w:rsidRPr="001B730C" w:rsidRDefault="001B730C" w:rsidP="001B730C">
      <w:pPr>
        <w:ind w:left="284"/>
        <w:rPr>
          <w:b/>
          <w:bCs/>
          <w:color w:val="000000" w:themeColor="text1"/>
        </w:rPr>
      </w:pPr>
      <w:r>
        <w:rPr>
          <w:b/>
          <w:bCs/>
          <w:color w:val="000000" w:themeColor="text1"/>
        </w:rPr>
        <w:t xml:space="preserve">- </w:t>
      </w:r>
      <w:r w:rsidRPr="001B730C">
        <w:rPr>
          <w:b/>
          <w:bCs/>
          <w:color w:val="000000" w:themeColor="text1"/>
        </w:rPr>
        <w:t>The UE can perform intra-frequency SSB based measurements without measurement gaps (either legacy measurement gap or NCSG) if</w:t>
      </w:r>
    </w:p>
    <w:p w14:paraId="3B3345E1" w14:textId="77777777" w:rsidR="001B730C" w:rsidRPr="001B730C" w:rsidRDefault="001B730C" w:rsidP="001B730C">
      <w:pPr>
        <w:pStyle w:val="B1"/>
        <w:ind w:left="852"/>
        <w:rPr>
          <w:b/>
          <w:bCs/>
          <w:color w:val="000000" w:themeColor="text1"/>
          <w:lang w:eastAsia="zh-CN"/>
        </w:rPr>
      </w:pPr>
      <w:r w:rsidRPr="001B730C">
        <w:rPr>
          <w:b/>
          <w:bCs/>
          <w:color w:val="000000" w:themeColor="text1"/>
        </w:rPr>
        <w:t>-</w:t>
      </w:r>
      <w:r w:rsidRPr="001B730C">
        <w:rPr>
          <w:b/>
          <w:bCs/>
          <w:color w:val="000000" w:themeColor="text1"/>
        </w:rPr>
        <w:tab/>
        <w:t>the UE indicates ‘no-gap’ via intraFreq-needForGap for intra-frequency measurement</w:t>
      </w:r>
      <w:r w:rsidRPr="001B730C">
        <w:rPr>
          <w:b/>
          <w:bCs/>
          <w:color w:val="000000" w:themeColor="text1"/>
          <w:lang w:eastAsia="zh-CN"/>
        </w:rPr>
        <w:t>, or</w:t>
      </w:r>
    </w:p>
    <w:p w14:paraId="390C9D2F" w14:textId="77777777" w:rsidR="001B730C" w:rsidRPr="001B730C" w:rsidRDefault="001B730C" w:rsidP="001B730C">
      <w:pPr>
        <w:pStyle w:val="B1"/>
        <w:ind w:left="852"/>
        <w:rPr>
          <w:b/>
          <w:bCs/>
          <w:color w:val="000000" w:themeColor="text1"/>
          <w:lang w:eastAsia="zh-CN"/>
        </w:rPr>
      </w:pPr>
      <w:r w:rsidRPr="001B730C">
        <w:rPr>
          <w:b/>
          <w:bCs/>
          <w:color w:val="000000" w:themeColor="text1"/>
        </w:rPr>
        <w:t>-</w:t>
      </w:r>
      <w:r w:rsidRPr="001B730C">
        <w:rPr>
          <w:b/>
          <w:bCs/>
          <w:color w:val="000000" w:themeColor="text1"/>
        </w:rPr>
        <w:tab/>
        <w:t xml:space="preserve">the SSB is completely contained in the </w:t>
      </w:r>
      <w:r w:rsidRPr="001B730C">
        <w:rPr>
          <w:b/>
          <w:bCs/>
          <w:color w:val="000000" w:themeColor="text1"/>
          <w:lang w:eastAsia="zh-CN"/>
        </w:rPr>
        <w:t>active BWP</w:t>
      </w:r>
      <w:r w:rsidRPr="001B730C">
        <w:rPr>
          <w:b/>
          <w:bCs/>
          <w:color w:val="000000" w:themeColor="text1"/>
        </w:rPr>
        <w:t xml:space="preserve"> of the UE</w:t>
      </w:r>
      <w:r w:rsidRPr="001B730C">
        <w:rPr>
          <w:b/>
          <w:bCs/>
          <w:color w:val="000000" w:themeColor="text1"/>
          <w:lang w:eastAsia="zh-CN"/>
        </w:rPr>
        <w:t>, or</w:t>
      </w:r>
    </w:p>
    <w:p w14:paraId="33F6E2C0" w14:textId="6FC3BB42" w:rsidR="001B730C" w:rsidRPr="001B730C" w:rsidRDefault="001B730C" w:rsidP="001B730C">
      <w:pPr>
        <w:pStyle w:val="B1"/>
        <w:ind w:left="852"/>
        <w:rPr>
          <w:b/>
          <w:bCs/>
          <w:color w:val="000000" w:themeColor="text1"/>
          <w:highlight w:val="yellow"/>
        </w:rPr>
      </w:pPr>
      <w:r w:rsidRPr="001B730C">
        <w:rPr>
          <w:b/>
          <w:bCs/>
          <w:color w:val="000000" w:themeColor="text1"/>
          <w:lang w:eastAsia="zh-CN"/>
        </w:rPr>
        <w:t>-</w:t>
      </w:r>
      <w:r w:rsidRPr="001B730C">
        <w:rPr>
          <w:b/>
          <w:bCs/>
          <w:color w:val="000000" w:themeColor="text1"/>
        </w:rPr>
        <w:tab/>
        <w:t>the active downlink BWP is initial BWP</w:t>
      </w:r>
      <w:r w:rsidRPr="001B730C">
        <w:rPr>
          <w:b/>
          <w:bCs/>
          <w:color w:val="000000" w:themeColor="text1"/>
          <w:lang w:eastAsia="zh-CN"/>
        </w:rPr>
        <w:t>[3]</w:t>
      </w:r>
      <w:r>
        <w:rPr>
          <w:b/>
          <w:bCs/>
          <w:color w:val="000000" w:themeColor="text1"/>
          <w:lang w:eastAsia="zh-CN"/>
        </w:rPr>
        <w:t xml:space="preserve">, </w:t>
      </w:r>
      <w:r w:rsidRPr="001B730C">
        <w:rPr>
          <w:b/>
          <w:bCs/>
          <w:color w:val="000000" w:themeColor="text1"/>
          <w:highlight w:val="yellow"/>
          <w:lang w:eastAsia="zh-CN"/>
        </w:rPr>
        <w:t>or</w:t>
      </w:r>
    </w:p>
    <w:p w14:paraId="2D82E4D3" w14:textId="22E4611D" w:rsidR="001B730C" w:rsidRPr="001B730C" w:rsidRDefault="001B730C" w:rsidP="001B730C">
      <w:pPr>
        <w:pStyle w:val="B1"/>
        <w:ind w:left="852"/>
      </w:pPr>
      <w:r w:rsidRPr="001B730C">
        <w:rPr>
          <w:b/>
          <w:bCs/>
          <w:color w:val="000000" w:themeColor="text1"/>
          <w:highlight w:val="yellow"/>
        </w:rPr>
        <w:t xml:space="preserve">-  the UE supports </w:t>
      </w:r>
      <w:r w:rsidRPr="001B730C">
        <w:rPr>
          <w:b/>
          <w:bCs/>
          <w:i/>
          <w:iCs/>
          <w:color w:val="000000" w:themeColor="text1"/>
          <w:highlight w:val="yellow"/>
          <w:lang w:val="en-US"/>
        </w:rPr>
        <w:t>intraFrequencyMeasOutsideBWP-NoGap</w:t>
      </w:r>
      <w:r w:rsidRPr="001B730C">
        <w:rPr>
          <w:b/>
          <w:bCs/>
          <w:color w:val="000000" w:themeColor="text1"/>
          <w:highlight w:val="yellow"/>
        </w:rPr>
        <w:t xml:space="preserve"> and the SSB is completely contained in the CBW of the UE.</w:t>
      </w:r>
    </w:p>
    <w:p w14:paraId="7C186109" w14:textId="77777777" w:rsidR="00536F02" w:rsidRDefault="00536F02" w:rsidP="00CD46A3">
      <w:pPr>
        <w:rPr>
          <w:lang w:eastAsia="x-none"/>
        </w:rPr>
      </w:pPr>
    </w:p>
    <w:p w14:paraId="00DD1056" w14:textId="420F6AB1" w:rsidR="006745EC" w:rsidRDefault="006745EC" w:rsidP="00CD46A3">
      <w:pPr>
        <w:rPr>
          <w:lang w:eastAsia="x-none"/>
        </w:rPr>
      </w:pPr>
      <w:r>
        <w:rPr>
          <w:lang w:eastAsia="x-none"/>
        </w:rPr>
        <w:t xml:space="preserve">Another thing we would like to raise is that intra-frequency measurement without gap can also be supported by other features like NeedForGaps and NCSG. </w:t>
      </w:r>
      <w:r w:rsidR="00D91DE8">
        <w:rPr>
          <w:lang w:eastAsia="x-none"/>
        </w:rPr>
        <w:t xml:space="preserve">To avoid confusion at network side, the feedback of support of intra-frequency measurement without gap from UE shall align among different features. </w:t>
      </w:r>
      <w:r w:rsidR="006A75EF">
        <w:rPr>
          <w:lang w:eastAsia="x-none"/>
        </w:rPr>
        <w:t>For instance, an option B-1-1 capable UE is expected to indicate ‘no-gap’ via NeedForGaps and ‘nogap-noncsg’ via NCSG for measurement on the same band. Otherwise, network would be confused on whether it shall provide MG for the UE.</w:t>
      </w:r>
      <w:r w:rsidR="008E2F26">
        <w:rPr>
          <w:lang w:eastAsia="x-none"/>
        </w:rPr>
        <w:t xml:space="preserve"> </w:t>
      </w:r>
    </w:p>
    <w:p w14:paraId="418704B2" w14:textId="384DE6F9" w:rsidR="006A75EF" w:rsidRDefault="00557626" w:rsidP="00557626">
      <w:pPr>
        <w:pStyle w:val="Caption"/>
      </w:pPr>
      <w:bookmarkStart w:id="5" w:name="_Ref142572986"/>
      <w:r>
        <w:t xml:space="preserve">Observation </w:t>
      </w:r>
      <w:r>
        <w:fldChar w:fldCharType="begin"/>
      </w:r>
      <w:r>
        <w:instrText xml:space="preserve"> SEQ Observation \* ARABIC </w:instrText>
      </w:r>
      <w:r>
        <w:fldChar w:fldCharType="separate"/>
      </w:r>
      <w:r w:rsidR="00FD4706">
        <w:rPr>
          <w:noProof/>
        </w:rPr>
        <w:t>1</w:t>
      </w:r>
      <w:r>
        <w:fldChar w:fldCharType="end"/>
      </w:r>
      <w:r>
        <w:t>: there are multiple features in which UE can indicate support of intra-frequency measurement without gap</w:t>
      </w:r>
      <w:r w:rsidR="00FD4706">
        <w:t>.</w:t>
      </w:r>
      <w:bookmarkEnd w:id="5"/>
    </w:p>
    <w:p w14:paraId="7F148AB7" w14:textId="1A537B2F" w:rsidR="00FD4706" w:rsidRDefault="007464E8" w:rsidP="007464E8">
      <w:pPr>
        <w:pStyle w:val="Caption"/>
      </w:pPr>
      <w:bookmarkStart w:id="6" w:name="_Ref142572976"/>
      <w:r>
        <w:t xml:space="preserve">Proposal </w:t>
      </w:r>
      <w:r>
        <w:fldChar w:fldCharType="begin"/>
      </w:r>
      <w:r>
        <w:instrText xml:space="preserve"> SEQ Proposal \* ARABIC </w:instrText>
      </w:r>
      <w:r>
        <w:fldChar w:fldCharType="separate"/>
      </w:r>
      <w:r w:rsidR="0076743C">
        <w:rPr>
          <w:noProof/>
        </w:rPr>
        <w:t>3</w:t>
      </w:r>
      <w:r>
        <w:fldChar w:fldCharType="end"/>
      </w:r>
      <w:r>
        <w:t>: the feedback from UE to network on whether MG is needed for measurement on target band shall algin among different features</w:t>
      </w:r>
      <w:r w:rsidR="00F57103">
        <w:t>, including option B-1-1, NFG and NCSG.</w:t>
      </w:r>
      <w:bookmarkEnd w:id="6"/>
    </w:p>
    <w:p w14:paraId="50FAD51E" w14:textId="2D816632" w:rsidR="008E2F26" w:rsidRDefault="0076743C" w:rsidP="008E2F26">
      <w:pPr>
        <w:rPr>
          <w:lang w:val="en-US" w:eastAsia="x-none"/>
        </w:rPr>
      </w:pPr>
      <w:r>
        <w:rPr>
          <w:lang w:eastAsia="x-none"/>
        </w:rPr>
        <w:t xml:space="preserve">To save signalling and avoid confusion, we can consider relying on one feature to determine whether MG is needed. For example, </w:t>
      </w:r>
      <w:r w:rsidRPr="0076743C">
        <w:rPr>
          <w:lang w:val="en-US" w:eastAsia="x-none"/>
        </w:rPr>
        <w:t>if UE supports of B-1-1, then NW can assume UE support intra-frequency RRM measurement without gap on the same band via NeedForGaps or NCSG.</w:t>
      </w:r>
    </w:p>
    <w:p w14:paraId="3CAF095C" w14:textId="495E2259" w:rsidR="0076743C" w:rsidRPr="008E2F26" w:rsidRDefault="0076743C" w:rsidP="0076743C">
      <w:pPr>
        <w:pStyle w:val="Caption"/>
      </w:pPr>
      <w:bookmarkStart w:id="7" w:name="_Ref142572979"/>
      <w:r>
        <w:t xml:space="preserve">Proposal </w:t>
      </w:r>
      <w:r>
        <w:fldChar w:fldCharType="begin"/>
      </w:r>
      <w:r>
        <w:instrText xml:space="preserve"> SEQ Proposal \* ARABIC </w:instrText>
      </w:r>
      <w:r>
        <w:fldChar w:fldCharType="separate"/>
      </w:r>
      <w:r>
        <w:rPr>
          <w:noProof/>
        </w:rPr>
        <w:t>4</w:t>
      </w:r>
      <w:r>
        <w:fldChar w:fldCharType="end"/>
      </w:r>
      <w:r>
        <w:t xml:space="preserve">: To save signalling and avoid confusion, some dependency among feature can be considered, e.g., </w:t>
      </w:r>
      <w:r w:rsidRPr="0076743C">
        <w:rPr>
          <w:lang w:val="en-US"/>
        </w:rPr>
        <w:t>if UE supports of B-1-1, then NW can assume UE support intra-frequency RRM measurement without gap on the same band via NeedForGaps or NCSG</w:t>
      </w:r>
      <w:r>
        <w:rPr>
          <w:lang w:val="en-US"/>
        </w:rPr>
        <w:t>.</w:t>
      </w:r>
      <w:bookmarkEnd w:id="7"/>
    </w:p>
    <w:p w14:paraId="320676D8" w14:textId="77777777" w:rsidR="00C33815" w:rsidRDefault="00C33815" w:rsidP="004036A3">
      <w:pPr>
        <w:rPr>
          <w:lang w:eastAsia="x-none"/>
        </w:rPr>
      </w:pPr>
    </w:p>
    <w:p w14:paraId="37560B6B" w14:textId="259381F1" w:rsidR="00461A09" w:rsidRPr="00461A09" w:rsidRDefault="00461A09" w:rsidP="004036A3">
      <w:pPr>
        <w:rPr>
          <w:lang w:eastAsia="x-none"/>
        </w:rPr>
      </w:pPr>
      <w:r>
        <w:rPr>
          <w:lang w:eastAsia="x-none"/>
        </w:rPr>
        <w:t>One last thing, above proposal can apply to inter-frequency as well. Although it is not captured in current scope, we suggest RAN4 to consider it since it doesn’t require much additional effort based on intra-frequency.</w:t>
      </w:r>
    </w:p>
    <w:p w14:paraId="5B895184" w14:textId="173971D2" w:rsidR="00536F02" w:rsidRDefault="00536F02" w:rsidP="00536F02">
      <w:pPr>
        <w:jc w:val="center"/>
        <w:rPr>
          <w:lang w:val="en-US" w:eastAsia="x-none"/>
        </w:rPr>
      </w:pPr>
      <w:r w:rsidRPr="00536F02">
        <w:rPr>
          <w:noProof/>
          <w:lang w:val="en-US" w:eastAsia="x-none"/>
        </w:rPr>
        <w:drawing>
          <wp:inline distT="0" distB="0" distL="0" distR="0" wp14:anchorId="11D0450E" wp14:editId="302B4CAB">
            <wp:extent cx="3629659" cy="1781504"/>
            <wp:effectExtent l="0" t="0" r="0" b="0"/>
            <wp:docPr id="105305322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053223" name="Picture 1" descr="A screenshot of a computer&#10;&#10;Description automatically generated"/>
                    <pic:cNvPicPr/>
                  </pic:nvPicPr>
                  <pic:blipFill>
                    <a:blip r:embed="rId8"/>
                    <a:stretch>
                      <a:fillRect/>
                    </a:stretch>
                  </pic:blipFill>
                  <pic:spPr>
                    <a:xfrm>
                      <a:off x="0" y="0"/>
                      <a:ext cx="3639921" cy="1786541"/>
                    </a:xfrm>
                    <a:prstGeom prst="rect">
                      <a:avLst/>
                    </a:prstGeom>
                  </pic:spPr>
                </pic:pic>
              </a:graphicData>
            </a:graphic>
          </wp:inline>
        </w:drawing>
      </w:r>
    </w:p>
    <w:p w14:paraId="7FF60BF8" w14:textId="77777777" w:rsidR="00536F02" w:rsidRPr="008F2251" w:rsidRDefault="00536F02"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lastRenderedPageBreak/>
        <w:t>Conclusion</w:t>
      </w:r>
    </w:p>
    <w:p w14:paraId="76347C80" w14:textId="5D1B0781" w:rsidR="00771F30" w:rsidRDefault="005D4A3C" w:rsidP="005636A6">
      <w:pPr>
        <w:jc w:val="both"/>
        <w:rPr>
          <w:rFonts w:cs="v4.2.0"/>
          <w:lang w:val="en-US" w:eastAsia="zh-CN"/>
        </w:rPr>
      </w:pPr>
      <w:r w:rsidRPr="008F2251">
        <w:rPr>
          <w:rFonts w:cs="v4.2.0"/>
          <w:lang w:val="en-US" w:eastAsia="zh-CN"/>
        </w:rPr>
        <w:t>In this contribution</w:t>
      </w:r>
      <w:r w:rsidR="007A79D6" w:rsidRPr="008F2251">
        <w:rPr>
          <w:rFonts w:cs="v4.2.0"/>
          <w:lang w:val="en-US" w:eastAsia="zh-CN"/>
        </w:rPr>
        <w:t xml:space="preserve">, </w:t>
      </w:r>
      <w:r w:rsidR="00B978C6" w:rsidRPr="008F2251">
        <w:rPr>
          <w:rFonts w:cs="v4.2.0"/>
          <w:lang w:val="en-US" w:eastAsia="zh-CN"/>
        </w:rPr>
        <w:t xml:space="preserve">we </w:t>
      </w:r>
      <w:r w:rsidR="009740BE" w:rsidRPr="008F2251">
        <w:rPr>
          <w:rFonts w:cs="v4.2.0"/>
          <w:lang w:val="en-US" w:eastAsia="zh-CN"/>
        </w:rPr>
        <w:t xml:space="preserve">provide </w:t>
      </w:r>
      <w:r w:rsidR="005D4297" w:rsidRPr="008F2251">
        <w:rPr>
          <w:rFonts w:cs="v4.2.0"/>
          <w:lang w:val="en-US" w:eastAsia="zh-CN"/>
        </w:rPr>
        <w:t xml:space="preserve">discussion </w:t>
      </w:r>
      <w:r w:rsidR="00AF100C" w:rsidRPr="008F2251">
        <w:rPr>
          <w:rFonts w:cs="v4.2.0"/>
          <w:lang w:val="en-US" w:eastAsia="zh-CN"/>
        </w:rPr>
        <w:t xml:space="preserve">on </w:t>
      </w:r>
      <w:r w:rsidR="00EE55E6" w:rsidRPr="00ED4DA8">
        <w:rPr>
          <w:bCs/>
          <w:lang w:val="en-CN" w:eastAsia="zh-CN"/>
        </w:rPr>
        <w:t xml:space="preserve">RRM core requirement for option </w:t>
      </w:r>
      <w:r w:rsidR="00345988">
        <w:rPr>
          <w:bCs/>
          <w:lang w:val="en-US" w:eastAsia="zh-CN"/>
        </w:rPr>
        <w:t>B-1-1</w:t>
      </w:r>
      <w:r w:rsidR="00780A46" w:rsidRPr="008F2251">
        <w:rPr>
          <w:rFonts w:cs="v4.2.0"/>
          <w:lang w:val="en-US" w:eastAsia="zh-CN"/>
        </w:rPr>
        <w:t>. After discussion, the following conclusions are provided:</w:t>
      </w:r>
    </w:p>
    <w:p w14:paraId="274E3F4D" w14:textId="5499644C" w:rsidR="00A47D3D" w:rsidRPr="000B4FAE" w:rsidRDefault="000B4FAE" w:rsidP="005636A6">
      <w:pPr>
        <w:jc w:val="both"/>
        <w:rPr>
          <w:rFonts w:cs="v4.2.0"/>
          <w:b/>
          <w:bCs/>
          <w:lang w:val="en-US" w:eastAsia="zh-CN"/>
        </w:rPr>
      </w:pPr>
      <w:r w:rsidRPr="000B4FAE">
        <w:rPr>
          <w:rFonts w:cs="v4.2.0"/>
          <w:b/>
          <w:bCs/>
          <w:lang w:val="en-US" w:eastAsia="zh-CN"/>
        </w:rPr>
        <w:fldChar w:fldCharType="begin"/>
      </w:r>
      <w:r w:rsidRPr="000B4FAE">
        <w:rPr>
          <w:rFonts w:cs="v4.2.0"/>
          <w:b/>
          <w:bCs/>
          <w:lang w:val="en-US" w:eastAsia="zh-CN"/>
        </w:rPr>
        <w:instrText xml:space="preserve"> REF _Ref142572969 \h </w:instrText>
      </w:r>
      <w:r>
        <w:rPr>
          <w:rFonts w:cs="v4.2.0"/>
          <w:b/>
          <w:bCs/>
          <w:lang w:val="en-US" w:eastAsia="zh-CN"/>
        </w:rPr>
        <w:instrText xml:space="preserve"> \* MERGEFORMAT </w:instrText>
      </w:r>
      <w:r w:rsidRPr="000B4FAE">
        <w:rPr>
          <w:rFonts w:cs="v4.2.0"/>
          <w:b/>
          <w:bCs/>
          <w:lang w:val="en-US" w:eastAsia="zh-CN"/>
        </w:rPr>
      </w:r>
      <w:r w:rsidRPr="000B4FAE">
        <w:rPr>
          <w:rFonts w:cs="v4.2.0"/>
          <w:b/>
          <w:bCs/>
          <w:lang w:val="en-US" w:eastAsia="zh-CN"/>
        </w:rPr>
        <w:fldChar w:fldCharType="separate"/>
      </w:r>
      <w:r w:rsidRPr="000B4FAE">
        <w:rPr>
          <w:b/>
          <w:bCs/>
        </w:rPr>
        <w:t xml:space="preserve">Proposal </w:t>
      </w:r>
      <w:r w:rsidRPr="000B4FAE">
        <w:rPr>
          <w:b/>
          <w:bCs/>
          <w:noProof/>
        </w:rPr>
        <w:t>1</w:t>
      </w:r>
      <w:r w:rsidRPr="000B4FAE">
        <w:rPr>
          <w:b/>
          <w:bCs/>
        </w:rPr>
        <w:t xml:space="preserve">: introduce a new per-band UE capability to indicate support of the new intra-frequency measurement without gap, e.g., </w:t>
      </w:r>
      <w:r w:rsidRPr="000B4FAE">
        <w:rPr>
          <w:b/>
          <w:bCs/>
          <w:i/>
          <w:iCs/>
          <w:lang w:val="en-US"/>
        </w:rPr>
        <w:t>intraFrequencyMeasOutsideBWP-NoGap</w:t>
      </w:r>
      <w:r w:rsidRPr="000B4FAE">
        <w:rPr>
          <w:b/>
          <w:bCs/>
        </w:rPr>
        <w:t>.</w:t>
      </w:r>
      <w:r w:rsidRPr="000B4FAE">
        <w:rPr>
          <w:rFonts w:cs="v4.2.0"/>
          <w:b/>
          <w:bCs/>
          <w:lang w:val="en-US" w:eastAsia="zh-CN"/>
        </w:rPr>
        <w:fldChar w:fldCharType="end"/>
      </w:r>
    </w:p>
    <w:p w14:paraId="12CD3EC5" w14:textId="1BA9A11C" w:rsidR="000B4FAE" w:rsidRPr="000B4FAE" w:rsidRDefault="000B4FAE" w:rsidP="005636A6">
      <w:pPr>
        <w:jc w:val="both"/>
        <w:rPr>
          <w:rFonts w:cs="v4.2.0"/>
          <w:b/>
          <w:bCs/>
          <w:lang w:val="en-US" w:eastAsia="zh-CN"/>
        </w:rPr>
      </w:pPr>
      <w:r w:rsidRPr="000B4FAE">
        <w:rPr>
          <w:rFonts w:cs="v4.2.0"/>
          <w:b/>
          <w:bCs/>
          <w:lang w:val="en-US" w:eastAsia="zh-CN"/>
        </w:rPr>
        <w:fldChar w:fldCharType="begin"/>
      </w:r>
      <w:r w:rsidRPr="000B4FAE">
        <w:rPr>
          <w:rFonts w:cs="v4.2.0"/>
          <w:b/>
          <w:bCs/>
          <w:lang w:val="en-US" w:eastAsia="zh-CN"/>
        </w:rPr>
        <w:instrText xml:space="preserve"> REF _Ref142572986 \h </w:instrText>
      </w:r>
      <w:r>
        <w:rPr>
          <w:rFonts w:cs="v4.2.0"/>
          <w:b/>
          <w:bCs/>
          <w:lang w:val="en-US" w:eastAsia="zh-CN"/>
        </w:rPr>
        <w:instrText xml:space="preserve"> \* MERGEFORMAT </w:instrText>
      </w:r>
      <w:r w:rsidRPr="000B4FAE">
        <w:rPr>
          <w:rFonts w:cs="v4.2.0"/>
          <w:b/>
          <w:bCs/>
          <w:lang w:val="en-US" w:eastAsia="zh-CN"/>
        </w:rPr>
      </w:r>
      <w:r w:rsidRPr="000B4FAE">
        <w:rPr>
          <w:rFonts w:cs="v4.2.0"/>
          <w:b/>
          <w:bCs/>
          <w:lang w:val="en-US" w:eastAsia="zh-CN"/>
        </w:rPr>
        <w:fldChar w:fldCharType="separate"/>
      </w:r>
      <w:r w:rsidRPr="000B4FAE">
        <w:rPr>
          <w:b/>
          <w:bCs/>
        </w:rPr>
        <w:t xml:space="preserve">Observation </w:t>
      </w:r>
      <w:r w:rsidRPr="000B4FAE">
        <w:rPr>
          <w:b/>
          <w:bCs/>
          <w:noProof/>
        </w:rPr>
        <w:t>1</w:t>
      </w:r>
      <w:r w:rsidRPr="000B4FAE">
        <w:rPr>
          <w:b/>
          <w:bCs/>
        </w:rPr>
        <w:t>: there are multiple features in which UE can indicate support of intra-frequency measurement without gap.</w:t>
      </w:r>
      <w:r w:rsidRPr="000B4FAE">
        <w:rPr>
          <w:rFonts w:cs="v4.2.0"/>
          <w:b/>
          <w:bCs/>
          <w:lang w:val="en-US" w:eastAsia="zh-CN"/>
        </w:rPr>
        <w:fldChar w:fldCharType="end"/>
      </w:r>
    </w:p>
    <w:p w14:paraId="5A65E09B" w14:textId="55967F6B" w:rsidR="000B4FAE" w:rsidRPr="000B4FAE" w:rsidRDefault="000B4FAE" w:rsidP="005636A6">
      <w:pPr>
        <w:jc w:val="both"/>
        <w:rPr>
          <w:rFonts w:cs="v4.2.0"/>
          <w:b/>
          <w:bCs/>
          <w:lang w:val="en-US" w:eastAsia="zh-CN"/>
        </w:rPr>
      </w:pPr>
      <w:r w:rsidRPr="000B4FAE">
        <w:rPr>
          <w:rFonts w:cs="v4.2.0"/>
          <w:b/>
          <w:bCs/>
          <w:lang w:val="en-US" w:eastAsia="zh-CN"/>
        </w:rPr>
        <w:fldChar w:fldCharType="begin"/>
      </w:r>
      <w:r w:rsidRPr="000B4FAE">
        <w:rPr>
          <w:rFonts w:cs="v4.2.0"/>
          <w:b/>
          <w:bCs/>
          <w:lang w:val="en-US" w:eastAsia="zh-CN"/>
        </w:rPr>
        <w:instrText xml:space="preserve"> REF _Ref142572972 \h </w:instrText>
      </w:r>
      <w:r>
        <w:rPr>
          <w:rFonts w:cs="v4.2.0"/>
          <w:b/>
          <w:bCs/>
          <w:lang w:val="en-US" w:eastAsia="zh-CN"/>
        </w:rPr>
        <w:instrText xml:space="preserve"> \* MERGEFORMAT </w:instrText>
      </w:r>
      <w:r w:rsidRPr="000B4FAE">
        <w:rPr>
          <w:rFonts w:cs="v4.2.0"/>
          <w:b/>
          <w:bCs/>
          <w:lang w:val="en-US" w:eastAsia="zh-CN"/>
        </w:rPr>
      </w:r>
      <w:r w:rsidRPr="000B4FAE">
        <w:rPr>
          <w:rFonts w:cs="v4.2.0"/>
          <w:b/>
          <w:bCs/>
          <w:lang w:val="en-US" w:eastAsia="zh-CN"/>
        </w:rPr>
        <w:fldChar w:fldCharType="separate"/>
      </w:r>
      <w:r w:rsidRPr="000B4FAE">
        <w:rPr>
          <w:b/>
          <w:bCs/>
        </w:rPr>
        <w:t xml:space="preserve">Proposal </w:t>
      </w:r>
      <w:r w:rsidRPr="000B4FAE">
        <w:rPr>
          <w:b/>
          <w:bCs/>
          <w:noProof/>
        </w:rPr>
        <w:t>2</w:t>
      </w:r>
      <w:r w:rsidRPr="000B4FAE">
        <w:rPr>
          <w:b/>
          <w:bCs/>
        </w:rPr>
        <w:t xml:space="preserve">: update conditions for intra-frequency measurement without gap (highlighted in </w:t>
      </w:r>
      <w:r w:rsidRPr="000B4FAE">
        <w:rPr>
          <w:b/>
          <w:bCs/>
          <w:highlight w:val="yellow"/>
        </w:rPr>
        <w:t>yellow</w:t>
      </w:r>
      <w:r w:rsidRPr="000B4FAE">
        <w:rPr>
          <w:b/>
          <w:bCs/>
        </w:rPr>
        <w:t>):</w:t>
      </w:r>
      <w:r w:rsidRPr="000B4FAE">
        <w:rPr>
          <w:rFonts w:cs="v4.2.0"/>
          <w:b/>
          <w:bCs/>
          <w:lang w:val="en-US" w:eastAsia="zh-CN"/>
        </w:rPr>
        <w:fldChar w:fldCharType="end"/>
      </w:r>
    </w:p>
    <w:p w14:paraId="6C7E94F6" w14:textId="77777777" w:rsidR="000B4FAE" w:rsidRPr="000B4FAE" w:rsidRDefault="000B4FAE" w:rsidP="000B4FAE">
      <w:pPr>
        <w:ind w:left="284"/>
        <w:rPr>
          <w:b/>
          <w:bCs/>
          <w:color w:val="000000" w:themeColor="text1"/>
        </w:rPr>
      </w:pPr>
      <w:r w:rsidRPr="000B4FAE">
        <w:rPr>
          <w:b/>
          <w:bCs/>
          <w:color w:val="000000" w:themeColor="text1"/>
        </w:rPr>
        <w:t>- The UE can perform intra-frequency SSB based measurements without measurement gaps (either legacy measurement gap or NCSG) if</w:t>
      </w:r>
    </w:p>
    <w:p w14:paraId="4F258ADE" w14:textId="77777777" w:rsidR="000B4FAE" w:rsidRPr="000B4FAE" w:rsidRDefault="000B4FAE" w:rsidP="000B4FAE">
      <w:pPr>
        <w:pStyle w:val="B1"/>
        <w:ind w:left="852"/>
        <w:rPr>
          <w:b/>
          <w:bCs/>
          <w:color w:val="000000" w:themeColor="text1"/>
          <w:lang w:eastAsia="zh-CN"/>
        </w:rPr>
      </w:pPr>
      <w:r w:rsidRPr="000B4FAE">
        <w:rPr>
          <w:b/>
          <w:bCs/>
          <w:color w:val="000000" w:themeColor="text1"/>
        </w:rPr>
        <w:t>-</w:t>
      </w:r>
      <w:r w:rsidRPr="000B4FAE">
        <w:rPr>
          <w:b/>
          <w:bCs/>
          <w:color w:val="000000" w:themeColor="text1"/>
        </w:rPr>
        <w:tab/>
        <w:t>the UE indicates ‘no-gap’ via intraFreq-needForGap for intra-frequency measurement</w:t>
      </w:r>
      <w:r w:rsidRPr="000B4FAE">
        <w:rPr>
          <w:b/>
          <w:bCs/>
          <w:color w:val="000000" w:themeColor="text1"/>
          <w:lang w:eastAsia="zh-CN"/>
        </w:rPr>
        <w:t>, or</w:t>
      </w:r>
    </w:p>
    <w:p w14:paraId="6E4D36E5" w14:textId="77777777" w:rsidR="000B4FAE" w:rsidRPr="000B4FAE" w:rsidRDefault="000B4FAE" w:rsidP="000B4FAE">
      <w:pPr>
        <w:pStyle w:val="B1"/>
        <w:ind w:left="852"/>
        <w:rPr>
          <w:b/>
          <w:bCs/>
          <w:color w:val="000000" w:themeColor="text1"/>
          <w:lang w:eastAsia="zh-CN"/>
        </w:rPr>
      </w:pPr>
      <w:r w:rsidRPr="000B4FAE">
        <w:rPr>
          <w:b/>
          <w:bCs/>
          <w:color w:val="000000" w:themeColor="text1"/>
        </w:rPr>
        <w:t>-</w:t>
      </w:r>
      <w:r w:rsidRPr="000B4FAE">
        <w:rPr>
          <w:b/>
          <w:bCs/>
          <w:color w:val="000000" w:themeColor="text1"/>
        </w:rPr>
        <w:tab/>
        <w:t xml:space="preserve">the SSB is completely contained in the </w:t>
      </w:r>
      <w:r w:rsidRPr="000B4FAE">
        <w:rPr>
          <w:b/>
          <w:bCs/>
          <w:color w:val="000000" w:themeColor="text1"/>
          <w:lang w:eastAsia="zh-CN"/>
        </w:rPr>
        <w:t>active BWP</w:t>
      </w:r>
      <w:r w:rsidRPr="000B4FAE">
        <w:rPr>
          <w:b/>
          <w:bCs/>
          <w:color w:val="000000" w:themeColor="text1"/>
        </w:rPr>
        <w:t xml:space="preserve"> of the UE</w:t>
      </w:r>
      <w:r w:rsidRPr="000B4FAE">
        <w:rPr>
          <w:b/>
          <w:bCs/>
          <w:color w:val="000000" w:themeColor="text1"/>
          <w:lang w:eastAsia="zh-CN"/>
        </w:rPr>
        <w:t>, or</w:t>
      </w:r>
    </w:p>
    <w:p w14:paraId="233FDDA3" w14:textId="77777777" w:rsidR="000B4FAE" w:rsidRPr="000B4FAE" w:rsidRDefault="000B4FAE" w:rsidP="000B4FAE">
      <w:pPr>
        <w:pStyle w:val="B1"/>
        <w:ind w:left="852"/>
        <w:rPr>
          <w:b/>
          <w:bCs/>
          <w:color w:val="000000" w:themeColor="text1"/>
          <w:highlight w:val="yellow"/>
        </w:rPr>
      </w:pPr>
      <w:r w:rsidRPr="000B4FAE">
        <w:rPr>
          <w:b/>
          <w:bCs/>
          <w:color w:val="000000" w:themeColor="text1"/>
          <w:lang w:eastAsia="zh-CN"/>
        </w:rPr>
        <w:t>-</w:t>
      </w:r>
      <w:r w:rsidRPr="000B4FAE">
        <w:rPr>
          <w:b/>
          <w:bCs/>
          <w:color w:val="000000" w:themeColor="text1"/>
        </w:rPr>
        <w:tab/>
        <w:t>the active downlink BWP is initial BWP</w:t>
      </w:r>
      <w:r w:rsidRPr="000B4FAE">
        <w:rPr>
          <w:b/>
          <w:bCs/>
          <w:color w:val="000000" w:themeColor="text1"/>
          <w:lang w:eastAsia="zh-CN"/>
        </w:rPr>
        <w:t xml:space="preserve">[3], </w:t>
      </w:r>
      <w:r w:rsidRPr="000B4FAE">
        <w:rPr>
          <w:b/>
          <w:bCs/>
          <w:color w:val="000000" w:themeColor="text1"/>
          <w:highlight w:val="yellow"/>
          <w:lang w:eastAsia="zh-CN"/>
        </w:rPr>
        <w:t>or</w:t>
      </w:r>
    </w:p>
    <w:p w14:paraId="64268629" w14:textId="77777777" w:rsidR="000B4FAE" w:rsidRPr="000B4FAE" w:rsidRDefault="000B4FAE" w:rsidP="000B4FAE">
      <w:pPr>
        <w:pStyle w:val="B1"/>
        <w:ind w:left="852"/>
        <w:rPr>
          <w:b/>
          <w:bCs/>
        </w:rPr>
      </w:pPr>
      <w:r w:rsidRPr="000B4FAE">
        <w:rPr>
          <w:b/>
          <w:bCs/>
          <w:color w:val="000000" w:themeColor="text1"/>
          <w:highlight w:val="yellow"/>
        </w:rPr>
        <w:t xml:space="preserve">-  the UE supports </w:t>
      </w:r>
      <w:r w:rsidRPr="000B4FAE">
        <w:rPr>
          <w:b/>
          <w:bCs/>
          <w:i/>
          <w:iCs/>
          <w:color w:val="000000" w:themeColor="text1"/>
          <w:highlight w:val="yellow"/>
          <w:lang w:val="en-US"/>
        </w:rPr>
        <w:t>intraFrequencyMeasOutsideBWP-NoGap</w:t>
      </w:r>
      <w:r w:rsidRPr="000B4FAE">
        <w:rPr>
          <w:b/>
          <w:bCs/>
          <w:color w:val="000000" w:themeColor="text1"/>
          <w:highlight w:val="yellow"/>
        </w:rPr>
        <w:t xml:space="preserve"> and the SSB is completely contained in the CBW of the UE.</w:t>
      </w:r>
    </w:p>
    <w:p w14:paraId="5A884C05" w14:textId="09A31A52" w:rsidR="000B4FAE" w:rsidRPr="000B4FAE" w:rsidRDefault="000B4FAE" w:rsidP="005636A6">
      <w:pPr>
        <w:jc w:val="both"/>
        <w:rPr>
          <w:rFonts w:cs="v4.2.0"/>
          <w:b/>
          <w:bCs/>
          <w:lang w:val="en-US" w:eastAsia="zh-CN"/>
        </w:rPr>
      </w:pPr>
      <w:r w:rsidRPr="000B4FAE">
        <w:rPr>
          <w:rFonts w:cs="v4.2.0"/>
          <w:b/>
          <w:bCs/>
          <w:lang w:val="en-US" w:eastAsia="zh-CN"/>
        </w:rPr>
        <w:fldChar w:fldCharType="begin"/>
      </w:r>
      <w:r w:rsidRPr="000B4FAE">
        <w:rPr>
          <w:rFonts w:cs="v4.2.0"/>
          <w:b/>
          <w:bCs/>
          <w:lang w:val="en-US" w:eastAsia="zh-CN"/>
        </w:rPr>
        <w:instrText xml:space="preserve"> REF _Ref142572976 \h </w:instrText>
      </w:r>
      <w:r>
        <w:rPr>
          <w:rFonts w:cs="v4.2.0"/>
          <w:b/>
          <w:bCs/>
          <w:lang w:val="en-US" w:eastAsia="zh-CN"/>
        </w:rPr>
        <w:instrText xml:space="preserve"> \* MERGEFORMAT </w:instrText>
      </w:r>
      <w:r w:rsidRPr="000B4FAE">
        <w:rPr>
          <w:rFonts w:cs="v4.2.0"/>
          <w:b/>
          <w:bCs/>
          <w:lang w:val="en-US" w:eastAsia="zh-CN"/>
        </w:rPr>
      </w:r>
      <w:r w:rsidRPr="000B4FAE">
        <w:rPr>
          <w:rFonts w:cs="v4.2.0"/>
          <w:b/>
          <w:bCs/>
          <w:lang w:val="en-US" w:eastAsia="zh-CN"/>
        </w:rPr>
        <w:fldChar w:fldCharType="separate"/>
      </w:r>
      <w:r w:rsidRPr="000B4FAE">
        <w:rPr>
          <w:b/>
          <w:bCs/>
        </w:rPr>
        <w:t xml:space="preserve">Proposal </w:t>
      </w:r>
      <w:r w:rsidRPr="000B4FAE">
        <w:rPr>
          <w:b/>
          <w:bCs/>
          <w:noProof/>
        </w:rPr>
        <w:t>3</w:t>
      </w:r>
      <w:r w:rsidRPr="000B4FAE">
        <w:rPr>
          <w:b/>
          <w:bCs/>
        </w:rPr>
        <w:t>: the feedback from UE to network on whether MG is needed for measurement on target band shall algin among different features, including option B-1-1, NFG and NCSG.</w:t>
      </w:r>
      <w:r w:rsidRPr="000B4FAE">
        <w:rPr>
          <w:rFonts w:cs="v4.2.0"/>
          <w:b/>
          <w:bCs/>
          <w:lang w:val="en-US" w:eastAsia="zh-CN"/>
        </w:rPr>
        <w:fldChar w:fldCharType="end"/>
      </w:r>
    </w:p>
    <w:p w14:paraId="4CC91692" w14:textId="51356539" w:rsidR="000B4FAE" w:rsidRPr="000B4FAE" w:rsidRDefault="000B4FAE" w:rsidP="005636A6">
      <w:pPr>
        <w:jc w:val="both"/>
        <w:rPr>
          <w:rFonts w:cs="v4.2.0"/>
          <w:b/>
          <w:bCs/>
          <w:lang w:val="en-US" w:eastAsia="zh-CN"/>
        </w:rPr>
      </w:pPr>
      <w:r w:rsidRPr="000B4FAE">
        <w:rPr>
          <w:rFonts w:cs="v4.2.0"/>
          <w:b/>
          <w:bCs/>
          <w:lang w:val="en-US" w:eastAsia="zh-CN"/>
        </w:rPr>
        <w:fldChar w:fldCharType="begin"/>
      </w:r>
      <w:r w:rsidRPr="000B4FAE">
        <w:rPr>
          <w:rFonts w:cs="v4.2.0"/>
          <w:b/>
          <w:bCs/>
          <w:lang w:val="en-US" w:eastAsia="zh-CN"/>
        </w:rPr>
        <w:instrText xml:space="preserve"> REF _Ref142572979 \h </w:instrText>
      </w:r>
      <w:r>
        <w:rPr>
          <w:rFonts w:cs="v4.2.0"/>
          <w:b/>
          <w:bCs/>
          <w:lang w:val="en-US" w:eastAsia="zh-CN"/>
        </w:rPr>
        <w:instrText xml:space="preserve"> \* MERGEFORMAT </w:instrText>
      </w:r>
      <w:r w:rsidRPr="000B4FAE">
        <w:rPr>
          <w:rFonts w:cs="v4.2.0"/>
          <w:b/>
          <w:bCs/>
          <w:lang w:val="en-US" w:eastAsia="zh-CN"/>
        </w:rPr>
      </w:r>
      <w:r w:rsidRPr="000B4FAE">
        <w:rPr>
          <w:rFonts w:cs="v4.2.0"/>
          <w:b/>
          <w:bCs/>
          <w:lang w:val="en-US" w:eastAsia="zh-CN"/>
        </w:rPr>
        <w:fldChar w:fldCharType="separate"/>
      </w:r>
      <w:r w:rsidRPr="000B4FAE">
        <w:rPr>
          <w:b/>
          <w:bCs/>
        </w:rPr>
        <w:t xml:space="preserve">Proposal </w:t>
      </w:r>
      <w:r w:rsidRPr="000B4FAE">
        <w:rPr>
          <w:b/>
          <w:bCs/>
          <w:noProof/>
        </w:rPr>
        <w:t>4</w:t>
      </w:r>
      <w:r w:rsidRPr="000B4FAE">
        <w:rPr>
          <w:b/>
          <w:bCs/>
        </w:rPr>
        <w:t xml:space="preserve">: </w:t>
      </w:r>
      <w:r w:rsidRPr="000B4FAE">
        <w:rPr>
          <w:b/>
          <w:bCs/>
          <w:lang w:eastAsia="x-none"/>
        </w:rPr>
        <w:t>To save signalling and avoid confusion</w:t>
      </w:r>
      <w:r w:rsidRPr="000B4FAE">
        <w:rPr>
          <w:b/>
          <w:bCs/>
        </w:rPr>
        <w:t xml:space="preserve">, some dependency among feature can be considered, e.g., </w:t>
      </w:r>
      <w:r w:rsidRPr="000B4FAE">
        <w:rPr>
          <w:b/>
          <w:bCs/>
          <w:lang w:val="en-US" w:eastAsia="x-none"/>
        </w:rPr>
        <w:t>if UE supports of B-1-1, then NW can assume UE support intra-frequency RRM measurement without gap on the same band via NeedForGaps or NCSG</w:t>
      </w:r>
      <w:r w:rsidRPr="000B4FAE">
        <w:rPr>
          <w:b/>
          <w:bCs/>
          <w:lang w:val="en-US"/>
        </w:rPr>
        <w:t>.</w:t>
      </w:r>
      <w:r w:rsidRPr="000B4FAE">
        <w:rPr>
          <w:rFonts w:cs="v4.2.0"/>
          <w:b/>
          <w:bCs/>
          <w:lang w:val="en-US" w:eastAsia="zh-CN"/>
        </w:rPr>
        <w:fldChar w:fldCharType="end"/>
      </w:r>
    </w:p>
    <w:p w14:paraId="0C243F2D" w14:textId="77777777" w:rsidR="00A0727E" w:rsidRPr="008F2251" w:rsidRDefault="00A0727E"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6C772E95" w14:textId="1D1ACE23" w:rsidR="00B3338F" w:rsidRPr="004D2535" w:rsidRDefault="00853BB3" w:rsidP="00853BB3">
      <w:pPr>
        <w:pStyle w:val="Reference"/>
        <w:keepLines/>
        <w:numPr>
          <w:ilvl w:val="0"/>
          <w:numId w:val="12"/>
        </w:numPr>
        <w:rPr>
          <w:lang w:val="en-US"/>
        </w:rPr>
      </w:pPr>
      <w:r w:rsidRPr="00853BB3">
        <w:rPr>
          <w:bCs/>
        </w:rPr>
        <w:t>R4-2310176</w:t>
      </w:r>
      <w:r w:rsidR="004F2C3D" w:rsidRPr="00853BB3">
        <w:rPr>
          <w:bCs/>
          <w:lang w:val="en-US"/>
        </w:rPr>
        <w:t>,</w:t>
      </w:r>
      <w:r w:rsidR="004F2C3D" w:rsidRPr="008F2251">
        <w:rPr>
          <w:lang w:val="en-US"/>
        </w:rPr>
        <w:t xml:space="preserve"> </w:t>
      </w:r>
      <w:r w:rsidRPr="00853BB3">
        <w:rPr>
          <w:bCs/>
        </w:rPr>
        <w:t>WF on NR BWP operation without restriction</w:t>
      </w:r>
      <w:r w:rsidR="00DB3233" w:rsidRPr="008F2251">
        <w:rPr>
          <w:bCs/>
          <w:lang w:val="en-US"/>
        </w:rPr>
        <w:t xml:space="preserve">, </w:t>
      </w:r>
      <w:r>
        <w:rPr>
          <w:bCs/>
          <w:lang w:val="en-US"/>
        </w:rPr>
        <w:t>vivo</w:t>
      </w:r>
    </w:p>
    <w:p w14:paraId="12AEFD26" w14:textId="5EF2D967" w:rsidR="004D2535" w:rsidRPr="004D2535" w:rsidRDefault="004D2535" w:rsidP="00853BB3">
      <w:pPr>
        <w:pStyle w:val="Reference"/>
        <w:keepLines/>
        <w:numPr>
          <w:ilvl w:val="0"/>
          <w:numId w:val="12"/>
        </w:numPr>
        <w:rPr>
          <w:lang w:val="en-US"/>
        </w:rPr>
      </w:pPr>
      <w:r w:rsidRPr="004D2535">
        <w:t xml:space="preserve">RP-231486, Revised WID: Complete the specification support for BandWidth Part operation without restriction in NR, </w:t>
      </w:r>
      <w:r w:rsidRPr="004D2535">
        <w:rPr>
          <w:lang w:val="en-US"/>
        </w:rPr>
        <w:t>Vodafone, vivo</w:t>
      </w:r>
    </w:p>
    <w:sectPr w:rsidR="004D2535" w:rsidRPr="004D2535"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FC6C5" w14:textId="77777777" w:rsidR="000C3B75" w:rsidRDefault="000C3B75">
      <w:pPr>
        <w:spacing w:after="0"/>
      </w:pPr>
      <w:r>
        <w:separator/>
      </w:r>
    </w:p>
  </w:endnote>
  <w:endnote w:type="continuationSeparator" w:id="0">
    <w:p w14:paraId="12E3987F" w14:textId="77777777" w:rsidR="000C3B75" w:rsidRDefault="000C3B75">
      <w:pPr>
        <w:spacing w:after="0"/>
      </w:pPr>
      <w:r>
        <w:continuationSeparator/>
      </w:r>
    </w:p>
  </w:endnote>
  <w:endnote w:type="continuationNotice" w:id="1">
    <w:p w14:paraId="6E29CD49" w14:textId="77777777" w:rsidR="000C3B75" w:rsidRDefault="000C3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06B7C" w14:textId="77777777" w:rsidR="000C3B75" w:rsidRDefault="000C3B75">
      <w:pPr>
        <w:spacing w:after="0"/>
      </w:pPr>
      <w:r>
        <w:separator/>
      </w:r>
    </w:p>
  </w:footnote>
  <w:footnote w:type="continuationSeparator" w:id="0">
    <w:p w14:paraId="684FE0C8" w14:textId="77777777" w:rsidR="000C3B75" w:rsidRDefault="000C3B75">
      <w:pPr>
        <w:spacing w:after="0"/>
      </w:pPr>
      <w:r>
        <w:continuationSeparator/>
      </w:r>
    </w:p>
  </w:footnote>
  <w:footnote w:type="continuationNotice" w:id="1">
    <w:p w14:paraId="544FDF8A" w14:textId="77777777" w:rsidR="000C3B75" w:rsidRDefault="000C3B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C2A1EE2"/>
    <w:multiLevelType w:val="hybridMultilevel"/>
    <w:tmpl w:val="D18C71AE"/>
    <w:lvl w:ilvl="0" w:tplc="040C91F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0"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7"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8"/>
  </w:num>
  <w:num w:numId="5" w16cid:durableId="648827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2"/>
  </w:num>
  <w:num w:numId="8" w16cid:durableId="1925916492">
    <w:abstractNumId w:val="4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41"/>
  </w:num>
  <w:num w:numId="12" w16cid:durableId="1175027039">
    <w:abstractNumId w:val="24"/>
  </w:num>
  <w:num w:numId="13" w16cid:durableId="665591870">
    <w:abstractNumId w:val="1"/>
  </w:num>
  <w:num w:numId="14" w16cid:durableId="1820999206">
    <w:abstractNumId w:val="29"/>
  </w:num>
  <w:num w:numId="15" w16cid:durableId="27068971">
    <w:abstractNumId w:val="13"/>
  </w:num>
  <w:num w:numId="16" w16cid:durableId="1673684540">
    <w:abstractNumId w:val="22"/>
  </w:num>
  <w:num w:numId="17" w16cid:durableId="689647860">
    <w:abstractNumId w:val="4"/>
  </w:num>
  <w:num w:numId="18" w16cid:durableId="836766221">
    <w:abstractNumId w:val="12"/>
  </w:num>
  <w:num w:numId="19" w16cid:durableId="2067408291">
    <w:abstractNumId w:val="36"/>
  </w:num>
  <w:num w:numId="20" w16cid:durableId="648173420">
    <w:abstractNumId w:val="26"/>
  </w:num>
  <w:num w:numId="21" w16cid:durableId="864829629">
    <w:abstractNumId w:val="31"/>
  </w:num>
  <w:num w:numId="22" w16cid:durableId="2002073984">
    <w:abstractNumId w:val="33"/>
  </w:num>
  <w:num w:numId="23" w16cid:durableId="1372269391">
    <w:abstractNumId w:val="2"/>
  </w:num>
  <w:num w:numId="24" w16cid:durableId="86540056">
    <w:abstractNumId w:val="25"/>
  </w:num>
  <w:num w:numId="25" w16cid:durableId="1848398925">
    <w:abstractNumId w:val="0"/>
  </w:num>
  <w:num w:numId="26" w16cid:durableId="268200992">
    <w:abstractNumId w:val="35"/>
  </w:num>
  <w:num w:numId="27" w16cid:durableId="1199899444">
    <w:abstractNumId w:val="6"/>
  </w:num>
  <w:num w:numId="28" w16cid:durableId="2124037151">
    <w:abstractNumId w:val="27"/>
  </w:num>
  <w:num w:numId="29" w16cid:durableId="1176505110">
    <w:abstractNumId w:val="37"/>
  </w:num>
  <w:num w:numId="30" w16cid:durableId="1879048688">
    <w:abstractNumId w:val="23"/>
  </w:num>
  <w:num w:numId="31" w16cid:durableId="1398741903">
    <w:abstractNumId w:val="11"/>
  </w:num>
  <w:num w:numId="32" w16cid:durableId="1789276309">
    <w:abstractNumId w:val="20"/>
  </w:num>
  <w:num w:numId="33" w16cid:durableId="193614665">
    <w:abstractNumId w:val="45"/>
  </w:num>
  <w:num w:numId="34" w16cid:durableId="23554501">
    <w:abstractNumId w:val="17"/>
  </w:num>
  <w:num w:numId="35" w16cid:durableId="57362482">
    <w:abstractNumId w:val="34"/>
  </w:num>
  <w:num w:numId="36" w16cid:durableId="747653175">
    <w:abstractNumId w:val="19"/>
  </w:num>
  <w:num w:numId="37" w16cid:durableId="1645423610">
    <w:abstractNumId w:val="46"/>
  </w:num>
  <w:num w:numId="38" w16cid:durableId="228196596">
    <w:abstractNumId w:val="7"/>
  </w:num>
  <w:num w:numId="39" w16cid:durableId="1155074632">
    <w:abstractNumId w:val="15"/>
  </w:num>
  <w:num w:numId="40" w16cid:durableId="76371087">
    <w:abstractNumId w:val="18"/>
  </w:num>
  <w:num w:numId="41" w16cid:durableId="883561841">
    <w:abstractNumId w:val="3"/>
  </w:num>
  <w:num w:numId="42" w16cid:durableId="1150681096">
    <w:abstractNumId w:val="40"/>
  </w:num>
  <w:num w:numId="43" w16cid:durableId="2099281399">
    <w:abstractNumId w:val="28"/>
  </w:num>
  <w:num w:numId="44" w16cid:durableId="98457571">
    <w:abstractNumId w:val="43"/>
  </w:num>
  <w:num w:numId="45" w16cid:durableId="1426607444">
    <w:abstractNumId w:val="42"/>
  </w:num>
  <w:num w:numId="46" w16cid:durableId="1847361239">
    <w:abstractNumId w:val="44"/>
  </w:num>
  <w:num w:numId="47" w16cid:durableId="1813063487">
    <w:abstractNumId w:val="10"/>
  </w:num>
  <w:num w:numId="48" w16cid:durableId="678047203">
    <w:abstractNumId w:val="14"/>
  </w:num>
  <w:num w:numId="49" w16cid:durableId="1638143581">
    <w:abstractNumId w:val="47"/>
  </w:num>
  <w:num w:numId="50" w16cid:durableId="1664816889">
    <w:abstractNumId w:val="38"/>
  </w:num>
  <w:num w:numId="51" w16cid:durableId="761680416">
    <w:abstractNumId w:val="21"/>
  </w:num>
  <w:num w:numId="52" w16cid:durableId="1986542301">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D6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B14"/>
    <w:rsid w:val="00060E94"/>
    <w:rsid w:val="00060EEF"/>
    <w:rsid w:val="00060F23"/>
    <w:rsid w:val="00061A8B"/>
    <w:rsid w:val="000627F6"/>
    <w:rsid w:val="0006353B"/>
    <w:rsid w:val="00063930"/>
    <w:rsid w:val="00063A62"/>
    <w:rsid w:val="00063BE7"/>
    <w:rsid w:val="00063CE4"/>
    <w:rsid w:val="00064C71"/>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0ED"/>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4FAE"/>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3B75"/>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06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1FE9"/>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30C"/>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EE"/>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114"/>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25"/>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6F52"/>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38B"/>
    <w:rsid w:val="002F2AF3"/>
    <w:rsid w:val="002F33B8"/>
    <w:rsid w:val="002F38BB"/>
    <w:rsid w:val="002F3E1D"/>
    <w:rsid w:val="002F44FC"/>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5988"/>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8DA"/>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968"/>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304"/>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2C10"/>
    <w:rsid w:val="004530B2"/>
    <w:rsid w:val="00454645"/>
    <w:rsid w:val="0045480D"/>
    <w:rsid w:val="00454FEA"/>
    <w:rsid w:val="004559A0"/>
    <w:rsid w:val="004564B4"/>
    <w:rsid w:val="00456CFD"/>
    <w:rsid w:val="004570AC"/>
    <w:rsid w:val="00457CEC"/>
    <w:rsid w:val="0046033A"/>
    <w:rsid w:val="0046122B"/>
    <w:rsid w:val="00461410"/>
    <w:rsid w:val="00461A09"/>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C24"/>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211"/>
    <w:rsid w:val="004B36F2"/>
    <w:rsid w:val="004B3A16"/>
    <w:rsid w:val="004B4262"/>
    <w:rsid w:val="004B4C8A"/>
    <w:rsid w:val="004B4F5F"/>
    <w:rsid w:val="004B61BF"/>
    <w:rsid w:val="004B686B"/>
    <w:rsid w:val="004B6A36"/>
    <w:rsid w:val="004B6B97"/>
    <w:rsid w:val="004B6BAB"/>
    <w:rsid w:val="004B6DE2"/>
    <w:rsid w:val="004B7524"/>
    <w:rsid w:val="004B776B"/>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535"/>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206"/>
    <w:rsid w:val="004F0857"/>
    <w:rsid w:val="004F1062"/>
    <w:rsid w:val="004F1A26"/>
    <w:rsid w:val="004F217D"/>
    <w:rsid w:val="004F24DD"/>
    <w:rsid w:val="004F2C3D"/>
    <w:rsid w:val="004F3225"/>
    <w:rsid w:val="004F3A20"/>
    <w:rsid w:val="004F4E7F"/>
    <w:rsid w:val="004F5A32"/>
    <w:rsid w:val="004F60B1"/>
    <w:rsid w:val="004F6F5E"/>
    <w:rsid w:val="004F6F6D"/>
    <w:rsid w:val="004F7BF8"/>
    <w:rsid w:val="005006F3"/>
    <w:rsid w:val="0050078D"/>
    <w:rsid w:val="00501587"/>
    <w:rsid w:val="0050246B"/>
    <w:rsid w:val="005027CE"/>
    <w:rsid w:val="00502EC6"/>
    <w:rsid w:val="00502F14"/>
    <w:rsid w:val="0050327B"/>
    <w:rsid w:val="005034C6"/>
    <w:rsid w:val="005050DC"/>
    <w:rsid w:val="00505BFE"/>
    <w:rsid w:val="005063B3"/>
    <w:rsid w:val="00506D3F"/>
    <w:rsid w:val="0050760D"/>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6F02"/>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626"/>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BC2"/>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1CF"/>
    <w:rsid w:val="005C0754"/>
    <w:rsid w:val="005C0853"/>
    <w:rsid w:val="005C0A57"/>
    <w:rsid w:val="005C0C36"/>
    <w:rsid w:val="005C0C42"/>
    <w:rsid w:val="005C0E8F"/>
    <w:rsid w:val="005C109C"/>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2F3"/>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460"/>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94C"/>
    <w:rsid w:val="00666E1D"/>
    <w:rsid w:val="006676B0"/>
    <w:rsid w:val="00667ADF"/>
    <w:rsid w:val="00667B5A"/>
    <w:rsid w:val="00670459"/>
    <w:rsid w:val="00671274"/>
    <w:rsid w:val="0067130D"/>
    <w:rsid w:val="006718F8"/>
    <w:rsid w:val="00672D22"/>
    <w:rsid w:val="00673128"/>
    <w:rsid w:val="00673261"/>
    <w:rsid w:val="00673D7E"/>
    <w:rsid w:val="006745EC"/>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5EF"/>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15C"/>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6F74A5"/>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B56"/>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2399"/>
    <w:rsid w:val="00733216"/>
    <w:rsid w:val="00733486"/>
    <w:rsid w:val="0073426E"/>
    <w:rsid w:val="0073469E"/>
    <w:rsid w:val="00734B9B"/>
    <w:rsid w:val="00734FF8"/>
    <w:rsid w:val="00735712"/>
    <w:rsid w:val="007357F3"/>
    <w:rsid w:val="007358EB"/>
    <w:rsid w:val="00735E8B"/>
    <w:rsid w:val="007362E8"/>
    <w:rsid w:val="00736C6F"/>
    <w:rsid w:val="00736D1C"/>
    <w:rsid w:val="007370EE"/>
    <w:rsid w:val="007377A3"/>
    <w:rsid w:val="00737DBF"/>
    <w:rsid w:val="007402F1"/>
    <w:rsid w:val="00740AD9"/>
    <w:rsid w:val="00740C0D"/>
    <w:rsid w:val="0074107A"/>
    <w:rsid w:val="007416D2"/>
    <w:rsid w:val="00741C0B"/>
    <w:rsid w:val="0074274A"/>
    <w:rsid w:val="00743D37"/>
    <w:rsid w:val="0074402B"/>
    <w:rsid w:val="00744C1F"/>
    <w:rsid w:val="007456A3"/>
    <w:rsid w:val="00745705"/>
    <w:rsid w:val="007464E8"/>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43C"/>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DD"/>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0E8"/>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C7DF1"/>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079A"/>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123"/>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6F56"/>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47D53"/>
    <w:rsid w:val="0085060C"/>
    <w:rsid w:val="008506C7"/>
    <w:rsid w:val="00851BF7"/>
    <w:rsid w:val="008520E8"/>
    <w:rsid w:val="00853A2A"/>
    <w:rsid w:val="00853BB3"/>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56AE"/>
    <w:rsid w:val="00866398"/>
    <w:rsid w:val="00866569"/>
    <w:rsid w:val="00866672"/>
    <w:rsid w:val="00867271"/>
    <w:rsid w:val="0087024B"/>
    <w:rsid w:val="00870886"/>
    <w:rsid w:val="00870C2C"/>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0C6"/>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28C"/>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26"/>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1D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3D2"/>
    <w:rsid w:val="009259E6"/>
    <w:rsid w:val="00925DE2"/>
    <w:rsid w:val="00926187"/>
    <w:rsid w:val="00926483"/>
    <w:rsid w:val="00927186"/>
    <w:rsid w:val="00927D0A"/>
    <w:rsid w:val="009308B0"/>
    <w:rsid w:val="00931141"/>
    <w:rsid w:val="009312F2"/>
    <w:rsid w:val="00931409"/>
    <w:rsid w:val="0093145C"/>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0C7"/>
    <w:rsid w:val="00950212"/>
    <w:rsid w:val="00950825"/>
    <w:rsid w:val="00950F71"/>
    <w:rsid w:val="00950F82"/>
    <w:rsid w:val="00951653"/>
    <w:rsid w:val="009522A8"/>
    <w:rsid w:val="00952AC1"/>
    <w:rsid w:val="00952FD7"/>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1FF1"/>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529"/>
    <w:rsid w:val="00A46724"/>
    <w:rsid w:val="00A46EC5"/>
    <w:rsid w:val="00A46FC2"/>
    <w:rsid w:val="00A47D3D"/>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0CF8"/>
    <w:rsid w:val="00A91016"/>
    <w:rsid w:val="00A91465"/>
    <w:rsid w:val="00A91DEC"/>
    <w:rsid w:val="00A92028"/>
    <w:rsid w:val="00A9202D"/>
    <w:rsid w:val="00A9208F"/>
    <w:rsid w:val="00A9224D"/>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AF8"/>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315"/>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6DBA"/>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1AB"/>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910"/>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1C9"/>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45C"/>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94D"/>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0B4F"/>
    <w:rsid w:val="00D90B96"/>
    <w:rsid w:val="00D91468"/>
    <w:rsid w:val="00D91DE8"/>
    <w:rsid w:val="00D927B0"/>
    <w:rsid w:val="00D927FD"/>
    <w:rsid w:val="00D92C8D"/>
    <w:rsid w:val="00D930D1"/>
    <w:rsid w:val="00D934D1"/>
    <w:rsid w:val="00D93843"/>
    <w:rsid w:val="00D93FAC"/>
    <w:rsid w:val="00D94134"/>
    <w:rsid w:val="00D94A68"/>
    <w:rsid w:val="00D95597"/>
    <w:rsid w:val="00D959DF"/>
    <w:rsid w:val="00D95AE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8C9"/>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63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19A"/>
    <w:rsid w:val="00E62339"/>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DA8"/>
    <w:rsid w:val="00ED4F4A"/>
    <w:rsid w:val="00ED516E"/>
    <w:rsid w:val="00ED54A5"/>
    <w:rsid w:val="00ED775A"/>
    <w:rsid w:val="00ED7A7B"/>
    <w:rsid w:val="00ED7B39"/>
    <w:rsid w:val="00ED7C3F"/>
    <w:rsid w:val="00EE1C88"/>
    <w:rsid w:val="00EE2777"/>
    <w:rsid w:val="00EE2874"/>
    <w:rsid w:val="00EE2914"/>
    <w:rsid w:val="00EE353A"/>
    <w:rsid w:val="00EE3E5B"/>
    <w:rsid w:val="00EE45DC"/>
    <w:rsid w:val="00EE4D81"/>
    <w:rsid w:val="00EE55E6"/>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65B"/>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103"/>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42"/>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706"/>
    <w:rsid w:val="00FD5169"/>
    <w:rsid w:val="00FD606D"/>
    <w:rsid w:val="00FD7941"/>
    <w:rsid w:val="00FE02C6"/>
    <w:rsid w:val="00FE06EA"/>
    <w:rsid w:val="00FE089D"/>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4509667">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63223972">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336958">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78173755">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3515653">
      <w:bodyDiv w:val="1"/>
      <w:marLeft w:val="0"/>
      <w:marRight w:val="0"/>
      <w:marTop w:val="0"/>
      <w:marBottom w:val="0"/>
      <w:divBdr>
        <w:top w:val="none" w:sz="0" w:space="0" w:color="auto"/>
        <w:left w:val="none" w:sz="0" w:space="0" w:color="auto"/>
        <w:bottom w:val="none" w:sz="0" w:space="0" w:color="auto"/>
        <w:right w:val="none" w:sz="0" w:space="0" w:color="auto"/>
      </w:divBdr>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302</TotalTime>
  <Pages>3</Pages>
  <Words>1018</Words>
  <Characters>5804</Characters>
  <Application>Microsoft Office Word</Application>
  <DocSecurity>0</DocSecurity>
  <Lines>48</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303</cp:revision>
  <cp:lastPrinted>2016-08-05T18:54:00Z</cp:lastPrinted>
  <dcterms:created xsi:type="dcterms:W3CDTF">2023-03-28T04:42:00Z</dcterms:created>
  <dcterms:modified xsi:type="dcterms:W3CDTF">2023-08-11T11:01:00Z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