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32721" w14:textId="0795724A" w:rsidR="00DF4543" w:rsidRPr="002249BA" w:rsidRDefault="00DF4543" w:rsidP="00DF4543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2249BA">
        <w:rPr>
          <w:rFonts w:ascii="Arial" w:eastAsia="MS Mincho" w:hAnsi="Arial" w:cs="Arial"/>
          <w:b/>
        </w:rPr>
        <w:t>3GPP TSG-RAN WG4 Meeting #</w:t>
      </w:r>
      <w:r w:rsidRPr="002249BA">
        <w:rPr>
          <w:rFonts w:ascii="Arial" w:eastAsia="MS Mincho" w:hAnsi="Arial" w:cs="Arial"/>
          <w:sz w:val="20"/>
          <w:szCs w:val="20"/>
        </w:rPr>
        <w:t xml:space="preserve"> </w:t>
      </w:r>
      <w:r w:rsidRPr="002249BA">
        <w:rPr>
          <w:rFonts w:ascii="Arial" w:eastAsia="MS Mincho" w:hAnsi="Arial" w:cs="Arial"/>
          <w:b/>
        </w:rPr>
        <w:t>10</w:t>
      </w:r>
      <w:r>
        <w:rPr>
          <w:rFonts w:ascii="Arial" w:eastAsia="MS Mincho" w:hAnsi="Arial" w:cs="Arial"/>
          <w:b/>
        </w:rPr>
        <w:t>8</w:t>
      </w:r>
      <w:r w:rsidRPr="002249BA">
        <w:rPr>
          <w:rFonts w:ascii="Arial" w:eastAsia="MS Mincho" w:hAnsi="Arial" w:cs="Arial"/>
          <w:b/>
        </w:rPr>
        <w:tab/>
      </w:r>
      <w:r w:rsidR="00A1387B" w:rsidRPr="00A1387B">
        <w:rPr>
          <w:rFonts w:ascii="Arial" w:eastAsia="MS Mincho" w:hAnsi="Arial" w:cs="Arial"/>
          <w:b/>
        </w:rPr>
        <w:t>R4-2311359</w:t>
      </w:r>
    </w:p>
    <w:p w14:paraId="18E0CD05" w14:textId="77777777" w:rsidR="00DF4543" w:rsidRPr="00376830" w:rsidRDefault="00DF4543" w:rsidP="00DF4543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Toulouse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France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5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>, 2023</w:t>
      </w:r>
    </w:p>
    <w:p w14:paraId="2305CEA3" w14:textId="4802DAD1" w:rsidR="009F52D7" w:rsidRPr="00303915" w:rsidRDefault="009F52D7" w:rsidP="001715D4">
      <w:pPr>
        <w:pStyle w:val="CH"/>
        <w:spacing w:before="240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A00313">
        <w:rPr>
          <w:sz w:val="24"/>
          <w:szCs w:val="24"/>
        </w:rPr>
        <w:t>8</w:t>
      </w:r>
      <w:r w:rsidR="00197F09">
        <w:rPr>
          <w:sz w:val="24"/>
          <w:szCs w:val="24"/>
        </w:rPr>
        <w:t>.</w:t>
      </w:r>
      <w:r w:rsidR="00DF4543">
        <w:rPr>
          <w:sz w:val="24"/>
          <w:szCs w:val="24"/>
        </w:rPr>
        <w:t>29</w:t>
      </w:r>
      <w:r w:rsidR="00197F09">
        <w:rPr>
          <w:sz w:val="24"/>
          <w:szCs w:val="24"/>
        </w:rPr>
        <w:t>.</w:t>
      </w:r>
      <w:r w:rsidR="006A4629">
        <w:rPr>
          <w:sz w:val="24"/>
          <w:szCs w:val="24"/>
        </w:rPr>
        <w:t>3</w:t>
      </w:r>
      <w:r w:rsidR="00B52195">
        <w:rPr>
          <w:sz w:val="24"/>
          <w:szCs w:val="24"/>
        </w:rPr>
        <w:t>.1</w:t>
      </w:r>
    </w:p>
    <w:p w14:paraId="30D50B86" w14:textId="1B183FBA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</w:t>
      </w:r>
    </w:p>
    <w:p w14:paraId="7827D204" w14:textId="4522B90B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B52195" w:rsidRPr="00B52195">
        <w:rPr>
          <w:sz w:val="24"/>
          <w:szCs w:val="24"/>
        </w:rPr>
        <w:t>On RRM requirements impacts for NR MIMO evolution for downlink and uplink</w:t>
      </w:r>
    </w:p>
    <w:p w14:paraId="2AB0E874" w14:textId="1DF3D72D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590EAB">
        <w:rPr>
          <w:sz w:val="24"/>
          <w:szCs w:val="24"/>
        </w:rPr>
        <w:t>8</w:t>
      </w:r>
    </w:p>
    <w:p w14:paraId="5FD26D80" w14:textId="69E72605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</w:r>
      <w:r w:rsidR="00AD261E">
        <w:rPr>
          <w:sz w:val="24"/>
          <w:szCs w:val="24"/>
        </w:rPr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7D03A8FD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 xml:space="preserve">1. Introduction </w:t>
      </w:r>
    </w:p>
    <w:p w14:paraId="1076DCC3" w14:textId="7BA14624" w:rsidR="002249BA" w:rsidRPr="002045D3" w:rsidRDefault="002249BA" w:rsidP="002249BA">
      <w:pPr>
        <w:spacing w:after="120"/>
        <w:rPr>
          <w:sz w:val="20"/>
          <w:szCs w:val="20"/>
        </w:rPr>
      </w:pPr>
      <w:r w:rsidRPr="002045D3">
        <w:rPr>
          <w:sz w:val="20"/>
          <w:szCs w:val="20"/>
        </w:rPr>
        <w:t>In RAN4#</w:t>
      </w:r>
      <w:r w:rsidR="004E4B5C">
        <w:rPr>
          <w:sz w:val="20"/>
          <w:szCs w:val="20"/>
        </w:rPr>
        <w:t>10</w:t>
      </w:r>
      <w:r w:rsidR="00DF4543">
        <w:rPr>
          <w:sz w:val="20"/>
          <w:szCs w:val="20"/>
        </w:rPr>
        <w:t>7</w:t>
      </w:r>
      <w:r w:rsidRPr="002045D3">
        <w:rPr>
          <w:sz w:val="20"/>
          <w:szCs w:val="20"/>
        </w:rPr>
        <w:t xml:space="preserve"> </w:t>
      </w:r>
      <w:r w:rsidR="00B52195">
        <w:rPr>
          <w:sz w:val="20"/>
          <w:szCs w:val="20"/>
        </w:rPr>
        <w:t>RRM impacts for R18 MIMO evolution</w:t>
      </w:r>
      <w:r w:rsidRPr="002045D3">
        <w:rPr>
          <w:sz w:val="20"/>
          <w:szCs w:val="20"/>
        </w:rPr>
        <w:t xml:space="preserve"> were discussed and way forward [1] </w:t>
      </w:r>
      <w:r w:rsidR="004E4B5C">
        <w:rPr>
          <w:sz w:val="20"/>
          <w:szCs w:val="20"/>
        </w:rPr>
        <w:t>was</w:t>
      </w:r>
      <w:r w:rsidRPr="002045D3">
        <w:rPr>
          <w:sz w:val="20"/>
          <w:szCs w:val="20"/>
        </w:rPr>
        <w:t xml:space="preserve"> agreed.  In this contribution we present our views on </w:t>
      </w:r>
      <w:r w:rsidR="00B52195">
        <w:rPr>
          <w:sz w:val="20"/>
          <w:szCs w:val="20"/>
        </w:rPr>
        <w:t>RRM requirements for NR MIMO evolution for downlink and uplink other than 2TA and unified TCI</w:t>
      </w:r>
      <w:r w:rsidRPr="002045D3">
        <w:rPr>
          <w:sz w:val="20"/>
          <w:szCs w:val="20"/>
        </w:rPr>
        <w:t xml:space="preserve">.   </w:t>
      </w:r>
    </w:p>
    <w:p w14:paraId="3AFFD937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>2. Discussion</w:t>
      </w:r>
    </w:p>
    <w:p w14:paraId="4536CAE2" w14:textId="2DE13BAB" w:rsidR="002249BA" w:rsidRDefault="00475EC9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For RRM impacts for R18 MIMO evolution the following agreements were reached in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75EC9" w14:paraId="73307B0C" w14:textId="77777777" w:rsidTr="00A94B1A">
        <w:tc>
          <w:tcPr>
            <w:tcW w:w="9350" w:type="dxa"/>
          </w:tcPr>
          <w:p w14:paraId="38D540BB" w14:textId="77777777" w:rsidR="00475EC9" w:rsidRPr="00475EC9" w:rsidRDefault="00475EC9" w:rsidP="00475E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0"/>
                <w:szCs w:val="20"/>
                <w:u w:val="single"/>
                <w:lang w:val="en-GB" w:eastAsia="ko-KR"/>
              </w:rPr>
            </w:pPr>
            <w:r w:rsidRPr="00475EC9">
              <w:rPr>
                <w:b/>
                <w:sz w:val="20"/>
                <w:szCs w:val="20"/>
                <w:u w:val="single"/>
                <w:lang w:val="en-GB" w:eastAsia="ko-KR"/>
              </w:rPr>
              <w:t>Issue 1-2-1: Whether to specify RRM requirements for Rel-17 Full slot SRS transmission?</w:t>
            </w:r>
          </w:p>
          <w:p w14:paraId="68211701" w14:textId="77777777" w:rsidR="00475EC9" w:rsidRPr="00475EC9" w:rsidRDefault="00475EC9" w:rsidP="00475E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iCs/>
                <w:sz w:val="20"/>
                <w:szCs w:val="20"/>
                <w:lang w:eastAsia="zh-CN"/>
              </w:rPr>
            </w:pPr>
            <w:r w:rsidRPr="00475EC9">
              <w:rPr>
                <w:rFonts w:eastAsiaTheme="minorEastAsia"/>
                <w:iCs/>
                <w:sz w:val="20"/>
                <w:szCs w:val="20"/>
                <w:lang w:eastAsia="zh-CN"/>
              </w:rPr>
              <w:t>Conclusion: No consensus to specify RRM requirements for Rel-17 Full slot SRS transmission feature in the scope of Rel-18 MIMO evolution WI</w:t>
            </w:r>
          </w:p>
          <w:p w14:paraId="587C6FBB" w14:textId="77777777" w:rsidR="00475EC9" w:rsidRPr="00475EC9" w:rsidRDefault="00475EC9" w:rsidP="00475EC9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sz w:val="20"/>
                <w:szCs w:val="20"/>
                <w:u w:val="single"/>
                <w:lang w:val="en-GB" w:eastAsia="ko-KR"/>
              </w:rPr>
            </w:pPr>
            <w:r w:rsidRPr="00475EC9">
              <w:rPr>
                <w:b/>
                <w:sz w:val="20"/>
                <w:szCs w:val="20"/>
                <w:u w:val="single"/>
                <w:lang w:val="en-GB" w:eastAsia="ko-KR"/>
              </w:rPr>
              <w:t>Issue 1-3-1: RRM impacts by simultaneous multi-panel UL transmission?</w:t>
            </w:r>
          </w:p>
          <w:p w14:paraId="38D74821" w14:textId="77777777" w:rsidR="00475EC9" w:rsidRPr="00475EC9" w:rsidRDefault="00475EC9" w:rsidP="00475EC9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="360"/>
              <w:textAlignment w:val="baseline"/>
              <w:rPr>
                <w:sz w:val="20"/>
                <w:szCs w:val="20"/>
                <w:lang w:val="en-GB" w:eastAsia="ja-JP"/>
              </w:rPr>
            </w:pPr>
            <w:r w:rsidRPr="00475EC9">
              <w:rPr>
                <w:sz w:val="20"/>
                <w:szCs w:val="20"/>
                <w:lang w:val="en-GB" w:eastAsia="ja-JP"/>
              </w:rPr>
              <w:t>Agreements</w:t>
            </w:r>
          </w:p>
          <w:p w14:paraId="35F6E2BF" w14:textId="77777777" w:rsidR="00475EC9" w:rsidRPr="00475EC9" w:rsidRDefault="00475EC9" w:rsidP="00475EC9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1080"/>
              <w:textAlignment w:val="baseline"/>
              <w:rPr>
                <w:rFonts w:eastAsia="SimSun"/>
                <w:bCs/>
                <w:sz w:val="20"/>
                <w:szCs w:val="20"/>
                <w:lang w:val="en-GB" w:eastAsia="zh-CN"/>
              </w:rPr>
            </w:pPr>
            <w:r w:rsidRPr="00475EC9">
              <w:rPr>
                <w:rFonts w:eastAsia="SimSun"/>
                <w:bCs/>
                <w:sz w:val="20"/>
                <w:szCs w:val="20"/>
                <w:lang w:val="en-GB" w:eastAsia="zh-CN"/>
              </w:rPr>
              <w:t xml:space="preserve">No other RRM requirements required for simultaneous multi-panel UL transmission except potential timing requirements in topic 2 and enhanced unified TCI framework </w:t>
            </w:r>
            <w:r w:rsidRPr="00475EC9">
              <w:rPr>
                <w:rFonts w:eastAsia="SimSun" w:hint="eastAsia"/>
                <w:bCs/>
                <w:sz w:val="20"/>
                <w:szCs w:val="20"/>
                <w:lang w:val="en-GB" w:eastAsia="zh-CN"/>
              </w:rPr>
              <w:t>in</w:t>
            </w:r>
            <w:r w:rsidRPr="00475EC9">
              <w:rPr>
                <w:rFonts w:eastAsia="SimSun"/>
                <w:bCs/>
                <w:sz w:val="20"/>
                <w:szCs w:val="20"/>
                <w:lang w:val="en-GB" w:eastAsia="zh-CN"/>
              </w:rPr>
              <w:t xml:space="preserve"> topic 3</w:t>
            </w:r>
            <w:r w:rsidRPr="00475EC9">
              <w:rPr>
                <w:rFonts w:eastAsia="SimSun" w:hint="eastAsia"/>
                <w:bCs/>
                <w:sz w:val="20"/>
                <w:szCs w:val="20"/>
                <w:lang w:val="en-GB" w:eastAsia="zh-CN"/>
              </w:rPr>
              <w:t>,</w:t>
            </w:r>
            <w:r w:rsidRPr="00475EC9">
              <w:rPr>
                <w:rFonts w:eastAsia="SimSun"/>
                <w:bCs/>
                <w:sz w:val="20"/>
                <w:szCs w:val="20"/>
                <w:lang w:val="en-GB" w:eastAsia="zh-CN"/>
              </w:rPr>
              <w:t xml:space="preserve"> the proposals are suggested to submit in topic #2&amp; topic #3 accordingly. No further discussion in topic #1.</w:t>
            </w:r>
          </w:p>
          <w:p w14:paraId="41E46CD8" w14:textId="706521DC" w:rsidR="00475EC9" w:rsidRPr="003C1AAD" w:rsidRDefault="00475EC9" w:rsidP="00475EC9">
            <w:pPr>
              <w:overflowPunct w:val="0"/>
              <w:autoSpaceDE w:val="0"/>
              <w:autoSpaceDN w:val="0"/>
              <w:adjustRightInd w:val="0"/>
              <w:spacing w:after="120" w:line="252" w:lineRule="auto"/>
              <w:textAlignment w:val="baseline"/>
              <w:rPr>
                <w:sz w:val="20"/>
                <w:szCs w:val="20"/>
                <w:lang w:val="en-GB" w:eastAsia="ja-JP"/>
              </w:rPr>
            </w:pPr>
          </w:p>
        </w:tc>
      </w:tr>
    </w:tbl>
    <w:p w14:paraId="0C43F4A2" w14:textId="77777777" w:rsidR="00475EC9" w:rsidRDefault="00475EC9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19380118" w14:textId="4154F41B" w:rsidR="00475EC9" w:rsidRPr="00475EC9" w:rsidRDefault="00475EC9" w:rsidP="005B410D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 w:rsidRPr="00475EC9">
        <w:rPr>
          <w:rFonts w:eastAsia="SimSun"/>
          <w:b/>
          <w:bCs/>
          <w:sz w:val="20"/>
          <w:szCs w:val="20"/>
          <w:u w:val="single"/>
          <w:lang w:val="en-GB" w:eastAsia="en-GB"/>
        </w:rPr>
        <w:t>TDCP Reporting</w:t>
      </w:r>
    </w:p>
    <w:p w14:paraId="027D52B6" w14:textId="51EEFBE6" w:rsidR="00475EC9" w:rsidRDefault="00475EC9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In RAN4#107 there was a discussion whether RRM requirements should be defined for TDCP reporting:</w:t>
      </w:r>
    </w:p>
    <w:p w14:paraId="3FC59FDE" w14:textId="77777777" w:rsidR="00475EC9" w:rsidRPr="00475EC9" w:rsidRDefault="00475EC9" w:rsidP="00475EC9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sz w:val="20"/>
          <w:szCs w:val="20"/>
          <w:u w:val="single"/>
          <w:lang w:val="en-GB" w:eastAsia="ko-KR"/>
        </w:rPr>
      </w:pPr>
      <w:r w:rsidRPr="00475EC9">
        <w:rPr>
          <w:b/>
          <w:sz w:val="20"/>
          <w:szCs w:val="20"/>
          <w:u w:val="single"/>
          <w:lang w:val="en-GB" w:eastAsia="ko-KR"/>
        </w:rPr>
        <w:t>Issue 1-1-1: Whether to specify RRM requirements for TDCP reporting?</w:t>
      </w:r>
    </w:p>
    <w:p w14:paraId="1B92EBD5" w14:textId="77777777" w:rsidR="00475EC9" w:rsidRPr="00475EC9" w:rsidRDefault="00475EC9" w:rsidP="00475E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iCs/>
          <w:sz w:val="20"/>
          <w:szCs w:val="20"/>
          <w:lang w:eastAsia="zh-CN"/>
        </w:rPr>
      </w:pPr>
      <w:r w:rsidRPr="00475EC9">
        <w:rPr>
          <w:rFonts w:eastAsiaTheme="minorEastAsia"/>
          <w:iCs/>
          <w:sz w:val="20"/>
          <w:szCs w:val="20"/>
          <w:lang w:eastAsia="zh-CN"/>
        </w:rPr>
        <w:t>Agreements</w:t>
      </w:r>
    </w:p>
    <w:p w14:paraId="6E6DF83C" w14:textId="77777777" w:rsidR="00475EC9" w:rsidRPr="00475EC9" w:rsidRDefault="00475EC9" w:rsidP="00475EC9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20" w:line="252" w:lineRule="auto"/>
        <w:ind w:left="644"/>
        <w:textAlignment w:val="baseline"/>
        <w:rPr>
          <w:sz w:val="20"/>
          <w:szCs w:val="20"/>
          <w:lang w:val="en-GB" w:eastAsia="ja-JP"/>
        </w:rPr>
      </w:pPr>
      <w:r w:rsidRPr="00475EC9">
        <w:rPr>
          <w:rFonts w:eastAsiaTheme="minorEastAsia"/>
          <w:iCs/>
          <w:sz w:val="20"/>
          <w:szCs w:val="20"/>
          <w:lang w:val="en-GB" w:eastAsia="en-GB"/>
        </w:rPr>
        <w:t xml:space="preserve">FFS to define </w:t>
      </w:r>
      <w:r w:rsidRPr="00475EC9">
        <w:rPr>
          <w:bCs/>
          <w:sz w:val="20"/>
          <w:szCs w:val="20"/>
          <w:lang w:val="en-GB" w:eastAsia="en-GB"/>
        </w:rPr>
        <w:t xml:space="preserve">TDCP measurement accuracy </w:t>
      </w:r>
      <w:proofErr w:type="gramStart"/>
      <w:r w:rsidRPr="00475EC9">
        <w:rPr>
          <w:bCs/>
          <w:sz w:val="20"/>
          <w:szCs w:val="20"/>
          <w:lang w:val="en-GB" w:eastAsia="en-GB"/>
        </w:rPr>
        <w:t>requirements</w:t>
      </w:r>
      <w:proofErr w:type="gramEnd"/>
    </w:p>
    <w:p w14:paraId="0BD8F5EF" w14:textId="77777777" w:rsidR="00475EC9" w:rsidRPr="00475EC9" w:rsidRDefault="00475EC9" w:rsidP="00475EC9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20" w:line="252" w:lineRule="auto"/>
        <w:ind w:left="644"/>
        <w:textAlignment w:val="baseline"/>
        <w:rPr>
          <w:sz w:val="20"/>
          <w:szCs w:val="20"/>
          <w:lang w:val="en-GB" w:eastAsia="ja-JP"/>
        </w:rPr>
      </w:pPr>
      <w:r w:rsidRPr="00475EC9">
        <w:rPr>
          <w:rFonts w:eastAsiaTheme="minorEastAsia"/>
          <w:iCs/>
          <w:sz w:val="20"/>
          <w:szCs w:val="20"/>
          <w:lang w:val="en-GB" w:eastAsia="en-GB"/>
        </w:rPr>
        <w:t xml:space="preserve">FFS to define </w:t>
      </w:r>
      <w:r w:rsidRPr="00475EC9">
        <w:rPr>
          <w:bCs/>
          <w:sz w:val="20"/>
          <w:szCs w:val="20"/>
          <w:lang w:val="en-GB" w:eastAsia="en-GB"/>
        </w:rPr>
        <w:t xml:space="preserve">TDCP measurement delay </w:t>
      </w:r>
      <w:proofErr w:type="gramStart"/>
      <w:r w:rsidRPr="00475EC9">
        <w:rPr>
          <w:bCs/>
          <w:sz w:val="20"/>
          <w:szCs w:val="20"/>
          <w:lang w:val="en-GB" w:eastAsia="en-GB"/>
        </w:rPr>
        <w:t>requirements</w:t>
      </w:r>
      <w:proofErr w:type="gramEnd"/>
    </w:p>
    <w:p w14:paraId="0BDCA201" w14:textId="014972B0" w:rsidR="00475EC9" w:rsidRDefault="007C5F22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RAN1 has agreed to introduce </w:t>
      </w:r>
      <w:r w:rsidR="0042503D">
        <w:rPr>
          <w:rFonts w:eastAsia="SimSun"/>
          <w:sz w:val="20"/>
          <w:szCs w:val="20"/>
          <w:lang w:val="en-GB" w:eastAsia="en-GB"/>
        </w:rPr>
        <w:t xml:space="preserve">TRS based </w:t>
      </w:r>
      <w:r>
        <w:rPr>
          <w:rFonts w:eastAsia="SimSun"/>
          <w:sz w:val="20"/>
          <w:szCs w:val="20"/>
          <w:lang w:val="en-GB" w:eastAsia="en-GB"/>
        </w:rPr>
        <w:t xml:space="preserve">TDCP reporting as part of CSI enhancements under R18 MIMO </w:t>
      </w:r>
      <w:r w:rsidR="0042503D">
        <w:rPr>
          <w:rFonts w:eastAsia="SimSun"/>
          <w:sz w:val="20"/>
          <w:szCs w:val="20"/>
          <w:lang w:val="en-GB" w:eastAsia="en-GB"/>
        </w:rPr>
        <w:t>evolution</w:t>
      </w:r>
      <w:r>
        <w:rPr>
          <w:rFonts w:eastAsia="SimSun"/>
          <w:sz w:val="20"/>
          <w:szCs w:val="20"/>
          <w:lang w:val="en-GB" w:eastAsia="en-GB"/>
        </w:rPr>
        <w:t xml:space="preserve">. </w:t>
      </w:r>
    </w:p>
    <w:p w14:paraId="006EDE7B" w14:textId="012117D0" w:rsidR="0042503D" w:rsidRDefault="0042503D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 w:rsidRPr="0042503D">
        <w:rPr>
          <w:rFonts w:eastAsia="SimSun"/>
          <w:noProof/>
          <w:sz w:val="20"/>
          <w:szCs w:val="20"/>
          <w:lang w:val="en-GB" w:eastAsia="en-GB"/>
        </w:rPr>
        <w:lastRenderedPageBreak/>
        <w:drawing>
          <wp:inline distT="0" distB="0" distL="0" distR="0" wp14:anchorId="6D9B3BFC" wp14:editId="1E7F3645">
            <wp:extent cx="5943600" cy="1078230"/>
            <wp:effectExtent l="12700" t="12700" r="12700" b="13970"/>
            <wp:docPr id="1327606466" name="Picture 1" descr="A black text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7606466" name="Picture 1" descr="A black text on a white background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7823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56DE627" w14:textId="77777777" w:rsidR="0042503D" w:rsidRDefault="0042503D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337E8AE3" w14:textId="1C51D1CC" w:rsidR="0042503D" w:rsidRDefault="0042503D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The correlation value between 2 symbols is reported as the TDCP report. The correlation value depends on the UE speed/ Doppler spread of the channel. For a slow fading channel/ low velocity the correlation value is high whereas for a </w:t>
      </w:r>
      <w:r w:rsidR="00D25CD3">
        <w:rPr>
          <w:rFonts w:eastAsia="SimSun"/>
          <w:sz w:val="20"/>
          <w:szCs w:val="20"/>
          <w:lang w:val="en-GB" w:eastAsia="en-GB"/>
        </w:rPr>
        <w:t>fast-fading</w:t>
      </w:r>
      <w:r>
        <w:rPr>
          <w:rFonts w:eastAsia="SimSun"/>
          <w:sz w:val="20"/>
          <w:szCs w:val="20"/>
          <w:lang w:val="en-GB" w:eastAsia="en-GB"/>
        </w:rPr>
        <w:t xml:space="preserve"> channel/ high velocity the correlation is low. </w:t>
      </w:r>
      <w:r w:rsidR="00D25CD3">
        <w:rPr>
          <w:rFonts w:eastAsia="SimSun"/>
          <w:sz w:val="20"/>
          <w:szCs w:val="20"/>
          <w:lang w:val="en-GB" w:eastAsia="en-GB"/>
        </w:rPr>
        <w:t xml:space="preserve">It is hard to quantify the actual correlation value for a propagation condition. </w:t>
      </w:r>
      <w:r>
        <w:rPr>
          <w:rFonts w:eastAsia="SimSun"/>
          <w:sz w:val="20"/>
          <w:szCs w:val="20"/>
          <w:lang w:val="en-GB" w:eastAsia="en-GB"/>
        </w:rPr>
        <w:t>The genie value for correlation given a propagation model is hard to calculate.</w:t>
      </w:r>
    </w:p>
    <w:p w14:paraId="1700573C" w14:textId="260598CF" w:rsidR="0042503D" w:rsidRDefault="0042503D" w:rsidP="0042503D">
      <w:pPr>
        <w:numPr>
          <w:ilvl w:val="0"/>
          <w:numId w:val="13"/>
        </w:numPr>
        <w:spacing w:after="120"/>
        <w:ind w:left="0" w:firstLine="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 xml:space="preserve">The genie correlation value for a given propagation model/condition is hard to </w:t>
      </w:r>
      <w:r w:rsidR="00A1387B">
        <w:rPr>
          <w:rFonts w:eastAsia="SimSun"/>
          <w:i/>
          <w:iCs/>
          <w:sz w:val="20"/>
          <w:szCs w:val="20"/>
          <w:lang w:val="en-GB" w:eastAsia="zh-CN"/>
        </w:rPr>
        <w:t>quantify</w:t>
      </w:r>
      <w:r>
        <w:rPr>
          <w:rFonts w:eastAsia="SimSun"/>
          <w:i/>
          <w:iCs/>
          <w:sz w:val="20"/>
          <w:szCs w:val="20"/>
          <w:lang w:val="en-GB" w:eastAsia="zh-CN"/>
        </w:rPr>
        <w:t>.</w:t>
      </w:r>
    </w:p>
    <w:p w14:paraId="08390374" w14:textId="43212AAA" w:rsidR="009844DF" w:rsidRDefault="009844DF" w:rsidP="0042503D">
      <w:pPr>
        <w:spacing w:after="120"/>
        <w:rPr>
          <w:bCs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zh-CN"/>
        </w:rPr>
        <w:t xml:space="preserve">It is not possible to define measurement accuracy requirements without a genie or ideal measurement. Hence, we propose not to introduce any </w:t>
      </w:r>
      <w:r w:rsidRPr="00475EC9">
        <w:rPr>
          <w:bCs/>
          <w:sz w:val="20"/>
          <w:szCs w:val="20"/>
          <w:lang w:val="en-GB" w:eastAsia="en-GB"/>
        </w:rPr>
        <w:t>TDCP measurement accuracy requirements</w:t>
      </w:r>
      <w:r>
        <w:rPr>
          <w:bCs/>
          <w:sz w:val="20"/>
          <w:szCs w:val="20"/>
          <w:lang w:val="en-GB" w:eastAsia="en-GB"/>
        </w:rPr>
        <w:t>.</w:t>
      </w:r>
    </w:p>
    <w:p w14:paraId="7C3C5BF7" w14:textId="264377DA" w:rsidR="009844DF" w:rsidRDefault="009844DF" w:rsidP="00D950FD">
      <w:pPr>
        <w:pStyle w:val="ListParagraph"/>
      </w:pPr>
      <w:r>
        <w:t>It is not possible to define measurement accuracy requirements without a genie or ideal measurement for correlation.</w:t>
      </w:r>
    </w:p>
    <w:p w14:paraId="78615923" w14:textId="3382E036" w:rsidR="00D25CD3" w:rsidRPr="00F54509" w:rsidRDefault="00D25CD3" w:rsidP="00F54509">
      <w:pPr>
        <w:pStyle w:val="ListParagraph"/>
        <w:numPr>
          <w:ilvl w:val="0"/>
          <w:numId w:val="14"/>
        </w:numPr>
        <w:ind w:left="0" w:firstLine="0"/>
        <w:rPr>
          <w:b/>
          <w:bCs/>
          <w:i w:val="0"/>
          <w:iCs w:val="0"/>
        </w:rPr>
      </w:pPr>
      <w:r w:rsidRPr="00F54509">
        <w:rPr>
          <w:b/>
          <w:bCs/>
          <w:i w:val="0"/>
          <w:iCs w:val="0"/>
        </w:rPr>
        <w:t xml:space="preserve">Do not introduce TDCP measurement accuracy requirements. </w:t>
      </w:r>
    </w:p>
    <w:p w14:paraId="5E426CA1" w14:textId="1713462D" w:rsidR="00F977AB" w:rsidRDefault="00D25CD3" w:rsidP="00D25CD3">
      <w:pPr>
        <w:spacing w:after="120"/>
        <w:rPr>
          <w:sz w:val="20"/>
          <w:szCs w:val="20"/>
        </w:rPr>
      </w:pPr>
      <w:r w:rsidRPr="00D25CD3">
        <w:rPr>
          <w:sz w:val="20"/>
          <w:szCs w:val="20"/>
          <w:lang w:val="en-GB"/>
        </w:rPr>
        <w:t xml:space="preserve">TDCP is </w:t>
      </w:r>
      <w:r>
        <w:rPr>
          <w:sz w:val="20"/>
          <w:szCs w:val="20"/>
          <w:lang w:val="en-GB"/>
        </w:rPr>
        <w:t xml:space="preserve">reported </w:t>
      </w:r>
      <w:r w:rsidR="00A316B1">
        <w:rPr>
          <w:sz w:val="20"/>
          <w:szCs w:val="20"/>
          <w:lang w:val="en-GB"/>
        </w:rPr>
        <w:t>in a standalone CSI report</w:t>
      </w:r>
      <w:r>
        <w:rPr>
          <w:sz w:val="20"/>
          <w:szCs w:val="20"/>
          <w:lang w:val="en-GB"/>
        </w:rPr>
        <w:t xml:space="preserve">. </w:t>
      </w:r>
      <w:r w:rsidR="00A316B1">
        <w:rPr>
          <w:sz w:val="20"/>
          <w:szCs w:val="20"/>
          <w:lang w:val="en-GB"/>
        </w:rPr>
        <w:t xml:space="preserve">Only aperiodic CSI is supported for TDCP reporting. With aperiodic CSI the reporting delay is determined by the </w:t>
      </w:r>
      <w:r w:rsidR="00A316B1" w:rsidRPr="00A316B1">
        <w:rPr>
          <w:sz w:val="20"/>
          <w:szCs w:val="20"/>
        </w:rPr>
        <w:t>aperiodic CSI reporting timing offset</w:t>
      </w:r>
      <w:r w:rsidR="00F977AB">
        <w:rPr>
          <w:sz w:val="20"/>
          <w:szCs w:val="20"/>
        </w:rPr>
        <w:t xml:space="preserve">. There is no necessity to define reporting delay requirements for aperiodic CSI specifically for TDCP reporting. </w:t>
      </w:r>
    </w:p>
    <w:p w14:paraId="496296BF" w14:textId="2C583A24" w:rsidR="00D25CD3" w:rsidRPr="00F977AB" w:rsidRDefault="00F977AB" w:rsidP="00D950FD">
      <w:pPr>
        <w:pStyle w:val="ListParagraph"/>
      </w:pPr>
      <w:r w:rsidRPr="00F977AB">
        <w:t xml:space="preserve">With aperiodic CSI the reporting delay is given by the </w:t>
      </w:r>
      <w:r w:rsidRPr="00F977AB">
        <w:rPr>
          <w:lang w:val="en-US"/>
        </w:rPr>
        <w:t>aperiodic CSI reporting timing offset</w:t>
      </w:r>
      <w:r w:rsidRPr="00F977AB">
        <w:t>.</w:t>
      </w:r>
    </w:p>
    <w:p w14:paraId="10A3F597" w14:textId="098B4301" w:rsidR="00D25CD3" w:rsidRDefault="00E1551A" w:rsidP="00D25CD3">
      <w:pPr>
        <w:spacing w:after="120"/>
        <w:rPr>
          <w:sz w:val="20"/>
          <w:szCs w:val="20"/>
          <w:lang w:val="en-GB"/>
        </w:rPr>
      </w:pPr>
      <w:r w:rsidRPr="00E1551A">
        <w:rPr>
          <w:sz w:val="20"/>
          <w:szCs w:val="20"/>
          <w:lang w:val="en-GB"/>
        </w:rPr>
        <w:t xml:space="preserve">The purpose of defining </w:t>
      </w:r>
      <w:r>
        <w:rPr>
          <w:sz w:val="20"/>
          <w:szCs w:val="20"/>
          <w:lang w:val="en-GB"/>
        </w:rPr>
        <w:t xml:space="preserve">delay requirements for TDCP reporting is unclear while we don’t have delay </w:t>
      </w:r>
      <w:r w:rsidR="00D950FD">
        <w:rPr>
          <w:sz w:val="20"/>
          <w:szCs w:val="20"/>
          <w:lang w:val="en-GB"/>
        </w:rPr>
        <w:t>requirements</w:t>
      </w:r>
      <w:r>
        <w:rPr>
          <w:sz w:val="20"/>
          <w:szCs w:val="20"/>
          <w:lang w:val="en-GB"/>
        </w:rPr>
        <w:t xml:space="preserve"> for other quantities reported in CSI. </w:t>
      </w:r>
    </w:p>
    <w:p w14:paraId="72DA0ED7" w14:textId="386648F3" w:rsidR="00E1551A" w:rsidRPr="00D950FD" w:rsidRDefault="00E1551A" w:rsidP="00F54509">
      <w:pPr>
        <w:pStyle w:val="ListParagraph"/>
        <w:numPr>
          <w:ilvl w:val="0"/>
          <w:numId w:val="14"/>
        </w:numPr>
        <w:ind w:left="0" w:firstLine="0"/>
      </w:pPr>
      <w:r w:rsidRPr="00F54509">
        <w:rPr>
          <w:b/>
          <w:bCs/>
          <w:i w:val="0"/>
          <w:iCs w:val="0"/>
        </w:rPr>
        <w:t>Do not define TDCP measurement delay requirements</w:t>
      </w:r>
      <w:r w:rsidRPr="00D950FD">
        <w:t>.</w:t>
      </w:r>
    </w:p>
    <w:p w14:paraId="40EB8469" w14:textId="77777777" w:rsidR="009844DF" w:rsidRPr="00D25CD3" w:rsidRDefault="009844DF" w:rsidP="00D25CD3">
      <w:pPr>
        <w:spacing w:after="120"/>
        <w:rPr>
          <w:rFonts w:eastAsia="SimSun"/>
          <w:szCs w:val="20"/>
          <w:lang w:val="en-GB"/>
        </w:rPr>
      </w:pPr>
    </w:p>
    <w:p w14:paraId="3FCD8236" w14:textId="77777777" w:rsidR="0042503D" w:rsidRPr="00475EC9" w:rsidRDefault="0042503D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20DC28A5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>3. Conclusion</w:t>
      </w:r>
    </w:p>
    <w:p w14:paraId="39100AC6" w14:textId="5A62035E" w:rsidR="002249BA" w:rsidRDefault="002249BA" w:rsidP="002249BA">
      <w:pPr>
        <w:spacing w:after="120"/>
        <w:rPr>
          <w:sz w:val="20"/>
          <w:szCs w:val="20"/>
        </w:rPr>
      </w:pPr>
      <w:r w:rsidRPr="00566AC9">
        <w:rPr>
          <w:sz w:val="20"/>
          <w:szCs w:val="20"/>
        </w:rPr>
        <w:t xml:space="preserve">In this paper, we provide our views on open issues on </w:t>
      </w:r>
      <w:r w:rsidR="00566AC9" w:rsidRPr="00566AC9">
        <w:rPr>
          <w:sz w:val="20"/>
          <w:szCs w:val="20"/>
        </w:rPr>
        <w:t>RRM requirements for NR MIMO evolution for downlink and uplink other than 2TA and unified TCI</w:t>
      </w:r>
      <w:r w:rsidRPr="00566AC9">
        <w:rPr>
          <w:sz w:val="20"/>
          <w:szCs w:val="20"/>
        </w:rPr>
        <w:t>. Our observations and proposals are captured below:</w:t>
      </w:r>
    </w:p>
    <w:p w14:paraId="34F557C9" w14:textId="77777777" w:rsidR="00D950FD" w:rsidRDefault="00D950FD" w:rsidP="002249BA">
      <w:pPr>
        <w:spacing w:after="120"/>
        <w:rPr>
          <w:sz w:val="20"/>
          <w:szCs w:val="20"/>
        </w:rPr>
      </w:pPr>
    </w:p>
    <w:p w14:paraId="721B98D4" w14:textId="45A56357" w:rsidR="00D950FD" w:rsidRPr="00D950FD" w:rsidRDefault="00D950FD" w:rsidP="00D950FD">
      <w:pPr>
        <w:pStyle w:val="ListParagraph"/>
        <w:numPr>
          <w:ilvl w:val="0"/>
          <w:numId w:val="18"/>
        </w:numPr>
      </w:pPr>
      <w:r w:rsidRPr="00D950FD">
        <w:t xml:space="preserve">The genie correlation value for a given propagation model/condition is hard to </w:t>
      </w:r>
      <w:r w:rsidR="00A1387B" w:rsidRPr="00A1387B">
        <w:t>quantify</w:t>
      </w:r>
      <w:r w:rsidRPr="00D950FD">
        <w:t>.</w:t>
      </w:r>
    </w:p>
    <w:p w14:paraId="27C2EF6F" w14:textId="77777777" w:rsidR="00D950FD" w:rsidRDefault="00D950FD" w:rsidP="00D950FD">
      <w:pPr>
        <w:pStyle w:val="ListParagraph"/>
      </w:pPr>
      <w:r>
        <w:t>It is not possible to define measurement accuracy requirements without a genie or ideal measurement for correlation.</w:t>
      </w:r>
    </w:p>
    <w:p w14:paraId="7C6836E2" w14:textId="77777777" w:rsidR="00D950FD" w:rsidRPr="00D950FD" w:rsidRDefault="00D950FD" w:rsidP="00D950FD">
      <w:pPr>
        <w:pStyle w:val="ListParagraph"/>
        <w:numPr>
          <w:ilvl w:val="0"/>
          <w:numId w:val="19"/>
        </w:numPr>
        <w:ind w:left="0" w:firstLine="0"/>
      </w:pPr>
      <w:r w:rsidRPr="00D950FD">
        <w:rPr>
          <w:b/>
          <w:bCs/>
          <w:i w:val="0"/>
          <w:iCs w:val="0"/>
        </w:rPr>
        <w:t>Do not introduce TDCP measurement accuracy requirements</w:t>
      </w:r>
      <w:r w:rsidRPr="00D950FD">
        <w:t xml:space="preserve">. </w:t>
      </w:r>
    </w:p>
    <w:p w14:paraId="450E79D5" w14:textId="77777777" w:rsidR="00D950FD" w:rsidRPr="00F977AB" w:rsidRDefault="00D950FD" w:rsidP="00D950FD">
      <w:pPr>
        <w:pStyle w:val="ListParagraph"/>
      </w:pPr>
      <w:r w:rsidRPr="00F977AB">
        <w:t xml:space="preserve">With aperiodic CSI the reporting delay is given by the </w:t>
      </w:r>
      <w:r w:rsidRPr="00F977AB">
        <w:rPr>
          <w:lang w:val="en-US"/>
        </w:rPr>
        <w:t>aperiodic CSI reporting timing offset</w:t>
      </w:r>
      <w:r w:rsidRPr="00F977AB">
        <w:t>.</w:t>
      </w:r>
    </w:p>
    <w:p w14:paraId="5764B246" w14:textId="5FB5009F" w:rsidR="00D950FD" w:rsidRPr="00D950FD" w:rsidRDefault="00D950FD" w:rsidP="00D950FD">
      <w:pPr>
        <w:pStyle w:val="ListParagraph"/>
        <w:numPr>
          <w:ilvl w:val="0"/>
          <w:numId w:val="19"/>
        </w:numPr>
        <w:ind w:left="0" w:firstLine="0"/>
        <w:rPr>
          <w:b/>
          <w:bCs/>
          <w:i w:val="0"/>
          <w:iCs w:val="0"/>
        </w:rPr>
      </w:pPr>
      <w:r w:rsidRPr="00D950FD">
        <w:rPr>
          <w:b/>
          <w:bCs/>
          <w:i w:val="0"/>
          <w:iCs w:val="0"/>
        </w:rPr>
        <w:t>Do not define TDCP measurement delay requirements.</w:t>
      </w:r>
    </w:p>
    <w:p w14:paraId="75F27912" w14:textId="77777777" w:rsidR="00D950FD" w:rsidRPr="002045D3" w:rsidRDefault="00D950FD" w:rsidP="002249BA">
      <w:pPr>
        <w:spacing w:after="120"/>
        <w:rPr>
          <w:sz w:val="20"/>
          <w:szCs w:val="20"/>
        </w:rPr>
      </w:pPr>
    </w:p>
    <w:p w14:paraId="4FB808BC" w14:textId="77777777" w:rsidR="002249BA" w:rsidRPr="002045D3" w:rsidRDefault="002249BA" w:rsidP="002249BA">
      <w:pPr>
        <w:pStyle w:val="Heading1"/>
        <w:ind w:left="432" w:hanging="432"/>
        <w:rPr>
          <w:lang w:val="en-US"/>
        </w:rPr>
      </w:pPr>
      <w:r w:rsidRPr="002045D3">
        <w:rPr>
          <w:lang w:val="en-US"/>
        </w:rPr>
        <w:lastRenderedPageBreak/>
        <w:t>Reference</w:t>
      </w:r>
    </w:p>
    <w:p w14:paraId="1311DB1E" w14:textId="38856047" w:rsidR="00B52195" w:rsidRPr="004D1258" w:rsidRDefault="00DF4543" w:rsidP="00D950FD">
      <w:pPr>
        <w:pStyle w:val="ListParagraph"/>
        <w:numPr>
          <w:ilvl w:val="0"/>
          <w:numId w:val="2"/>
        </w:numPr>
        <w:rPr>
          <w:i w:val="0"/>
          <w:iCs w:val="0"/>
        </w:rPr>
      </w:pPr>
      <w:r w:rsidRPr="004D1258">
        <w:rPr>
          <w:i w:val="0"/>
          <w:iCs w:val="0"/>
        </w:rPr>
        <w:t>R4-2310178</w:t>
      </w:r>
      <w:r w:rsidR="00B52195" w:rsidRPr="004D1258">
        <w:rPr>
          <w:i w:val="0"/>
          <w:iCs w:val="0"/>
        </w:rPr>
        <w:t>, “WF on R18 NR MIMO RRM requirements”, Samsung</w:t>
      </w:r>
    </w:p>
    <w:p w14:paraId="0BB3FD87" w14:textId="77777777" w:rsidR="00B52195" w:rsidRPr="00B52195" w:rsidRDefault="00B52195" w:rsidP="00B52195">
      <w:pPr>
        <w:spacing w:after="120"/>
        <w:jc w:val="both"/>
        <w:rPr>
          <w:sz w:val="20"/>
          <w:szCs w:val="20"/>
        </w:rPr>
      </w:pPr>
    </w:p>
    <w:p w14:paraId="2025BD80" w14:textId="77777777" w:rsidR="002249BA" w:rsidRPr="002045D3" w:rsidRDefault="002249BA" w:rsidP="002249BA"/>
    <w:sectPr w:rsidR="002249BA" w:rsidRPr="002045D3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" w15:restartNumberingAfterBreak="0">
    <w:nsid w:val="13543D29"/>
    <w:multiLevelType w:val="hybridMultilevel"/>
    <w:tmpl w:val="6EB6DCAC"/>
    <w:lvl w:ilvl="0" w:tplc="32568012">
      <w:start w:val="1"/>
      <w:numFmt w:val="decimal"/>
      <w:pStyle w:val="ListParagraph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24437"/>
    <w:multiLevelType w:val="hybridMultilevel"/>
    <w:tmpl w:val="1F52D724"/>
    <w:lvl w:ilvl="0" w:tplc="FFFFFFFF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DD15E3"/>
    <w:multiLevelType w:val="multilevel"/>
    <w:tmpl w:val="4828BD88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53D34E0"/>
    <w:multiLevelType w:val="hybridMultilevel"/>
    <w:tmpl w:val="1F52D724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267C66"/>
    <w:multiLevelType w:val="hybridMultilevel"/>
    <w:tmpl w:val="A470DA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5C2772E"/>
    <w:multiLevelType w:val="hybridMultilevel"/>
    <w:tmpl w:val="07140774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012649"/>
    <w:multiLevelType w:val="hybridMultilevel"/>
    <w:tmpl w:val="1F52D724"/>
    <w:lvl w:ilvl="0" w:tplc="FFFFFFFF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338048">
    <w:abstractNumId w:val="5"/>
  </w:num>
  <w:num w:numId="2" w16cid:durableId="1198423226">
    <w:abstractNumId w:val="7"/>
  </w:num>
  <w:num w:numId="3" w16cid:durableId="1064061569">
    <w:abstractNumId w:val="6"/>
  </w:num>
  <w:num w:numId="4" w16cid:durableId="1117142815">
    <w:abstractNumId w:val="0"/>
  </w:num>
  <w:num w:numId="5" w16cid:durableId="1069688094">
    <w:abstractNumId w:val="8"/>
  </w:num>
  <w:num w:numId="6" w16cid:durableId="2044482076">
    <w:abstractNumId w:val="4"/>
  </w:num>
  <w:num w:numId="7" w16cid:durableId="1734084975">
    <w:abstractNumId w:val="1"/>
  </w:num>
  <w:num w:numId="8" w16cid:durableId="1680422896">
    <w:abstractNumId w:val="11"/>
  </w:num>
  <w:num w:numId="9" w16cid:durableId="1956787545">
    <w:abstractNumId w:val="5"/>
  </w:num>
  <w:num w:numId="10" w16cid:durableId="1138571013">
    <w:abstractNumId w:val="5"/>
  </w:num>
  <w:num w:numId="11" w16cid:durableId="68581555">
    <w:abstractNumId w:val="5"/>
  </w:num>
  <w:num w:numId="12" w16cid:durableId="1173454354">
    <w:abstractNumId w:val="10"/>
  </w:num>
  <w:num w:numId="13" w16cid:durableId="1653559583">
    <w:abstractNumId w:val="2"/>
  </w:num>
  <w:num w:numId="14" w16cid:durableId="1738436037">
    <w:abstractNumId w:val="9"/>
  </w:num>
  <w:num w:numId="15" w16cid:durableId="1973897136">
    <w:abstractNumId w:val="12"/>
  </w:num>
  <w:num w:numId="16" w16cid:durableId="992219574">
    <w:abstractNumId w:val="3"/>
  </w:num>
  <w:num w:numId="17" w16cid:durableId="1643806493">
    <w:abstractNumId w:val="2"/>
  </w:num>
  <w:num w:numId="18" w16cid:durableId="934290335">
    <w:abstractNumId w:val="2"/>
    <w:lvlOverride w:ilvl="0">
      <w:startOverride w:val="1"/>
    </w:lvlOverride>
  </w:num>
  <w:num w:numId="19" w16cid:durableId="2137410666">
    <w:abstractNumId w:val="13"/>
  </w:num>
  <w:num w:numId="20" w16cid:durableId="2477353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922F6"/>
    <w:rsid w:val="000A77CF"/>
    <w:rsid w:val="000D5873"/>
    <w:rsid w:val="000F3E39"/>
    <w:rsid w:val="00104D5D"/>
    <w:rsid w:val="00112B35"/>
    <w:rsid w:val="001217BE"/>
    <w:rsid w:val="00121828"/>
    <w:rsid w:val="00126D52"/>
    <w:rsid w:val="00136FC8"/>
    <w:rsid w:val="0014346F"/>
    <w:rsid w:val="001715D4"/>
    <w:rsid w:val="0017238B"/>
    <w:rsid w:val="00177147"/>
    <w:rsid w:val="00190238"/>
    <w:rsid w:val="00197F09"/>
    <w:rsid w:val="001B4AAC"/>
    <w:rsid w:val="001B5D0A"/>
    <w:rsid w:val="001C2F81"/>
    <w:rsid w:val="001C663E"/>
    <w:rsid w:val="00210E45"/>
    <w:rsid w:val="002249BA"/>
    <w:rsid w:val="00231405"/>
    <w:rsid w:val="0024145B"/>
    <w:rsid w:val="002732E5"/>
    <w:rsid w:val="002870EA"/>
    <w:rsid w:val="002D22E9"/>
    <w:rsid w:val="002F4FA3"/>
    <w:rsid w:val="00320E79"/>
    <w:rsid w:val="00322A55"/>
    <w:rsid w:val="00330E7E"/>
    <w:rsid w:val="003C1AAD"/>
    <w:rsid w:val="0042445A"/>
    <w:rsid w:val="0042503D"/>
    <w:rsid w:val="004324BA"/>
    <w:rsid w:val="004571DB"/>
    <w:rsid w:val="004649DC"/>
    <w:rsid w:val="00474453"/>
    <w:rsid w:val="00475EC9"/>
    <w:rsid w:val="004B6849"/>
    <w:rsid w:val="004D1258"/>
    <w:rsid w:val="004D1584"/>
    <w:rsid w:val="004D33BC"/>
    <w:rsid w:val="004E4B5C"/>
    <w:rsid w:val="00507AF7"/>
    <w:rsid w:val="0051665C"/>
    <w:rsid w:val="00526314"/>
    <w:rsid w:val="00566AC9"/>
    <w:rsid w:val="0057184D"/>
    <w:rsid w:val="00590EAB"/>
    <w:rsid w:val="005A0BB7"/>
    <w:rsid w:val="005B410D"/>
    <w:rsid w:val="005D1B1F"/>
    <w:rsid w:val="005F5A7E"/>
    <w:rsid w:val="00626BDE"/>
    <w:rsid w:val="00631307"/>
    <w:rsid w:val="00685E60"/>
    <w:rsid w:val="006A4629"/>
    <w:rsid w:val="006F6BCA"/>
    <w:rsid w:val="007114E3"/>
    <w:rsid w:val="007176B7"/>
    <w:rsid w:val="00743B13"/>
    <w:rsid w:val="0074586B"/>
    <w:rsid w:val="00775238"/>
    <w:rsid w:val="00787DF9"/>
    <w:rsid w:val="007A3BE1"/>
    <w:rsid w:val="007C5F22"/>
    <w:rsid w:val="007C626C"/>
    <w:rsid w:val="00830460"/>
    <w:rsid w:val="0083467F"/>
    <w:rsid w:val="0087325A"/>
    <w:rsid w:val="008E5725"/>
    <w:rsid w:val="00914043"/>
    <w:rsid w:val="00924CB2"/>
    <w:rsid w:val="00932C93"/>
    <w:rsid w:val="00950526"/>
    <w:rsid w:val="00951300"/>
    <w:rsid w:val="00970536"/>
    <w:rsid w:val="009776DC"/>
    <w:rsid w:val="009844DF"/>
    <w:rsid w:val="009B4DF5"/>
    <w:rsid w:val="009C1A53"/>
    <w:rsid w:val="009C1F3F"/>
    <w:rsid w:val="009D596C"/>
    <w:rsid w:val="009F52D7"/>
    <w:rsid w:val="00A00313"/>
    <w:rsid w:val="00A1387B"/>
    <w:rsid w:val="00A13CD4"/>
    <w:rsid w:val="00A211CC"/>
    <w:rsid w:val="00A316B1"/>
    <w:rsid w:val="00A51A5E"/>
    <w:rsid w:val="00A70BF9"/>
    <w:rsid w:val="00A70C00"/>
    <w:rsid w:val="00A85F2C"/>
    <w:rsid w:val="00AC413B"/>
    <w:rsid w:val="00AD261E"/>
    <w:rsid w:val="00AF0ABC"/>
    <w:rsid w:val="00AF6D4B"/>
    <w:rsid w:val="00B00412"/>
    <w:rsid w:val="00B437D6"/>
    <w:rsid w:val="00B52195"/>
    <w:rsid w:val="00B8567C"/>
    <w:rsid w:val="00BB13B2"/>
    <w:rsid w:val="00BB4110"/>
    <w:rsid w:val="00C12F43"/>
    <w:rsid w:val="00C94AC7"/>
    <w:rsid w:val="00CD0F63"/>
    <w:rsid w:val="00D15D3E"/>
    <w:rsid w:val="00D167C7"/>
    <w:rsid w:val="00D16F3A"/>
    <w:rsid w:val="00D25CD3"/>
    <w:rsid w:val="00D55055"/>
    <w:rsid w:val="00D832FD"/>
    <w:rsid w:val="00D950FD"/>
    <w:rsid w:val="00DA24C0"/>
    <w:rsid w:val="00DA568B"/>
    <w:rsid w:val="00DB6943"/>
    <w:rsid w:val="00DC09AE"/>
    <w:rsid w:val="00DC3489"/>
    <w:rsid w:val="00DD1B86"/>
    <w:rsid w:val="00DE1565"/>
    <w:rsid w:val="00DF00D4"/>
    <w:rsid w:val="00DF1ED2"/>
    <w:rsid w:val="00DF4543"/>
    <w:rsid w:val="00E1551A"/>
    <w:rsid w:val="00E33228"/>
    <w:rsid w:val="00E55591"/>
    <w:rsid w:val="00E5586A"/>
    <w:rsid w:val="00E6664E"/>
    <w:rsid w:val="00E9138B"/>
    <w:rsid w:val="00F07C35"/>
    <w:rsid w:val="00F309F7"/>
    <w:rsid w:val="00F441E8"/>
    <w:rsid w:val="00F51DC0"/>
    <w:rsid w:val="00F54509"/>
    <w:rsid w:val="00F54BBF"/>
    <w:rsid w:val="00F555F1"/>
    <w:rsid w:val="00F5610B"/>
    <w:rsid w:val="00F844D6"/>
    <w:rsid w:val="00F977AB"/>
    <w:rsid w:val="00FC3FB0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F43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D950FD"/>
    <w:pPr>
      <w:numPr>
        <w:numId w:val="13"/>
      </w:numPr>
      <w:spacing w:after="120"/>
    </w:pPr>
    <w:rPr>
      <w:rFonts w:eastAsia="SimSun" w:cs="SimSun"/>
      <w:i/>
      <w:iCs/>
      <w:sz w:val="20"/>
      <w:lang w:val="en-GB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D950FD"/>
    <w:rPr>
      <w:rFonts w:ascii="Times New Roman" w:eastAsia="SimSun" w:hAnsi="Times New Roman" w:cs="SimSun"/>
      <w:i/>
      <w:iCs/>
      <w:sz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3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Apple_108 (Manasa)</cp:lastModifiedBy>
  <cp:revision>7</cp:revision>
  <dcterms:created xsi:type="dcterms:W3CDTF">2023-08-04T00:05:00Z</dcterms:created>
  <dcterms:modified xsi:type="dcterms:W3CDTF">2023-08-11T18:34:00Z</dcterms:modified>
</cp:coreProperties>
</file>