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DEA" w:rsidRPr="004A029C" w:rsidRDefault="00283DEA" w:rsidP="00283DEA">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106-bis-e</w:t>
      </w:r>
      <w:r w:rsidRPr="004A029C">
        <w:rPr>
          <w:rFonts w:cs="Arial"/>
          <w:sz w:val="24"/>
          <w:szCs w:val="24"/>
        </w:rPr>
        <w:tab/>
      </w:r>
      <w:r w:rsidR="001D415D" w:rsidRPr="001D415D">
        <w:rPr>
          <w:rFonts w:cs="Arial"/>
          <w:sz w:val="24"/>
          <w:szCs w:val="24"/>
        </w:rPr>
        <w:t>R4-2305270</w:t>
      </w:r>
      <w:bookmarkStart w:id="0" w:name="_GoBack"/>
      <w:bookmarkEnd w:id="0"/>
    </w:p>
    <w:p w:rsidR="00283DEA" w:rsidRPr="00E13633" w:rsidRDefault="00283DEA" w:rsidP="00283DEA">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w:t>
      </w:r>
      <w:r w:rsidRPr="00E13633">
        <w:rPr>
          <w:rFonts w:eastAsia="宋体" w:cs="Arial"/>
          <w:sz w:val="24"/>
          <w:szCs w:val="24"/>
          <w:lang w:eastAsia="zh-CN"/>
        </w:rPr>
        <w:t xml:space="preserve"> </w:t>
      </w:r>
      <w:r>
        <w:rPr>
          <w:rFonts w:eastAsia="宋体" w:cs="Arial"/>
          <w:sz w:val="24"/>
          <w:szCs w:val="24"/>
          <w:lang w:eastAsia="zh-CN"/>
        </w:rPr>
        <w:t>April 17</w:t>
      </w:r>
      <w:r w:rsidRPr="00E13633">
        <w:rPr>
          <w:rFonts w:eastAsia="宋体" w:cs="Arial"/>
          <w:sz w:val="24"/>
          <w:szCs w:val="24"/>
          <w:lang w:eastAsia="zh-CN"/>
        </w:rPr>
        <w:t xml:space="preserve"> – </w:t>
      </w:r>
      <w:r>
        <w:rPr>
          <w:rFonts w:eastAsia="宋体" w:cs="Arial"/>
          <w:sz w:val="24"/>
          <w:szCs w:val="24"/>
          <w:lang w:eastAsia="zh-CN"/>
        </w:rPr>
        <w:t>April 26</w:t>
      </w:r>
      <w:r w:rsidRPr="00E13633">
        <w:rPr>
          <w:rFonts w:eastAsia="宋体" w:cs="Arial"/>
          <w:sz w:val="24"/>
          <w:szCs w:val="24"/>
          <w:lang w:eastAsia="zh-CN"/>
        </w:rPr>
        <w:t>, 202</w:t>
      </w:r>
      <w:r>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83DEA">
        <w:rPr>
          <w:rFonts w:ascii="Arial" w:hAnsi="Arial"/>
          <w:sz w:val="24"/>
          <w:lang w:val="en-US"/>
        </w:rPr>
        <w:t>5</w:t>
      </w:r>
      <w:r w:rsidR="00AB319F" w:rsidRPr="00AB319F">
        <w:rPr>
          <w:rFonts w:ascii="Arial" w:hAnsi="Arial"/>
          <w:sz w:val="24"/>
          <w:lang w:val="en-US"/>
        </w:rPr>
        <w:t>.8.3.</w:t>
      </w:r>
      <w:r w:rsidR="005730CC">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C35AD">
        <w:rPr>
          <w:rFonts w:ascii="Arial" w:hAnsi="Arial"/>
          <w:sz w:val="24"/>
          <w:lang w:val="en-US"/>
        </w:rPr>
        <w:t>Discussion on r</w:t>
      </w:r>
      <w:r w:rsidR="00D36C60">
        <w:rPr>
          <w:rFonts w:ascii="Arial" w:hAnsi="Arial"/>
          <w:sz w:val="24"/>
          <w:lang w:val="en-US"/>
        </w:rPr>
        <w:t>eceiving</w:t>
      </w:r>
      <w:r w:rsidR="00D36C60" w:rsidRPr="008B367C">
        <w:rPr>
          <w:rFonts w:ascii="Arial" w:hAnsi="Arial"/>
          <w:sz w:val="24"/>
          <w:lang w:val="en-US"/>
        </w:rPr>
        <w:t xml:space="preserve"> timing difference between different directions</w:t>
      </w:r>
      <w:r w:rsidR="00D36C60">
        <w:rPr>
          <w:rFonts w:ascii="Arial" w:hAnsi="Arial"/>
          <w:sz w:val="24"/>
          <w:lang w:val="en-US"/>
        </w:rPr>
        <w:t xml:space="preserve">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283DEA" w:rsidRPr="00283DEA" w:rsidRDefault="00283DEA" w:rsidP="00283DEA">
      <w:pPr>
        <w:rPr>
          <w:rFonts w:eastAsiaTheme="minorEastAsia"/>
          <w:lang w:val="en-US" w:eastAsia="zh-CN"/>
        </w:rPr>
      </w:pPr>
      <w:r w:rsidRPr="00283DEA">
        <w:rPr>
          <w:rFonts w:eastAsiaTheme="minorEastAsia"/>
          <w:lang w:val="en-US" w:eastAsia="zh-CN"/>
        </w:rPr>
        <w:t xml:space="preserve">In last RAN4 meeting, the RRM impacts of NR FR2 multi-Rx chain DL reception were further discussed, with agreement captured in [1][2]. The scope and scenarios were further clarified. In this paper, we further provide our views </w:t>
      </w:r>
      <w:r>
        <w:rPr>
          <w:rFonts w:eastAsiaTheme="minorEastAsia"/>
          <w:lang w:val="en-US" w:eastAsia="zh-CN"/>
        </w:rPr>
        <w:t>RTD conditions for FR2 multi-Rx.</w:t>
      </w:r>
    </w:p>
    <w:p w:rsidR="00A26C29" w:rsidRDefault="00DF0231" w:rsidP="00A26C29">
      <w:pPr>
        <w:pStyle w:val="Heading1"/>
        <w:numPr>
          <w:ilvl w:val="0"/>
          <w:numId w:val="1"/>
        </w:numPr>
        <w:rPr>
          <w:lang w:val="en-US"/>
        </w:rPr>
      </w:pPr>
      <w:r w:rsidRPr="002D2977">
        <w:rPr>
          <w:lang w:val="en-US"/>
        </w:rPr>
        <w:t>Discussion</w:t>
      </w:r>
    </w:p>
    <w:p w:rsidR="00B61CA6" w:rsidRDefault="00B04CB0" w:rsidP="00B61CA6">
      <w:r>
        <w:t xml:space="preserve">Regarding the receiving timing difference conditions, the current status </w:t>
      </w:r>
      <w:r w:rsidR="005A6C27">
        <w:t>is</w:t>
      </w:r>
      <w:r>
        <w:t xml:space="preserve"> summarized as follows with tentative agreements in GTW.</w:t>
      </w:r>
    </w:p>
    <w:tbl>
      <w:tblPr>
        <w:tblStyle w:val="TableGrid"/>
        <w:tblW w:w="0" w:type="auto"/>
        <w:tblLook w:val="04A0" w:firstRow="1" w:lastRow="0" w:firstColumn="1" w:lastColumn="0" w:noHBand="0" w:noVBand="1"/>
      </w:tblPr>
      <w:tblGrid>
        <w:gridCol w:w="9562"/>
      </w:tblGrid>
      <w:tr w:rsidR="00B04CB0" w:rsidTr="00B04CB0">
        <w:tc>
          <w:tcPr>
            <w:tcW w:w="9562" w:type="dxa"/>
          </w:tcPr>
          <w:p w:rsidR="005A6C27" w:rsidRPr="008D5740" w:rsidRDefault="005A6C27" w:rsidP="005A6C27">
            <w:pPr>
              <w:pStyle w:val="Heading2"/>
              <w:numPr>
                <w:ilvl w:val="1"/>
                <w:numId w:val="0"/>
              </w:numPr>
              <w:tabs>
                <w:tab w:val="left" w:pos="432"/>
                <w:tab w:val="left" w:pos="576"/>
              </w:tabs>
              <w:spacing w:before="180" w:after="180" w:line="240" w:lineRule="auto"/>
              <w:ind w:left="576" w:hanging="576"/>
              <w:rPr>
                <w:rFonts w:eastAsia="Yu Mincho"/>
                <w:sz w:val="28"/>
                <w:szCs w:val="18"/>
                <w:lang w:val="en-US" w:eastAsia="ja-JP"/>
              </w:rPr>
            </w:pPr>
            <w:r w:rsidRPr="008D5740">
              <w:rPr>
                <w:rFonts w:eastAsia="Yu Mincho"/>
                <w:sz w:val="28"/>
                <w:szCs w:val="18"/>
                <w:lang w:val="en-US" w:eastAsia="ja-JP"/>
              </w:rPr>
              <w:t>MRTD Handling</w:t>
            </w:r>
          </w:p>
          <w:p w:rsidR="005A6C27" w:rsidRPr="008D5740" w:rsidRDefault="005A6C27" w:rsidP="005A6C27">
            <w:pPr>
              <w:pStyle w:val="ListParagraph"/>
              <w:numPr>
                <w:ilvl w:val="0"/>
                <w:numId w:val="23"/>
              </w:numPr>
              <w:overflowPunct w:val="0"/>
              <w:autoSpaceDE w:val="0"/>
              <w:autoSpaceDN w:val="0"/>
              <w:adjustRightInd w:val="0"/>
              <w:spacing w:after="120" w:line="252" w:lineRule="auto"/>
              <w:ind w:left="644" w:firstLineChars="0"/>
              <w:rPr>
                <w:lang w:eastAsia="ja-JP"/>
              </w:rPr>
            </w:pPr>
            <w:r w:rsidRPr="008D5740">
              <w:rPr>
                <w:lang w:eastAsia="ja-JP"/>
              </w:rPr>
              <w:t>Agreements</w:t>
            </w:r>
            <w:r>
              <w:rPr>
                <w:lang w:eastAsia="ja-JP"/>
              </w:rPr>
              <w:t xml:space="preserve"> in online session:</w:t>
            </w:r>
          </w:p>
          <w:p w:rsidR="005A6C27" w:rsidRPr="008D5740" w:rsidRDefault="005A6C27" w:rsidP="005A6C27">
            <w:pPr>
              <w:pStyle w:val="ListParagraph"/>
              <w:numPr>
                <w:ilvl w:val="1"/>
                <w:numId w:val="23"/>
              </w:numPr>
              <w:overflowPunct w:val="0"/>
              <w:autoSpaceDE w:val="0"/>
              <w:autoSpaceDN w:val="0"/>
              <w:adjustRightInd w:val="0"/>
              <w:spacing w:after="120" w:line="252" w:lineRule="auto"/>
              <w:ind w:firstLineChars="0"/>
              <w:rPr>
                <w:lang w:eastAsia="ja-JP"/>
              </w:rPr>
            </w:pPr>
            <w:r w:rsidRPr="008D5740">
              <w:rPr>
                <w:rFonts w:eastAsia="Yu Mincho"/>
                <w:iCs/>
              </w:rPr>
              <w:t>Define RRM requirements for MRTD &lt; CP</w:t>
            </w:r>
          </w:p>
          <w:p w:rsidR="005A6C27" w:rsidRPr="008D5740" w:rsidRDefault="005A6C27" w:rsidP="005A6C27">
            <w:pPr>
              <w:pStyle w:val="ListParagraph"/>
              <w:numPr>
                <w:ilvl w:val="1"/>
                <w:numId w:val="23"/>
              </w:numPr>
              <w:overflowPunct w:val="0"/>
              <w:autoSpaceDE w:val="0"/>
              <w:autoSpaceDN w:val="0"/>
              <w:adjustRightInd w:val="0"/>
              <w:spacing w:after="120" w:line="252" w:lineRule="auto"/>
              <w:ind w:firstLineChars="0"/>
              <w:rPr>
                <w:lang w:eastAsia="ja-JP"/>
              </w:rPr>
            </w:pPr>
            <w:r w:rsidRPr="008D5740">
              <w:rPr>
                <w:rFonts w:eastAsia="Yu Mincho"/>
                <w:iCs/>
              </w:rPr>
              <w:t>FFS whether to support MRTD &gt; CP and the discussion can take place after RAN4 #107</w:t>
            </w:r>
          </w:p>
          <w:p w:rsidR="00B04CB0" w:rsidRPr="005A6C27" w:rsidRDefault="005A6C27" w:rsidP="005A6C27">
            <w:pPr>
              <w:pStyle w:val="ListParagraph"/>
              <w:numPr>
                <w:ilvl w:val="1"/>
                <w:numId w:val="23"/>
              </w:numPr>
              <w:overflowPunct w:val="0"/>
              <w:autoSpaceDE w:val="0"/>
              <w:autoSpaceDN w:val="0"/>
              <w:adjustRightInd w:val="0"/>
              <w:spacing w:after="120" w:line="252" w:lineRule="auto"/>
              <w:ind w:firstLineChars="0"/>
              <w:rPr>
                <w:lang w:eastAsia="ja-JP"/>
              </w:rPr>
            </w:pPr>
            <w:r w:rsidRPr="008D5740">
              <w:rPr>
                <w:rFonts w:eastAsia="Yu Mincho"/>
                <w:iCs/>
              </w:rPr>
              <w:t>Note: the MRTD above is the maximum receive time difference between the signals coming from two directions on the same carrier</w:t>
            </w:r>
          </w:p>
        </w:tc>
      </w:tr>
    </w:tbl>
    <w:p w:rsidR="005A6C27" w:rsidRDefault="005A6C27" w:rsidP="00B61CA6"/>
    <w:p w:rsidR="00B04CB0" w:rsidRDefault="005A6C27" w:rsidP="00B61CA6">
      <w:r>
        <w:t xml:space="preserve">Though the schedule for the discussion about MRTP&gt;CP is after RAN4#107, we provide analysis in the contribution for better understanding about the RTD in </w:t>
      </w:r>
      <w:proofErr w:type="spellStart"/>
      <w:r>
        <w:t>mTRP</w:t>
      </w:r>
      <w:proofErr w:type="spellEnd"/>
      <w:r>
        <w:t xml:space="preserve">/multi-Rx scenario. </w:t>
      </w:r>
      <w:r w:rsidR="00B04CB0">
        <w:t xml:space="preserve">This is a trade-off problem since Rel-16 when RTD within CP is the basic assumptions. In Rel-18 </w:t>
      </w:r>
      <w:proofErr w:type="spellStart"/>
      <w:r w:rsidR="00B04CB0">
        <w:t>MIMO_evo</w:t>
      </w:r>
      <w:proofErr w:type="spellEnd"/>
      <w:r w:rsidR="00B04CB0">
        <w:t xml:space="preserve"> discussion, </w:t>
      </w:r>
      <w:r>
        <w:t>it was</w:t>
      </w:r>
      <w:r w:rsidR="00B04CB0">
        <w:t xml:space="preserve"> agreed to consider RTD lager than CP as an optional UE capability. Though one can argue that RAN1’s agreement is related to UL transmission discussed in different WI, as described in WID, the two TA operation is highly depending on multiple panel architecture. </w:t>
      </w:r>
    </w:p>
    <w:tbl>
      <w:tblPr>
        <w:tblStyle w:val="TableGrid"/>
        <w:tblW w:w="0" w:type="auto"/>
        <w:tblLook w:val="04A0" w:firstRow="1" w:lastRow="0" w:firstColumn="1" w:lastColumn="0" w:noHBand="0" w:noVBand="1"/>
      </w:tblPr>
      <w:tblGrid>
        <w:gridCol w:w="9562"/>
      </w:tblGrid>
      <w:tr w:rsidR="00B04CB0" w:rsidTr="00B04CB0">
        <w:tc>
          <w:tcPr>
            <w:tcW w:w="9562" w:type="dxa"/>
          </w:tcPr>
          <w:p w:rsidR="00B04CB0" w:rsidRPr="00B04CB0" w:rsidRDefault="00B04CB0" w:rsidP="00B04CB0">
            <w:pPr>
              <w:spacing w:after="0"/>
              <w:rPr>
                <w:rFonts w:eastAsia="Batang"/>
              </w:rPr>
            </w:pPr>
            <w:r w:rsidRPr="00B04CB0">
              <w:rPr>
                <w:rFonts w:eastAsia="Batang"/>
              </w:rPr>
              <w:t>From Oct 10th GTW session</w:t>
            </w:r>
          </w:p>
          <w:p w:rsidR="00B04CB0" w:rsidRPr="00B04CB0" w:rsidRDefault="00B04CB0" w:rsidP="00B04CB0">
            <w:pPr>
              <w:spacing w:after="0"/>
              <w:rPr>
                <w:rFonts w:ascii="Times" w:eastAsia="Batang" w:hAnsi="Times"/>
                <w:szCs w:val="24"/>
                <w:highlight w:val="green"/>
              </w:rPr>
            </w:pPr>
            <w:r w:rsidRPr="00B04CB0">
              <w:rPr>
                <w:rFonts w:ascii="Times" w:eastAsia="Batang" w:hAnsi="Times"/>
                <w:szCs w:val="24"/>
                <w:highlight w:val="green"/>
              </w:rPr>
              <w:t>Agreement</w:t>
            </w:r>
          </w:p>
          <w:p w:rsidR="00B04CB0" w:rsidRPr="00B04CB0" w:rsidRDefault="00B04CB0" w:rsidP="00B04CB0">
            <w:pPr>
              <w:spacing w:after="0"/>
              <w:rPr>
                <w:rFonts w:ascii="Times" w:eastAsia="Batang" w:hAnsi="Times"/>
                <w:szCs w:val="24"/>
              </w:rPr>
            </w:pPr>
            <w:r w:rsidRPr="00B04CB0">
              <w:rPr>
                <w:rFonts w:ascii="Times" w:eastAsia="Batang" w:hAnsi="Times"/>
                <w:szCs w:val="24"/>
              </w:rPr>
              <w:t>For multi-DCI multi-TRP operation with two TAs in a CC, two DL reference timings are supported where each DL reference timing is associated with one TAG</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 xml:space="preserve">baseline assumption is that the Rx timing difference between the two DL reference timings is no larger than CP length </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as an optional UE capability, Rx timing difference between the two DL reference timings can be assumed to be larger than CP length</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FFS: the maximum Rx timing difference (could be up to RAN4)</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Other than UE capability details and relevant configuration, no additional RAN1 specification enhancement specific for this case is expected</w:t>
            </w:r>
          </w:p>
          <w:p w:rsidR="00B04CB0" w:rsidRDefault="00B04CB0" w:rsidP="00B61CA6"/>
        </w:tc>
      </w:tr>
    </w:tbl>
    <w:p w:rsidR="00B04CB0" w:rsidRDefault="00B04CB0" w:rsidP="00B61CA6"/>
    <w:p w:rsidR="005A6C27" w:rsidRDefault="005A6C27" w:rsidP="00B61CA6">
      <w:r>
        <w:t>Based RAN4 discussion, it was agreed that MRTD and MTTD value is 8 and 8.5 us.</w:t>
      </w:r>
    </w:p>
    <w:p w:rsidR="005A6C27" w:rsidRDefault="005A6C27" w:rsidP="00B61CA6">
      <w:pPr>
        <w:rPr>
          <w:b/>
        </w:rPr>
      </w:pPr>
      <w:r w:rsidRPr="00682866">
        <w:rPr>
          <w:b/>
        </w:rPr>
        <w:lastRenderedPageBreak/>
        <w:t xml:space="preserve">Observation 1: Based on RAN4 and RAN1 agreements, UE can support RTD &gt; CP </w:t>
      </w:r>
      <w:r w:rsidR="00682866" w:rsidRPr="00682866">
        <w:rPr>
          <w:b/>
        </w:rPr>
        <w:t>(as an optional UE capability)</w:t>
      </w:r>
      <w:r w:rsidR="00682866">
        <w:rPr>
          <w:b/>
        </w:rPr>
        <w:t xml:space="preserve"> </w:t>
      </w:r>
      <w:r w:rsidRPr="00682866">
        <w:rPr>
          <w:b/>
        </w:rPr>
        <w:t xml:space="preserve">with MRTD/MTTD </w:t>
      </w:r>
      <w:r w:rsidR="00682866" w:rsidRPr="00682866">
        <w:rPr>
          <w:b/>
        </w:rPr>
        <w:t xml:space="preserve">of 8/8.5us for both intra-cell and inter-cell </w:t>
      </w:r>
      <w:proofErr w:type="spellStart"/>
      <w:r w:rsidR="00682866" w:rsidRPr="00682866">
        <w:rPr>
          <w:b/>
        </w:rPr>
        <w:t>mTRP</w:t>
      </w:r>
      <w:proofErr w:type="spellEnd"/>
      <w:r w:rsidR="00682866" w:rsidRPr="00682866">
        <w:rPr>
          <w:b/>
        </w:rPr>
        <w:t>.</w:t>
      </w:r>
    </w:p>
    <w:p w:rsidR="00682866" w:rsidRDefault="00682866" w:rsidP="00682866">
      <w:pPr>
        <w:jc w:val="both"/>
      </w:pPr>
      <w:r w:rsidRPr="00682866">
        <w:t>From RRM requirements perspective, the only spec impact is the exact value of MRTD/MTTD which is already agreed.</w:t>
      </w:r>
      <w:r>
        <w:t xml:space="preserve"> For the requirements under discussion in Rel-18 Multi-Rx, the only specification impact is the applicability conditions. The main concerns to support RTD larger than CP is the UE implementation complexity. However, since such capability is already agreed to be introduced, there is no need to repeat the discussion on whether to consider such implementation/capability.</w:t>
      </w:r>
    </w:p>
    <w:p w:rsidR="00682866" w:rsidRPr="001D7CFD" w:rsidRDefault="00682866" w:rsidP="00682866">
      <w:pPr>
        <w:jc w:val="both"/>
        <w:rPr>
          <w:b/>
        </w:rPr>
      </w:pPr>
      <w:r w:rsidRPr="001D7CFD">
        <w:rPr>
          <w:b/>
        </w:rPr>
        <w:t xml:space="preserve">Observation 2: There is minor specification impact to support RTD larger than CP since it </w:t>
      </w:r>
      <w:r w:rsidR="001D7CFD" w:rsidRPr="001D7CFD">
        <w:rPr>
          <w:b/>
        </w:rPr>
        <w:t>only works as applicability conditions.</w:t>
      </w:r>
    </w:p>
    <w:p w:rsidR="001D7CFD" w:rsidRPr="001D7CFD" w:rsidRDefault="001D7CFD" w:rsidP="00682866">
      <w:pPr>
        <w:jc w:val="both"/>
        <w:rPr>
          <w:b/>
        </w:rPr>
      </w:pPr>
      <w:r w:rsidRPr="001D7CFD">
        <w:rPr>
          <w:b/>
        </w:rPr>
        <w:t>Observation 3: There is no need to repeat the discussion on implementation complexity since it was already agreed to be introduced as an optional UE capability.</w:t>
      </w:r>
    </w:p>
    <w:p w:rsidR="001D7CFD" w:rsidRDefault="001D7CFD" w:rsidP="00682866">
      <w:pPr>
        <w:jc w:val="both"/>
      </w:pPr>
      <w:r>
        <w:t>Thus, based on the observation above, we do not see the strong reason to preclude the case when RTD&gt;CP for Rel-18 Multi-Rx.</w:t>
      </w:r>
    </w:p>
    <w:p w:rsidR="001D7CFD" w:rsidRPr="001D7CFD" w:rsidRDefault="001D7CFD" w:rsidP="00682866">
      <w:pPr>
        <w:jc w:val="both"/>
        <w:rPr>
          <w:b/>
        </w:rPr>
      </w:pPr>
      <w:r w:rsidRPr="001D7CFD">
        <w:rPr>
          <w:b/>
        </w:rPr>
        <w:t>Proposal 1: Define requirements for RTD&gt;CP with optional UE capability for FR2 multi-Rx.</w:t>
      </w:r>
    </w:p>
    <w:p w:rsidR="00682866" w:rsidRPr="003E0F93" w:rsidRDefault="00682866" w:rsidP="00B61CA6">
      <w:pPr>
        <w:rPr>
          <w:rFonts w:eastAsia="宋体"/>
          <w:b/>
          <w:color w:val="000000" w:themeColor="text1"/>
          <w:szCs w:val="24"/>
          <w:lang w:eastAsia="zh-CN"/>
        </w:rPr>
      </w:pPr>
    </w:p>
    <w:p w:rsidR="00DF0231" w:rsidRDefault="00DF0231" w:rsidP="00DF0231">
      <w:pPr>
        <w:pStyle w:val="Heading1"/>
        <w:numPr>
          <w:ilvl w:val="0"/>
          <w:numId w:val="1"/>
        </w:numPr>
        <w:rPr>
          <w:lang w:val="en-US"/>
        </w:rPr>
      </w:pPr>
      <w:r w:rsidRPr="002D2977">
        <w:rPr>
          <w:lang w:val="en-US"/>
        </w:rPr>
        <w:t>Conclusions</w:t>
      </w:r>
    </w:p>
    <w:p w:rsidR="001D7CFD" w:rsidRDefault="001D7CFD" w:rsidP="001D7CFD">
      <w:pPr>
        <w:rPr>
          <w:b/>
        </w:rPr>
      </w:pPr>
      <w:r w:rsidRPr="00682866">
        <w:rPr>
          <w:b/>
        </w:rPr>
        <w:t>Observation 1: Based on RAN4 and RAN1 agreements, UE can support RTD &gt; CP (as an optional UE capability)</w:t>
      </w:r>
      <w:r>
        <w:rPr>
          <w:b/>
        </w:rPr>
        <w:t xml:space="preserve"> </w:t>
      </w:r>
      <w:r w:rsidRPr="00682866">
        <w:rPr>
          <w:b/>
        </w:rPr>
        <w:t xml:space="preserve">with MRTD/MTTD of 8/8.5us for both intra-cell and inter-cell </w:t>
      </w:r>
      <w:proofErr w:type="spellStart"/>
      <w:r w:rsidRPr="00682866">
        <w:rPr>
          <w:b/>
        </w:rPr>
        <w:t>mTRP</w:t>
      </w:r>
      <w:proofErr w:type="spellEnd"/>
      <w:r w:rsidRPr="00682866">
        <w:rPr>
          <w:b/>
        </w:rPr>
        <w:t>.</w:t>
      </w:r>
    </w:p>
    <w:p w:rsidR="001D7CFD" w:rsidRPr="001D7CFD" w:rsidRDefault="001D7CFD" w:rsidP="001D7CFD">
      <w:pPr>
        <w:jc w:val="both"/>
        <w:rPr>
          <w:b/>
        </w:rPr>
      </w:pPr>
      <w:r w:rsidRPr="001D7CFD">
        <w:rPr>
          <w:b/>
        </w:rPr>
        <w:t>Observation 2: There is minor specification impact to support RTD larger than CP since it only works as applicability conditions.</w:t>
      </w:r>
    </w:p>
    <w:p w:rsidR="001D7CFD" w:rsidRPr="001D7CFD" w:rsidRDefault="001D7CFD" w:rsidP="001D7CFD">
      <w:pPr>
        <w:jc w:val="both"/>
        <w:rPr>
          <w:b/>
        </w:rPr>
      </w:pPr>
      <w:r w:rsidRPr="001D7CFD">
        <w:rPr>
          <w:b/>
        </w:rPr>
        <w:t>Observation 3: There is no need to repeat the discussion on implementation complexity since it was already agreed to be introduced as an optional UE capability.</w:t>
      </w:r>
    </w:p>
    <w:p w:rsidR="001D7CFD" w:rsidRDefault="001D7CFD" w:rsidP="001D7CFD">
      <w:r w:rsidRPr="001D7CFD">
        <w:rPr>
          <w:b/>
        </w:rPr>
        <w:t>Proposal 1: Define requirements for RTD&gt;CP with optional UE capability for FR2 multi-Rx.</w:t>
      </w:r>
    </w:p>
    <w:p w:rsidR="00DF0231" w:rsidRPr="002D2977" w:rsidRDefault="00DF0231" w:rsidP="00DF0231">
      <w:pPr>
        <w:pStyle w:val="Heading1"/>
        <w:tabs>
          <w:tab w:val="clear" w:pos="432"/>
        </w:tabs>
        <w:ind w:left="0" w:firstLine="0"/>
        <w:rPr>
          <w:lang w:val="en-US"/>
        </w:rPr>
      </w:pPr>
      <w:r w:rsidRPr="002D2977">
        <w:rPr>
          <w:lang w:val="en-US"/>
        </w:rPr>
        <w:t>References</w:t>
      </w:r>
    </w:p>
    <w:p w:rsidR="00283DEA" w:rsidRPr="000A18E6" w:rsidRDefault="00283DEA" w:rsidP="00283DEA">
      <w:pPr>
        <w:rPr>
          <w:rFonts w:eastAsiaTheme="minorEastAsia"/>
          <w:lang w:eastAsia="zh-CN"/>
        </w:rPr>
      </w:pPr>
      <w:r>
        <w:rPr>
          <w:rFonts w:eastAsiaTheme="minorEastAsia"/>
          <w:lang w:eastAsia="zh-CN"/>
        </w:rPr>
        <w:t xml:space="preserve">[1] </w:t>
      </w:r>
      <w:r w:rsidRPr="005A33C9">
        <w:rPr>
          <w:rFonts w:eastAsiaTheme="minorEastAsia"/>
          <w:lang w:eastAsia="zh-CN"/>
        </w:rPr>
        <w:t>R4-2303302</w:t>
      </w:r>
      <w:r w:rsidRPr="000A18E6">
        <w:rPr>
          <w:rFonts w:eastAsiaTheme="minorEastAsia"/>
          <w:lang w:eastAsia="zh-CN"/>
        </w:rPr>
        <w:tab/>
      </w:r>
      <w:r w:rsidRPr="005A33C9">
        <w:rPr>
          <w:rFonts w:eastAsiaTheme="minorEastAsia"/>
          <w:lang w:eastAsia="zh-CN"/>
        </w:rPr>
        <w:t>WF on NR FR2 multi-Rx chain DL reception RRM requirements (part 1)</w:t>
      </w:r>
      <w:r>
        <w:rPr>
          <w:rFonts w:eastAsiaTheme="minorEastAsia"/>
          <w:lang w:eastAsia="zh-CN"/>
        </w:rPr>
        <w:t xml:space="preserve">, </w:t>
      </w:r>
      <w:r w:rsidRPr="000A18E6">
        <w:rPr>
          <w:rFonts w:eastAsiaTheme="minorEastAsia"/>
          <w:lang w:eastAsia="zh-CN"/>
        </w:rPr>
        <w:t>vivo</w:t>
      </w:r>
    </w:p>
    <w:p w:rsidR="00283DEA" w:rsidRPr="000A18E6" w:rsidRDefault="00283DEA" w:rsidP="00283DEA">
      <w:pPr>
        <w:rPr>
          <w:rFonts w:eastAsiaTheme="minorEastAsia"/>
          <w:lang w:eastAsia="zh-CN"/>
        </w:rPr>
      </w:pPr>
      <w:r>
        <w:rPr>
          <w:rFonts w:eastAsiaTheme="minorEastAsia"/>
          <w:lang w:eastAsia="zh-CN"/>
        </w:rPr>
        <w:t xml:space="preserve">[2] </w:t>
      </w:r>
      <w:r w:rsidRPr="005A33C9">
        <w:rPr>
          <w:rFonts w:eastAsiaTheme="minorEastAsia"/>
          <w:lang w:eastAsia="zh-CN"/>
        </w:rPr>
        <w:t>R4-2303317</w:t>
      </w:r>
      <w:r w:rsidRPr="000A18E6">
        <w:rPr>
          <w:rFonts w:eastAsiaTheme="minorEastAsia"/>
          <w:lang w:eastAsia="zh-CN"/>
        </w:rPr>
        <w:tab/>
      </w:r>
      <w:r w:rsidRPr="005A33C9">
        <w:rPr>
          <w:rFonts w:eastAsiaTheme="minorEastAsia"/>
          <w:lang w:eastAsia="zh-CN"/>
        </w:rPr>
        <w:t>WF on NR FR2 multi-Rx chain DL reception RRM requirements (part 2)</w:t>
      </w:r>
      <w:r>
        <w:rPr>
          <w:rFonts w:eastAsiaTheme="minorEastAsia"/>
          <w:lang w:eastAsia="zh-CN"/>
        </w:rPr>
        <w:t xml:space="preserve">, </w:t>
      </w:r>
      <w:r w:rsidRPr="000A18E6">
        <w:rPr>
          <w:rFonts w:eastAsiaTheme="minorEastAsia"/>
          <w:lang w:eastAsia="zh-CN"/>
        </w:rPr>
        <w:t>Qualcomm</w:t>
      </w:r>
    </w:p>
    <w:p w:rsidR="004118D3" w:rsidRPr="003E0F93" w:rsidRDefault="004118D3">
      <w:pPr>
        <w:rPr>
          <w:rFonts w:eastAsiaTheme="minorEastAsia"/>
          <w:lang w:eastAsia="zh-CN"/>
        </w:rPr>
      </w:pPr>
    </w:p>
    <w:sectPr w:rsidR="004118D3" w:rsidRPr="003E0F9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7BB" w:rsidRDefault="00E847BB">
      <w:pPr>
        <w:spacing w:after="0"/>
      </w:pPr>
      <w:r>
        <w:separator/>
      </w:r>
    </w:p>
  </w:endnote>
  <w:endnote w:type="continuationSeparator" w:id="0">
    <w:p w:rsidR="00E847BB" w:rsidRDefault="00E84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0A88">
      <w:rPr>
        <w:rStyle w:val="PageNumber"/>
      </w:rPr>
      <w:t>2</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7BB" w:rsidRDefault="00E847BB">
      <w:pPr>
        <w:spacing w:after="0"/>
      </w:pPr>
      <w:r>
        <w:separator/>
      </w:r>
    </w:p>
  </w:footnote>
  <w:footnote w:type="continuationSeparator" w:id="0">
    <w:p w:rsidR="00E847BB" w:rsidRDefault="00E847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8"/>
  </w:num>
  <w:num w:numId="3">
    <w:abstractNumId w:val="10"/>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3"/>
  </w:num>
  <w:num w:numId="8">
    <w:abstractNumId w:val="4"/>
  </w:num>
  <w:num w:numId="9">
    <w:abstractNumId w:val="14"/>
  </w:num>
  <w:num w:numId="10">
    <w:abstractNumId w:val="2"/>
  </w:num>
  <w:num w:numId="11">
    <w:abstractNumId w:val="0"/>
  </w:num>
  <w:num w:numId="12">
    <w:abstractNumId w:val="8"/>
  </w:num>
  <w:num w:numId="13">
    <w:abstractNumId w:val="9"/>
  </w:num>
  <w:num w:numId="14">
    <w:abstractNumId w:val="12"/>
  </w:num>
  <w:num w:numId="15">
    <w:abstractNumId w:val="13"/>
  </w:num>
  <w:num w:numId="16">
    <w:abstractNumId w:val="10"/>
  </w:num>
  <w:num w:numId="17">
    <w:abstractNumId w:val="16"/>
  </w:num>
  <w:num w:numId="18">
    <w:abstractNumId w:val="7"/>
  </w:num>
  <w:num w:numId="19">
    <w:abstractNumId w:val="1"/>
  </w:num>
  <w:num w:numId="20">
    <w:abstractNumId w:val="17"/>
  </w:num>
  <w:num w:numId="21">
    <w:abstractNumId w:val="10"/>
  </w:num>
  <w:num w:numId="22">
    <w:abstractNumId w:val="6"/>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31D4"/>
    <w:rsid w:val="000141FA"/>
    <w:rsid w:val="00025036"/>
    <w:rsid w:val="000344E2"/>
    <w:rsid w:val="00035B7C"/>
    <w:rsid w:val="00035D42"/>
    <w:rsid w:val="00035D9A"/>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B5083"/>
    <w:rsid w:val="000B707B"/>
    <w:rsid w:val="000C2147"/>
    <w:rsid w:val="000C3708"/>
    <w:rsid w:val="000C77B2"/>
    <w:rsid w:val="000D2930"/>
    <w:rsid w:val="000D59F6"/>
    <w:rsid w:val="000D6B9B"/>
    <w:rsid w:val="000E0A8A"/>
    <w:rsid w:val="000E2C03"/>
    <w:rsid w:val="000F04C6"/>
    <w:rsid w:val="000F39EE"/>
    <w:rsid w:val="000F4F43"/>
    <w:rsid w:val="000F7DE7"/>
    <w:rsid w:val="0010016B"/>
    <w:rsid w:val="00100360"/>
    <w:rsid w:val="0010262D"/>
    <w:rsid w:val="00104362"/>
    <w:rsid w:val="00107AF6"/>
    <w:rsid w:val="00110BAD"/>
    <w:rsid w:val="0011207E"/>
    <w:rsid w:val="001125B8"/>
    <w:rsid w:val="001137CA"/>
    <w:rsid w:val="00122C1F"/>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C2A8C"/>
    <w:rsid w:val="001C4240"/>
    <w:rsid w:val="001C5D98"/>
    <w:rsid w:val="001D154C"/>
    <w:rsid w:val="001D3006"/>
    <w:rsid w:val="001D415D"/>
    <w:rsid w:val="001D7CFD"/>
    <w:rsid w:val="001E17E6"/>
    <w:rsid w:val="001E24D0"/>
    <w:rsid w:val="001E7174"/>
    <w:rsid w:val="001F10A3"/>
    <w:rsid w:val="001F299A"/>
    <w:rsid w:val="0020000C"/>
    <w:rsid w:val="002000BB"/>
    <w:rsid w:val="0020033A"/>
    <w:rsid w:val="00207FF4"/>
    <w:rsid w:val="00216AAB"/>
    <w:rsid w:val="00217770"/>
    <w:rsid w:val="002204E2"/>
    <w:rsid w:val="002221AC"/>
    <w:rsid w:val="00222A85"/>
    <w:rsid w:val="00222AF7"/>
    <w:rsid w:val="00222EFC"/>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83DEA"/>
    <w:rsid w:val="00294B79"/>
    <w:rsid w:val="00297090"/>
    <w:rsid w:val="002978A7"/>
    <w:rsid w:val="002A0BB1"/>
    <w:rsid w:val="002A235C"/>
    <w:rsid w:val="002A2EF8"/>
    <w:rsid w:val="002A45BF"/>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94D57"/>
    <w:rsid w:val="003A5CBC"/>
    <w:rsid w:val="003A5E2B"/>
    <w:rsid w:val="003B169F"/>
    <w:rsid w:val="003B3884"/>
    <w:rsid w:val="003C092B"/>
    <w:rsid w:val="003C0B24"/>
    <w:rsid w:val="003C6DC4"/>
    <w:rsid w:val="003D6F09"/>
    <w:rsid w:val="003D77C1"/>
    <w:rsid w:val="003E097F"/>
    <w:rsid w:val="003E0F93"/>
    <w:rsid w:val="003E6285"/>
    <w:rsid w:val="003E7C96"/>
    <w:rsid w:val="003F0F9F"/>
    <w:rsid w:val="003F4698"/>
    <w:rsid w:val="003F762D"/>
    <w:rsid w:val="00401473"/>
    <w:rsid w:val="00407924"/>
    <w:rsid w:val="004118D3"/>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30CC"/>
    <w:rsid w:val="005755A4"/>
    <w:rsid w:val="005763DF"/>
    <w:rsid w:val="00582652"/>
    <w:rsid w:val="005906DB"/>
    <w:rsid w:val="005943F8"/>
    <w:rsid w:val="00596DC0"/>
    <w:rsid w:val="005A2A55"/>
    <w:rsid w:val="005A2C70"/>
    <w:rsid w:val="005A456B"/>
    <w:rsid w:val="005A6C27"/>
    <w:rsid w:val="005B0D68"/>
    <w:rsid w:val="005B6053"/>
    <w:rsid w:val="005C337F"/>
    <w:rsid w:val="005D15A2"/>
    <w:rsid w:val="005D231A"/>
    <w:rsid w:val="005D3DC0"/>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1F59"/>
    <w:rsid w:val="00682866"/>
    <w:rsid w:val="00682C64"/>
    <w:rsid w:val="006901CA"/>
    <w:rsid w:val="006A68E5"/>
    <w:rsid w:val="006A7936"/>
    <w:rsid w:val="006A7B70"/>
    <w:rsid w:val="006B0875"/>
    <w:rsid w:val="006B21AC"/>
    <w:rsid w:val="006B2B9B"/>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4CE4"/>
    <w:rsid w:val="007166C4"/>
    <w:rsid w:val="007200C7"/>
    <w:rsid w:val="00723883"/>
    <w:rsid w:val="00732D90"/>
    <w:rsid w:val="007334B6"/>
    <w:rsid w:val="00734B34"/>
    <w:rsid w:val="00736D84"/>
    <w:rsid w:val="00737D76"/>
    <w:rsid w:val="007412AE"/>
    <w:rsid w:val="0074269F"/>
    <w:rsid w:val="00747E92"/>
    <w:rsid w:val="00751E52"/>
    <w:rsid w:val="00763EF7"/>
    <w:rsid w:val="00766048"/>
    <w:rsid w:val="007711B8"/>
    <w:rsid w:val="0077159B"/>
    <w:rsid w:val="00771E1C"/>
    <w:rsid w:val="0077456D"/>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5BA"/>
    <w:rsid w:val="0082050A"/>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1C99"/>
    <w:rsid w:val="008A2B76"/>
    <w:rsid w:val="008A4FA1"/>
    <w:rsid w:val="008A6285"/>
    <w:rsid w:val="008B2102"/>
    <w:rsid w:val="008B3970"/>
    <w:rsid w:val="008B4341"/>
    <w:rsid w:val="008B4540"/>
    <w:rsid w:val="008B4A2C"/>
    <w:rsid w:val="008B4C78"/>
    <w:rsid w:val="008B4F73"/>
    <w:rsid w:val="008B7660"/>
    <w:rsid w:val="008C31D2"/>
    <w:rsid w:val="008C398B"/>
    <w:rsid w:val="008C4172"/>
    <w:rsid w:val="008D2D3D"/>
    <w:rsid w:val="008D55C5"/>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386A"/>
    <w:rsid w:val="00923CC3"/>
    <w:rsid w:val="0092433F"/>
    <w:rsid w:val="00924CA8"/>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509"/>
    <w:rsid w:val="009E6763"/>
    <w:rsid w:val="009E6DC8"/>
    <w:rsid w:val="009E7810"/>
    <w:rsid w:val="009F0CE6"/>
    <w:rsid w:val="009F583E"/>
    <w:rsid w:val="009F7F10"/>
    <w:rsid w:val="00A00597"/>
    <w:rsid w:val="00A0093B"/>
    <w:rsid w:val="00A12052"/>
    <w:rsid w:val="00A1304B"/>
    <w:rsid w:val="00A1597D"/>
    <w:rsid w:val="00A22790"/>
    <w:rsid w:val="00A25160"/>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1F9C"/>
    <w:rsid w:val="00A93E0D"/>
    <w:rsid w:val="00AA17A8"/>
    <w:rsid w:val="00AA31F0"/>
    <w:rsid w:val="00AB1128"/>
    <w:rsid w:val="00AB319F"/>
    <w:rsid w:val="00AC2317"/>
    <w:rsid w:val="00AC2C97"/>
    <w:rsid w:val="00AC2CD4"/>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4CB0"/>
    <w:rsid w:val="00B07979"/>
    <w:rsid w:val="00B10C6E"/>
    <w:rsid w:val="00B1402B"/>
    <w:rsid w:val="00B22016"/>
    <w:rsid w:val="00B23292"/>
    <w:rsid w:val="00B26D02"/>
    <w:rsid w:val="00B277D5"/>
    <w:rsid w:val="00B343A3"/>
    <w:rsid w:val="00B41E6D"/>
    <w:rsid w:val="00B450D5"/>
    <w:rsid w:val="00B46C73"/>
    <w:rsid w:val="00B51F58"/>
    <w:rsid w:val="00B54E66"/>
    <w:rsid w:val="00B55463"/>
    <w:rsid w:val="00B56E67"/>
    <w:rsid w:val="00B57381"/>
    <w:rsid w:val="00B60998"/>
    <w:rsid w:val="00B61CA6"/>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77A"/>
    <w:rsid w:val="00BE6A2E"/>
    <w:rsid w:val="00BF00A7"/>
    <w:rsid w:val="00BF0C46"/>
    <w:rsid w:val="00BF136F"/>
    <w:rsid w:val="00BF33D9"/>
    <w:rsid w:val="00BF53FD"/>
    <w:rsid w:val="00C00BE2"/>
    <w:rsid w:val="00C075BD"/>
    <w:rsid w:val="00C11B10"/>
    <w:rsid w:val="00C12EA5"/>
    <w:rsid w:val="00C15E40"/>
    <w:rsid w:val="00C161BE"/>
    <w:rsid w:val="00C308C1"/>
    <w:rsid w:val="00C338CA"/>
    <w:rsid w:val="00C35CB3"/>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4A65"/>
    <w:rsid w:val="00CD58CB"/>
    <w:rsid w:val="00CE0DA0"/>
    <w:rsid w:val="00CE477D"/>
    <w:rsid w:val="00CE4C08"/>
    <w:rsid w:val="00CF030B"/>
    <w:rsid w:val="00CF1B90"/>
    <w:rsid w:val="00CF1DFC"/>
    <w:rsid w:val="00CF2856"/>
    <w:rsid w:val="00CF5CE7"/>
    <w:rsid w:val="00CF5EF5"/>
    <w:rsid w:val="00CF7481"/>
    <w:rsid w:val="00CF7B16"/>
    <w:rsid w:val="00CF7EE3"/>
    <w:rsid w:val="00D0400B"/>
    <w:rsid w:val="00D0739E"/>
    <w:rsid w:val="00D13FC8"/>
    <w:rsid w:val="00D14E7C"/>
    <w:rsid w:val="00D26163"/>
    <w:rsid w:val="00D3442D"/>
    <w:rsid w:val="00D34F1B"/>
    <w:rsid w:val="00D35ED3"/>
    <w:rsid w:val="00D36C60"/>
    <w:rsid w:val="00D41D2D"/>
    <w:rsid w:val="00D463A3"/>
    <w:rsid w:val="00D51833"/>
    <w:rsid w:val="00D55894"/>
    <w:rsid w:val="00D57BE5"/>
    <w:rsid w:val="00D67ABE"/>
    <w:rsid w:val="00D73373"/>
    <w:rsid w:val="00D74CA3"/>
    <w:rsid w:val="00D76666"/>
    <w:rsid w:val="00D828E1"/>
    <w:rsid w:val="00D8441F"/>
    <w:rsid w:val="00D850B9"/>
    <w:rsid w:val="00D8753F"/>
    <w:rsid w:val="00D9498D"/>
    <w:rsid w:val="00D94E39"/>
    <w:rsid w:val="00D9789C"/>
    <w:rsid w:val="00DB0A8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6EE6"/>
    <w:rsid w:val="00E577DD"/>
    <w:rsid w:val="00E60952"/>
    <w:rsid w:val="00E6587C"/>
    <w:rsid w:val="00E706B8"/>
    <w:rsid w:val="00E72064"/>
    <w:rsid w:val="00E76A71"/>
    <w:rsid w:val="00E82ED7"/>
    <w:rsid w:val="00E83483"/>
    <w:rsid w:val="00E847BB"/>
    <w:rsid w:val="00E85BF2"/>
    <w:rsid w:val="00E91110"/>
    <w:rsid w:val="00E9184C"/>
    <w:rsid w:val="00E94DD3"/>
    <w:rsid w:val="00E96047"/>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3E"/>
    <w:rsid w:val="00F5790A"/>
    <w:rsid w:val="00F609CD"/>
    <w:rsid w:val="00F610B6"/>
    <w:rsid w:val="00F61DAD"/>
    <w:rsid w:val="00F66108"/>
    <w:rsid w:val="00F72D98"/>
    <w:rsid w:val="00F76B81"/>
    <w:rsid w:val="00F83F8A"/>
    <w:rsid w:val="00F87DA1"/>
    <w:rsid w:val="00F941E7"/>
    <w:rsid w:val="00FA4943"/>
    <w:rsid w:val="00FB4DC9"/>
    <w:rsid w:val="00FB6BD9"/>
    <w:rsid w:val="00FC0544"/>
    <w:rsid w:val="00FC0F9D"/>
    <w:rsid w:val="00FC3492"/>
    <w:rsid w:val="00FC35AD"/>
    <w:rsid w:val="00FC485B"/>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B61CA6"/>
    <w:pPr>
      <w:keepNext/>
      <w:keepLines/>
      <w:spacing w:before="260" w:after="26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B61CA6"/>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85408214">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F7057-1456-4C0D-B834-C34AE723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16373</TotalTime>
  <Pages>2</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312</cp:revision>
  <dcterms:created xsi:type="dcterms:W3CDTF">2019-09-18T02:52:00Z</dcterms:created>
  <dcterms:modified xsi:type="dcterms:W3CDTF">2023-04-10T11:44:00Z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(3)rx2CTAHuKkGVwTw86vQCNbxmrWSa2Oa489M9U/jY1lIkbGdc1A0SUguVYwSq8wqVNxIXaXct
PB5hDOKQG5RJX63hIVoSz8o1LYs+MZ7HfStj+GVoXRZtrEtDR3NFaXsj8WFjPm3ccWlwsaKG
ZrymzYQk8bCQv5hMmWKBvw5nAYVK/nb6stSinAjFOxs8nTHJI0ooCDzYbywVVIH19ejeUGEr
9DR3jpEHrzTc2coQv9</vt:lpwstr>
  </property>
  <property fmtid="{D5CDD505-2E9C-101B-9397-08002B2CF9AE}" pid="3" name="_2015_ms_pID_7253431">
    <vt:lpwstr>lz2AeZ0PNU0en+33eR3m3sc3mUPXuOgw+q67g8GfmQ1LPStDjyAY3v
COG4x7a+66zMU4eSkgY+mcGj5PpzSg4DnWgubV6jFvH+jHJVv5JtUp7CjBo/sodSC/SvV6o1
YvC28Ks3PvDy6EDwNRvE0DWNZ1jaAoowaEt+VRMH2h6SbEN2oiLRwpcx9ADyHXmEuGIk7MXm
t8Og7XDUPLzYWs7dBEfS0lE/ivpino8XM+/b</vt:lpwstr>
  </property>
  <property fmtid="{D5CDD505-2E9C-101B-9397-08002B2CF9AE}" pid="4" name="_2015_ms_pID_7253432">
    <vt:lpwstr>k4vQmLXdoCXrIU8tCKVqakI=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