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43FB" w14:textId="3EBFF2EB" w:rsidR="00CC736E" w:rsidRPr="00643914"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643914">
        <w:rPr>
          <w:rFonts w:ascii="Arial" w:hAnsi="Arial" w:cs="Arial"/>
          <w:b/>
          <w:sz w:val="24"/>
          <w:szCs w:val="24"/>
        </w:rPr>
        <w:t>6</w:t>
      </w:r>
      <w:r w:rsidR="004C5EED">
        <w:rPr>
          <w:rFonts w:ascii="Arial" w:hAnsi="Arial" w:cs="Arial"/>
          <w:b/>
          <w:sz w:val="24"/>
          <w:szCs w:val="24"/>
        </w:rPr>
        <w:t>bis-e</w:t>
      </w:r>
      <w:r w:rsidRPr="00F644CF">
        <w:rPr>
          <w:rFonts w:ascii="Arial" w:hAnsi="Arial" w:cs="Arial"/>
          <w:b/>
          <w:sz w:val="24"/>
          <w:szCs w:val="24"/>
        </w:rPr>
        <w:tab/>
        <w:t>R4-</w:t>
      </w:r>
      <w:r w:rsidR="00A973D7" w:rsidRPr="00A973D7">
        <w:rPr>
          <w:rFonts w:ascii="Arial" w:hAnsi="Arial" w:cs="Arial"/>
          <w:b/>
          <w:sz w:val="24"/>
          <w:szCs w:val="24"/>
        </w:rPr>
        <w:t>2304908</w:t>
      </w:r>
    </w:p>
    <w:p w14:paraId="162BE70D" w14:textId="77777777" w:rsidR="00DE55A0" w:rsidRPr="00807EF6" w:rsidRDefault="004C5EED"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Online</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cs="Arial"/>
          <w:b/>
          <w:sz w:val="24"/>
          <w:szCs w:val="24"/>
          <w:lang w:eastAsia="zh-CN"/>
        </w:rPr>
        <w:t>April</w:t>
      </w:r>
      <w:r w:rsidR="00292E94" w:rsidRPr="004A029C">
        <w:rPr>
          <w:rFonts w:ascii="Arial" w:eastAsia="SimSun" w:hAnsi="Arial" w:cs="Arial"/>
          <w:b/>
          <w:sz w:val="24"/>
          <w:szCs w:val="24"/>
          <w:lang w:eastAsia="zh-CN"/>
        </w:rPr>
        <w:t xml:space="preserve"> </w:t>
      </w:r>
      <w:r>
        <w:rPr>
          <w:rFonts w:ascii="Arial" w:eastAsia="SimSun" w:hAnsi="Arial" w:cs="Arial"/>
          <w:b/>
          <w:sz w:val="24"/>
          <w:szCs w:val="24"/>
          <w:lang w:eastAsia="zh-CN"/>
        </w:rPr>
        <w:t>17</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00292E94" w:rsidRPr="004A029C">
        <w:rPr>
          <w:rFonts w:ascii="Arial" w:eastAsia="SimSun" w:hAnsi="Arial" w:cs="Arial"/>
          <w:b/>
          <w:sz w:val="24"/>
          <w:szCs w:val="24"/>
          <w:lang w:eastAsia="zh-CN"/>
        </w:rPr>
        <w:t>, 202</w:t>
      </w:r>
      <w:r w:rsidR="00643914">
        <w:rPr>
          <w:rFonts w:ascii="Arial" w:eastAsia="SimSun" w:hAnsi="Arial" w:cs="Arial"/>
          <w:b/>
          <w:sz w:val="24"/>
          <w:szCs w:val="24"/>
          <w:lang w:eastAsia="zh-CN"/>
        </w:rPr>
        <w:t>3</w:t>
      </w:r>
    </w:p>
    <w:p w14:paraId="2D4BA2A8"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9ABE511"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27F9571"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D3DDE">
        <w:rPr>
          <w:rFonts w:ascii="Arial" w:hAnsi="Arial" w:cs="Arial" w:hint="eastAsia"/>
          <w:lang w:val="en-US" w:eastAsia="ko-KR"/>
        </w:rPr>
        <w:t xml:space="preserve">Discussion on </w:t>
      </w:r>
      <w:r w:rsidR="0074330D">
        <w:rPr>
          <w:rFonts w:ascii="Arial" w:hAnsi="Arial" w:cs="Arial"/>
          <w:lang w:val="en-US"/>
        </w:rPr>
        <w:t>guard period in TDD cell</w:t>
      </w:r>
      <w:r w:rsidR="00C044DB">
        <w:rPr>
          <w:rFonts w:ascii="Arial" w:hAnsi="Arial" w:cs="Arial"/>
          <w:lang w:val="en-US"/>
        </w:rPr>
        <w:t xml:space="preserve"> for ATG operation</w:t>
      </w:r>
      <w:r w:rsidR="00441033">
        <w:rPr>
          <w:rFonts w:ascii="Arial" w:hAnsi="Arial" w:cs="Arial"/>
          <w:lang w:val="en-US"/>
        </w:rPr>
        <w:t xml:space="preserve"> </w:t>
      </w:r>
      <w:r w:rsidR="00100413">
        <w:rPr>
          <w:rFonts w:ascii="Arial" w:hAnsi="Arial" w:cs="Arial" w:hint="eastAsia"/>
          <w:lang w:val="en-US" w:eastAsia="ko-KR"/>
        </w:rPr>
        <w:t xml:space="preserve"> </w:t>
      </w:r>
    </w:p>
    <w:p w14:paraId="5394E8D7" w14:textId="7777777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03596">
        <w:rPr>
          <w:rFonts w:ascii="Arial" w:hAnsi="Arial" w:cs="Arial"/>
          <w:lang w:val="en-US" w:eastAsia="ko-KR"/>
        </w:rPr>
        <w:t>5.</w:t>
      </w:r>
      <w:r w:rsidR="00C044DB">
        <w:rPr>
          <w:rFonts w:ascii="Arial" w:hAnsi="Arial" w:cs="Arial"/>
          <w:lang w:val="en-US" w:eastAsia="ko-KR"/>
        </w:rPr>
        <w:t>14.4.3</w:t>
      </w:r>
    </w:p>
    <w:p w14:paraId="12B56350"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3D3DDE">
        <w:rPr>
          <w:rFonts w:ascii="Arial" w:hAnsi="Arial" w:cs="Arial"/>
          <w:bCs/>
          <w:lang w:val="en-US" w:eastAsia="ko-KR"/>
        </w:rPr>
        <w:t>Discussion</w:t>
      </w:r>
    </w:p>
    <w:p w14:paraId="53AFBA6B" w14:textId="77777777" w:rsidR="001171FA" w:rsidRPr="00576FCA" w:rsidRDefault="001171FA" w:rsidP="00D4523D">
      <w:pPr>
        <w:pBdr>
          <w:bottom w:val="single" w:sz="4" w:space="1" w:color="auto"/>
        </w:pBdr>
        <w:jc w:val="both"/>
        <w:rPr>
          <w:rFonts w:ascii="Arial" w:hAnsi="Arial" w:cs="Arial"/>
          <w:lang w:val="en-US"/>
        </w:rPr>
      </w:pPr>
    </w:p>
    <w:p w14:paraId="178F8A38" w14:textId="77777777" w:rsidR="001171FA" w:rsidRPr="00576FCA" w:rsidRDefault="001171FA" w:rsidP="00D4523D">
      <w:pPr>
        <w:jc w:val="both"/>
        <w:rPr>
          <w:rFonts w:ascii="Arial" w:hAnsi="Arial" w:cs="Arial"/>
          <w:lang w:val="en-US"/>
        </w:rPr>
      </w:pPr>
    </w:p>
    <w:p w14:paraId="78B636AB" w14:textId="77777777" w:rsidR="003C5363" w:rsidRDefault="001171FA" w:rsidP="00D4523D">
      <w:pPr>
        <w:pStyle w:val="1"/>
        <w:jc w:val="both"/>
        <w:rPr>
          <w:lang w:val="en-US" w:eastAsia="ko-KR"/>
        </w:rPr>
      </w:pPr>
      <w:r w:rsidRPr="00576FCA">
        <w:rPr>
          <w:lang w:val="en-US"/>
        </w:rPr>
        <w:t>Introduction</w:t>
      </w:r>
    </w:p>
    <w:p w14:paraId="015C4466" w14:textId="77777777" w:rsidR="00683CAB" w:rsidRDefault="00224367" w:rsidP="00A83F62">
      <w:pPr>
        <w:pStyle w:val="a0"/>
        <w:jc w:val="both"/>
        <w:rPr>
          <w:lang w:val="en-US" w:eastAsia="ko-KR"/>
        </w:rPr>
      </w:pPr>
      <w:r>
        <w:rPr>
          <w:lang w:val="en-US" w:eastAsia="ko-KR"/>
        </w:rPr>
        <w:t xml:space="preserve">In this contribution, we provide our views on </w:t>
      </w:r>
      <w:r w:rsidR="0074330D">
        <w:rPr>
          <w:lang w:val="en-US" w:eastAsia="ko-KR"/>
        </w:rPr>
        <w:t>guard period due to large TDD cell</w:t>
      </w:r>
      <w:r w:rsidR="009247C3">
        <w:rPr>
          <w:lang w:val="en-US" w:eastAsia="ko-KR"/>
        </w:rPr>
        <w:t xml:space="preserve"> </w:t>
      </w:r>
      <w:r w:rsidR="00C044DB">
        <w:rPr>
          <w:lang w:val="en-US" w:eastAsia="ko-KR"/>
        </w:rPr>
        <w:t>based on [1]</w:t>
      </w:r>
      <w:r>
        <w:rPr>
          <w:lang w:val="en-US" w:eastAsia="ko-KR"/>
        </w:rPr>
        <w:t xml:space="preserve">. </w:t>
      </w:r>
    </w:p>
    <w:p w14:paraId="4BB89D59" w14:textId="77777777" w:rsidR="00683CAB" w:rsidRDefault="00683CAB" w:rsidP="00A83F62">
      <w:pPr>
        <w:pStyle w:val="a0"/>
        <w:jc w:val="both"/>
        <w:rPr>
          <w:lang w:val="en-US" w:eastAsia="ko-KR"/>
        </w:rPr>
      </w:pPr>
    </w:p>
    <w:p w14:paraId="04794431" w14:textId="77777777" w:rsidR="002900EE" w:rsidRDefault="00441033" w:rsidP="00A83F62">
      <w:pPr>
        <w:pStyle w:val="1"/>
        <w:spacing w:line="276" w:lineRule="auto"/>
        <w:jc w:val="both"/>
        <w:rPr>
          <w:lang w:val="en-US" w:eastAsia="ko-KR"/>
        </w:rPr>
      </w:pPr>
      <w:r>
        <w:rPr>
          <w:lang w:val="en-US" w:eastAsia="ko-KR"/>
        </w:rPr>
        <w:t>Discussion</w:t>
      </w:r>
    </w:p>
    <w:p w14:paraId="3B39B71C" w14:textId="77777777" w:rsidR="00A83F62" w:rsidRDefault="005C12CF" w:rsidP="00A83F62">
      <w:pPr>
        <w:pStyle w:val="a0"/>
        <w:jc w:val="both"/>
        <w:rPr>
          <w:lang w:val="en-US" w:eastAsia="ko-KR"/>
        </w:rPr>
      </w:pPr>
      <w:r w:rsidRPr="00ED048A">
        <w:rPr>
          <w:b/>
          <w:u w:val="single"/>
          <w:lang w:eastAsia="ko-KR"/>
        </w:rPr>
        <w:t>Guard period issue due to large TDD cell and coexistence demand</w:t>
      </w:r>
    </w:p>
    <w:p w14:paraId="30328690" w14:textId="77777777" w:rsidR="00C044DB" w:rsidRDefault="00C412E1" w:rsidP="00A83F62">
      <w:pPr>
        <w:pStyle w:val="a0"/>
        <w:jc w:val="both"/>
        <w:rPr>
          <w:lang w:val="en-US" w:eastAsia="ko-KR"/>
        </w:rPr>
      </w:pPr>
      <w:r>
        <w:rPr>
          <w:rFonts w:hint="eastAsia"/>
          <w:lang w:val="en-US" w:eastAsia="ko-KR"/>
        </w:rPr>
        <w:t xml:space="preserve">In last meeting, </w:t>
      </w:r>
      <w:r w:rsidR="009247C3">
        <w:rPr>
          <w:lang w:val="en-US" w:eastAsia="ko-KR"/>
        </w:rPr>
        <w:t>following options for guard period due to large TDD cell in AGT was discussed.</w:t>
      </w:r>
    </w:p>
    <w:tbl>
      <w:tblPr>
        <w:tblStyle w:val="a9"/>
        <w:tblW w:w="0" w:type="auto"/>
        <w:tblLook w:val="04A0" w:firstRow="1" w:lastRow="0" w:firstColumn="1" w:lastColumn="0" w:noHBand="0" w:noVBand="1"/>
      </w:tblPr>
      <w:tblGrid>
        <w:gridCol w:w="9855"/>
      </w:tblGrid>
      <w:tr w:rsidR="005C12CF" w14:paraId="1A9CB266" w14:textId="77777777" w:rsidTr="005C12CF">
        <w:tc>
          <w:tcPr>
            <w:tcW w:w="9855" w:type="dxa"/>
          </w:tcPr>
          <w:p w14:paraId="1D61108A" w14:textId="77777777" w:rsidR="005C12CF" w:rsidRPr="00ED048A" w:rsidRDefault="005C12CF" w:rsidP="005C12CF">
            <w:pPr>
              <w:pStyle w:val="ad"/>
              <w:numPr>
                <w:ilvl w:val="0"/>
                <w:numId w:val="3"/>
              </w:numPr>
              <w:spacing w:after="120"/>
              <w:ind w:leftChars="0" w:left="313" w:hanging="284"/>
              <w:rPr>
                <w:rFonts w:eastAsia="SimSun"/>
              </w:rPr>
            </w:pPr>
            <w:r w:rsidRPr="00ED048A">
              <w:rPr>
                <w:rFonts w:eastAsia="SimSun"/>
              </w:rPr>
              <w:t>Option 1: RAN4 to investigate remedies to large TDD cells and ATG and TN TDD coexistence like: TDD stand alone, surrendering slots or Full Duplex at ATG UE terminal.</w:t>
            </w:r>
          </w:p>
          <w:p w14:paraId="2FC449E3" w14:textId="77777777" w:rsidR="005C12CF" w:rsidRPr="00ED048A" w:rsidRDefault="005C12CF" w:rsidP="005C12CF">
            <w:pPr>
              <w:pStyle w:val="ad"/>
              <w:numPr>
                <w:ilvl w:val="1"/>
                <w:numId w:val="3"/>
              </w:numPr>
              <w:spacing w:after="120"/>
              <w:ind w:leftChars="0" w:left="596" w:hanging="283"/>
              <w:rPr>
                <w:rFonts w:eastAsia="SimSun"/>
              </w:rPr>
            </w:pPr>
            <w:r w:rsidRPr="00ED048A">
              <w:rPr>
                <w:rFonts w:eastAsia="SimSun"/>
              </w:rPr>
              <w:t>The cell radius can be more than 200 km for ISD 200km.</w:t>
            </w:r>
          </w:p>
          <w:p w14:paraId="18535572" w14:textId="77777777" w:rsidR="005C12CF" w:rsidRPr="00ED048A" w:rsidRDefault="005C12CF" w:rsidP="005C12CF">
            <w:pPr>
              <w:pStyle w:val="ad"/>
              <w:numPr>
                <w:ilvl w:val="1"/>
                <w:numId w:val="3"/>
              </w:numPr>
              <w:spacing w:after="120"/>
              <w:ind w:leftChars="0" w:left="596" w:hanging="283"/>
              <w:rPr>
                <w:rFonts w:eastAsia="SimSun"/>
              </w:rPr>
            </w:pPr>
            <w:r w:rsidRPr="00ED048A">
              <w:rPr>
                <w:rFonts w:eastAsia="SimSun"/>
              </w:rPr>
              <w:t>The Guard period, T</w:t>
            </w:r>
            <w:r w:rsidRPr="003E7DD4">
              <w:rPr>
                <w:rFonts w:eastAsia="SimSun"/>
                <w:vertAlign w:val="subscript"/>
              </w:rPr>
              <w:t>GUARD</w:t>
            </w:r>
            <w:r w:rsidRPr="00ED048A">
              <w:rPr>
                <w:rFonts w:eastAsia="SimSun"/>
              </w:rPr>
              <w:t xml:space="preserve"> &gt; 1.33 ms for a cell radius of 200 km.</w:t>
            </w:r>
          </w:p>
          <w:p w14:paraId="5001B0EF" w14:textId="77777777" w:rsidR="005C12CF" w:rsidRPr="00ED048A" w:rsidRDefault="005C12CF" w:rsidP="005C12CF">
            <w:pPr>
              <w:pStyle w:val="ad"/>
              <w:numPr>
                <w:ilvl w:val="1"/>
                <w:numId w:val="3"/>
              </w:numPr>
              <w:spacing w:after="120"/>
              <w:ind w:leftChars="0" w:left="596" w:hanging="283"/>
              <w:rPr>
                <w:rFonts w:eastAsia="SimSun"/>
              </w:rPr>
            </w:pPr>
            <w:r w:rsidRPr="00ED048A">
              <w:rPr>
                <w:rFonts w:eastAsia="SimSun"/>
              </w:rPr>
              <w:t>Large TDD cells are inefficient due to large GP, if we switch often.</w:t>
            </w:r>
          </w:p>
          <w:p w14:paraId="6BED9557" w14:textId="77777777" w:rsidR="005C12CF" w:rsidRPr="00ED048A" w:rsidRDefault="005C12CF" w:rsidP="005C12CF">
            <w:pPr>
              <w:pStyle w:val="ad"/>
              <w:numPr>
                <w:ilvl w:val="1"/>
                <w:numId w:val="3"/>
              </w:numPr>
              <w:spacing w:after="120"/>
              <w:ind w:leftChars="0" w:left="596" w:hanging="283"/>
              <w:rPr>
                <w:rFonts w:eastAsia="SimSun"/>
              </w:rPr>
            </w:pPr>
            <w:r w:rsidRPr="00ED048A">
              <w:rPr>
                <w:rFonts w:eastAsia="SimSun"/>
              </w:rPr>
              <w:t>The largest cell radius will define the GP for all TDD cells and UL/DL configuration has to be the same for all coexisting (overlapping) TDD networks.</w:t>
            </w:r>
          </w:p>
          <w:p w14:paraId="1487269D" w14:textId="77777777" w:rsidR="005C12CF" w:rsidRDefault="005C12CF" w:rsidP="005C12CF">
            <w:pPr>
              <w:pStyle w:val="ad"/>
              <w:numPr>
                <w:ilvl w:val="1"/>
                <w:numId w:val="3"/>
              </w:numPr>
              <w:spacing w:after="120"/>
              <w:ind w:leftChars="0" w:left="596" w:hanging="283"/>
              <w:rPr>
                <w:rFonts w:eastAsia="SimSun"/>
              </w:rPr>
            </w:pPr>
            <w:r w:rsidRPr="00ED048A">
              <w:rPr>
                <w:rFonts w:eastAsia="SimSun"/>
              </w:rPr>
              <w:t>If the gNB receives information on the propagation delay to the UE, then at least half of the GP could be removed.</w:t>
            </w:r>
          </w:p>
          <w:p w14:paraId="1FE12031" w14:textId="77777777" w:rsidR="005C12CF" w:rsidRPr="005C12CF" w:rsidRDefault="005C12CF" w:rsidP="005C12CF">
            <w:pPr>
              <w:pStyle w:val="ad"/>
              <w:numPr>
                <w:ilvl w:val="0"/>
                <w:numId w:val="3"/>
              </w:numPr>
              <w:spacing w:after="120"/>
              <w:ind w:leftChars="0" w:left="313" w:hanging="284"/>
              <w:rPr>
                <w:lang w:eastAsia="ko-KR"/>
              </w:rPr>
            </w:pPr>
            <w:r>
              <w:rPr>
                <w:rFonts w:eastAsia="SimSun" w:hint="eastAsia"/>
              </w:rPr>
              <w:t>O</w:t>
            </w:r>
            <w:r>
              <w:rPr>
                <w:rFonts w:eastAsia="SimSun"/>
              </w:rPr>
              <w:t>ther Options are not precluded.</w:t>
            </w:r>
          </w:p>
        </w:tc>
      </w:tr>
    </w:tbl>
    <w:p w14:paraId="0874A82F" w14:textId="77777777" w:rsidR="005C12CF" w:rsidRDefault="009247C3" w:rsidP="00A83F62">
      <w:pPr>
        <w:pStyle w:val="a0"/>
        <w:jc w:val="both"/>
        <w:rPr>
          <w:lang w:val="en-US" w:eastAsia="ko-KR"/>
        </w:rPr>
      </w:pPr>
      <w:r>
        <w:rPr>
          <w:lang w:val="en-US" w:eastAsia="ko-KR"/>
        </w:rPr>
        <w:t>T</w:t>
      </w:r>
      <w:r>
        <w:rPr>
          <w:rFonts w:hint="eastAsia"/>
          <w:lang w:val="en-US" w:eastAsia="ko-KR"/>
        </w:rPr>
        <w:t xml:space="preserve">he </w:t>
      </w:r>
      <w:r>
        <w:rPr>
          <w:lang w:val="en-US" w:eastAsia="ko-KR"/>
        </w:rPr>
        <w:t>guard period in TDD cell depends on T</w:t>
      </w:r>
      <w:r w:rsidRPr="009247C3">
        <w:rPr>
          <w:vertAlign w:val="subscript"/>
          <w:lang w:val="en-US" w:eastAsia="ko-KR"/>
        </w:rPr>
        <w:t>prop_cell_edge</w:t>
      </w:r>
      <w:r>
        <w:rPr>
          <w:lang w:val="en-US" w:eastAsia="ko-KR"/>
        </w:rPr>
        <w:t xml:space="preserve"> as mentioned in [2], and the guard period is for avoiding BS to BS / UE to UE interference at DL to UL switch due to </w:t>
      </w:r>
      <w:r w:rsidR="0034673A">
        <w:rPr>
          <w:lang w:val="en-US" w:eastAsia="ko-KR"/>
        </w:rPr>
        <w:t xml:space="preserve">synchronization error, </w:t>
      </w:r>
      <w:r>
        <w:rPr>
          <w:lang w:val="en-US" w:eastAsia="ko-KR"/>
        </w:rPr>
        <w:t>propagation delay</w:t>
      </w:r>
      <w:r w:rsidR="0034673A">
        <w:rPr>
          <w:lang w:val="en-US" w:eastAsia="ko-KR"/>
        </w:rPr>
        <w:t xml:space="preserve"> and transient time for turning off the transmitter. The most critical parameter to decide guard period is the propagation delay regarding to cell size. In ATG case, cell radius can be larger than 200km for ISD 200km captured in above, so longer guard period would be required based on the principle to derive guard period. However, if fixed longer guard period is considered, it is very inefficient for system performance</w:t>
      </w:r>
      <w:r w:rsidR="002A2E79">
        <w:rPr>
          <w:lang w:val="en-US" w:eastAsia="ko-KR"/>
        </w:rPr>
        <w:t xml:space="preserve"> since depending on ATG UEs’ location, the required guard period would be different as shown in Fig1.</w:t>
      </w:r>
      <w:r w:rsidR="0034673A">
        <w:rPr>
          <w:lang w:val="en-US" w:eastAsia="ko-KR"/>
        </w:rPr>
        <w:t xml:space="preserve"> </w:t>
      </w:r>
      <w:r w:rsidR="003C2589">
        <w:rPr>
          <w:lang w:val="en-US" w:eastAsia="ko-KR"/>
        </w:rPr>
        <w:t>Unlike TN system, following features and characteristics for ATG should be considered.</w:t>
      </w:r>
    </w:p>
    <w:p w14:paraId="7E64BE3B" w14:textId="77777777" w:rsidR="003C2589" w:rsidRDefault="003C2589" w:rsidP="003C2589">
      <w:pPr>
        <w:pStyle w:val="a0"/>
        <w:numPr>
          <w:ilvl w:val="0"/>
          <w:numId w:val="25"/>
        </w:numPr>
        <w:jc w:val="both"/>
        <w:rPr>
          <w:lang w:val="en-US" w:eastAsia="ko-KR"/>
        </w:rPr>
      </w:pPr>
      <w:r>
        <w:rPr>
          <w:lang w:val="en-US" w:eastAsia="ko-KR"/>
        </w:rPr>
        <w:t>ATG gNB</w:t>
      </w:r>
    </w:p>
    <w:p w14:paraId="79E2CF3F" w14:textId="77777777" w:rsidR="003C2589" w:rsidRDefault="003C2589" w:rsidP="003C2589">
      <w:pPr>
        <w:pStyle w:val="a0"/>
        <w:numPr>
          <w:ilvl w:val="1"/>
          <w:numId w:val="25"/>
        </w:numPr>
        <w:jc w:val="both"/>
        <w:rPr>
          <w:lang w:val="en-US" w:eastAsia="ko-KR"/>
        </w:rPr>
      </w:pPr>
      <w:r>
        <w:rPr>
          <w:rFonts w:hint="eastAsia"/>
          <w:lang w:val="en-US" w:eastAsia="ko-KR"/>
        </w:rPr>
        <w:t xml:space="preserve">The distance between </w:t>
      </w:r>
      <w:r>
        <w:rPr>
          <w:lang w:val="en-US" w:eastAsia="ko-KR"/>
        </w:rPr>
        <w:t>ATG gNB</w:t>
      </w:r>
      <w:r>
        <w:rPr>
          <w:rFonts w:hint="eastAsia"/>
          <w:lang w:val="en-US" w:eastAsia="ko-KR"/>
        </w:rPr>
        <w:t>s</w:t>
      </w:r>
      <w:r>
        <w:rPr>
          <w:lang w:val="en-US" w:eastAsia="ko-KR"/>
        </w:rPr>
        <w:t xml:space="preserve"> can be larger than 200km</w:t>
      </w:r>
    </w:p>
    <w:p w14:paraId="0D35A0CC" w14:textId="77777777" w:rsidR="003C2589" w:rsidRDefault="003C2589" w:rsidP="003C2589">
      <w:pPr>
        <w:pStyle w:val="a0"/>
        <w:numPr>
          <w:ilvl w:val="1"/>
          <w:numId w:val="25"/>
        </w:numPr>
        <w:jc w:val="both"/>
        <w:rPr>
          <w:lang w:val="en-US" w:eastAsia="ko-KR"/>
        </w:rPr>
      </w:pPr>
      <w:r>
        <w:rPr>
          <w:lang w:val="en-US" w:eastAsia="ko-KR"/>
        </w:rPr>
        <w:t xml:space="preserve">The antenna of ATG gNB is </w:t>
      </w:r>
      <w:r w:rsidRPr="003C2589">
        <w:rPr>
          <w:lang w:val="en-US" w:eastAsia="ko-KR"/>
        </w:rPr>
        <w:t>tilted up.</w:t>
      </w:r>
    </w:p>
    <w:p w14:paraId="5D665DCB" w14:textId="77777777" w:rsidR="003C2589" w:rsidRDefault="003C2589" w:rsidP="003C2589">
      <w:pPr>
        <w:pStyle w:val="a0"/>
        <w:numPr>
          <w:ilvl w:val="0"/>
          <w:numId w:val="25"/>
        </w:numPr>
        <w:jc w:val="both"/>
        <w:rPr>
          <w:lang w:val="en-US" w:eastAsia="ko-KR"/>
        </w:rPr>
      </w:pPr>
      <w:r>
        <w:rPr>
          <w:lang w:val="en-US" w:eastAsia="ko-KR"/>
        </w:rPr>
        <w:t>ATG UE</w:t>
      </w:r>
    </w:p>
    <w:p w14:paraId="3B290A9D" w14:textId="77777777" w:rsidR="003C2589" w:rsidRDefault="003C2589" w:rsidP="003C2589">
      <w:pPr>
        <w:pStyle w:val="a0"/>
        <w:numPr>
          <w:ilvl w:val="1"/>
          <w:numId w:val="25"/>
        </w:numPr>
        <w:jc w:val="both"/>
        <w:rPr>
          <w:lang w:val="en-US" w:eastAsia="ko-KR"/>
        </w:rPr>
      </w:pPr>
      <w:r>
        <w:rPr>
          <w:lang w:val="en-US" w:eastAsia="ko-KR"/>
        </w:rPr>
        <w:t>Directional antenna is assumed for 4GHz frequency</w:t>
      </w:r>
    </w:p>
    <w:p w14:paraId="30890905" w14:textId="77777777" w:rsidR="003C2589" w:rsidRDefault="00D62582" w:rsidP="003C2589">
      <w:pPr>
        <w:pStyle w:val="a0"/>
        <w:numPr>
          <w:ilvl w:val="1"/>
          <w:numId w:val="25"/>
        </w:numPr>
        <w:jc w:val="both"/>
        <w:rPr>
          <w:lang w:val="en-US" w:eastAsia="ko-KR"/>
        </w:rPr>
      </w:pPr>
      <w:r>
        <w:rPr>
          <w:lang w:val="en-US" w:eastAsia="ko-KR"/>
        </w:rPr>
        <w:t>The minimum distance between aircrafts (ATG UE) is about 9.2km from separation standards of aircraft</w:t>
      </w:r>
    </w:p>
    <w:p w14:paraId="142BD272" w14:textId="77777777" w:rsidR="00D62582" w:rsidRDefault="00677A2C" w:rsidP="00677A2C">
      <w:pPr>
        <w:pStyle w:val="a0"/>
        <w:numPr>
          <w:ilvl w:val="0"/>
          <w:numId w:val="25"/>
        </w:numPr>
        <w:jc w:val="both"/>
        <w:rPr>
          <w:lang w:val="en-US" w:eastAsia="ko-KR"/>
        </w:rPr>
      </w:pPr>
      <w:r>
        <w:rPr>
          <w:rFonts w:hint="eastAsia"/>
          <w:lang w:val="en-US" w:eastAsia="ko-KR"/>
        </w:rPr>
        <w:t>The number of ATG UE in a ATG cell</w:t>
      </w:r>
    </w:p>
    <w:p w14:paraId="703519C8" w14:textId="77777777" w:rsidR="00677A2C" w:rsidRDefault="00677A2C" w:rsidP="00677A2C">
      <w:pPr>
        <w:pStyle w:val="a0"/>
        <w:numPr>
          <w:ilvl w:val="1"/>
          <w:numId w:val="25"/>
        </w:numPr>
        <w:jc w:val="both"/>
        <w:rPr>
          <w:lang w:val="en-US" w:eastAsia="ko-KR"/>
        </w:rPr>
      </w:pPr>
      <w:r>
        <w:rPr>
          <w:lang w:val="en-US" w:eastAsia="ko-KR"/>
        </w:rPr>
        <w:t>Based on the minimum distance between ATG UE, the number of ATG UEs would be limited in a cell</w:t>
      </w:r>
    </w:p>
    <w:p w14:paraId="402AFA9A" w14:textId="77777777" w:rsidR="00677A2C" w:rsidRDefault="00E274A3" w:rsidP="00677A2C">
      <w:pPr>
        <w:pStyle w:val="a0"/>
        <w:jc w:val="both"/>
        <w:rPr>
          <w:lang w:val="en-US" w:eastAsia="ko-KR"/>
        </w:rPr>
      </w:pPr>
      <w:r>
        <w:rPr>
          <w:lang w:val="en-US" w:eastAsia="ko-KR"/>
        </w:rPr>
        <w:t>B</w:t>
      </w:r>
      <w:r>
        <w:rPr>
          <w:rFonts w:hint="eastAsia"/>
          <w:lang w:val="en-US" w:eastAsia="ko-KR"/>
        </w:rPr>
        <w:t xml:space="preserve">ased </w:t>
      </w:r>
      <w:r>
        <w:rPr>
          <w:lang w:val="en-US" w:eastAsia="ko-KR"/>
        </w:rPr>
        <w:t>on listed in above, the impact of ATG gNB and ATG gNB / ATG UE to ATG UE interference at DL to UL switch could be less.</w:t>
      </w:r>
      <w:r w:rsidR="002A2E79">
        <w:rPr>
          <w:lang w:val="en-US" w:eastAsia="ko-KR"/>
        </w:rPr>
        <w:t xml:space="preserve"> Therefore, </w:t>
      </w:r>
      <w:r w:rsidR="00AF65EA">
        <w:rPr>
          <w:lang w:val="en-US" w:eastAsia="ko-KR"/>
        </w:rPr>
        <w:t xml:space="preserve">instead of fixed longer guard period, </w:t>
      </w:r>
      <w:r w:rsidR="002A2E79" w:rsidRPr="002A2E79">
        <w:rPr>
          <w:lang w:val="en-US" w:eastAsia="ko-KR"/>
        </w:rPr>
        <w:t xml:space="preserve">it is more efficient </w:t>
      </w:r>
      <w:r w:rsidR="00AF65EA">
        <w:rPr>
          <w:lang w:val="en-US" w:eastAsia="ko-KR"/>
        </w:rPr>
        <w:t>that</w:t>
      </w:r>
      <w:r w:rsidR="002A2E79" w:rsidRPr="002A2E79">
        <w:rPr>
          <w:lang w:val="en-US" w:eastAsia="ko-KR"/>
        </w:rPr>
        <w:t xml:space="preserve"> the </w:t>
      </w:r>
      <w:r w:rsidR="002A2E79">
        <w:rPr>
          <w:lang w:val="en-US" w:eastAsia="ko-KR"/>
        </w:rPr>
        <w:t>ATG UE</w:t>
      </w:r>
      <w:r w:rsidR="002A2E79" w:rsidRPr="002A2E79">
        <w:rPr>
          <w:lang w:val="en-US" w:eastAsia="ko-KR"/>
        </w:rPr>
        <w:t xml:space="preserve"> report</w:t>
      </w:r>
      <w:r w:rsidR="00AF65EA">
        <w:rPr>
          <w:lang w:val="en-US" w:eastAsia="ko-KR"/>
        </w:rPr>
        <w:t>s</w:t>
      </w:r>
      <w:r w:rsidR="002A2E79" w:rsidRPr="002A2E79">
        <w:rPr>
          <w:lang w:val="en-US" w:eastAsia="ko-KR"/>
        </w:rPr>
        <w:t xml:space="preserve"> the </w:t>
      </w:r>
      <w:r w:rsidR="002A2E79">
        <w:rPr>
          <w:lang w:val="en-US" w:eastAsia="ko-KR"/>
        </w:rPr>
        <w:t xml:space="preserve">propagation delay </w:t>
      </w:r>
      <w:r w:rsidR="00AF65EA">
        <w:rPr>
          <w:lang w:val="en-US" w:eastAsia="ko-KR"/>
        </w:rPr>
        <w:t xml:space="preserve">information to </w:t>
      </w:r>
      <w:r w:rsidR="002A2E79">
        <w:rPr>
          <w:lang w:val="en-US" w:eastAsia="ko-KR"/>
        </w:rPr>
        <w:t>ATG gNB</w:t>
      </w:r>
      <w:r w:rsidR="00AF65EA">
        <w:rPr>
          <w:lang w:val="en-US" w:eastAsia="ko-KR"/>
        </w:rPr>
        <w:t xml:space="preserve">, so that </w:t>
      </w:r>
      <w:r w:rsidR="002A2E79" w:rsidRPr="002A2E79">
        <w:rPr>
          <w:lang w:val="en-US" w:eastAsia="ko-KR"/>
        </w:rPr>
        <w:t>DL or UL scheduling</w:t>
      </w:r>
      <w:r w:rsidR="00AF65EA">
        <w:rPr>
          <w:lang w:val="en-US" w:eastAsia="ko-KR"/>
        </w:rPr>
        <w:t xml:space="preserve"> restriction can be used by ATG gNB based on the information. </w:t>
      </w:r>
      <w:r w:rsidR="00AF65EA">
        <w:rPr>
          <w:rFonts w:hint="eastAsia"/>
          <w:lang w:val="en-US" w:eastAsia="ko-KR"/>
        </w:rPr>
        <w:t>A</w:t>
      </w:r>
      <w:r w:rsidR="00AF65EA">
        <w:rPr>
          <w:lang w:val="en-US" w:eastAsia="ko-KR"/>
        </w:rPr>
        <w:t>nd ATG gNB might use the small guard period such as TN.</w:t>
      </w:r>
    </w:p>
    <w:p w14:paraId="4BDCC3FB" w14:textId="77777777" w:rsidR="002A2E79" w:rsidRDefault="00DD5DF5" w:rsidP="00DD5DF5">
      <w:pPr>
        <w:pStyle w:val="a0"/>
        <w:keepNext/>
        <w:jc w:val="center"/>
      </w:pPr>
      <w:r>
        <w:object w:dxaOrig="15989" w:dyaOrig="13347" w14:anchorId="04036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43.5pt" o:ole="">
            <v:imagedata r:id="rId8" o:title=""/>
          </v:shape>
          <o:OLEObject Type="Embed" ProgID="Visio.Drawing.15" ShapeID="_x0000_i1025" DrawAspect="Content" ObjectID="_1742649669" r:id="rId9"/>
        </w:object>
      </w:r>
    </w:p>
    <w:p w14:paraId="6F574C72" w14:textId="77777777" w:rsidR="00E274A3" w:rsidRPr="002A2E79" w:rsidRDefault="002A2E79" w:rsidP="002A2E79">
      <w:pPr>
        <w:pStyle w:val="a7"/>
        <w:jc w:val="center"/>
        <w:rPr>
          <w:b w:val="0"/>
          <w:lang w:val="en-US" w:eastAsia="ko-KR"/>
        </w:rPr>
      </w:pPr>
      <w:r w:rsidRPr="002A2E79">
        <w:rPr>
          <w:b w:val="0"/>
        </w:rPr>
        <w:t xml:space="preserve">Figure </w:t>
      </w:r>
      <w:r w:rsidRPr="002A2E79">
        <w:rPr>
          <w:b w:val="0"/>
        </w:rPr>
        <w:fldChar w:fldCharType="begin"/>
      </w:r>
      <w:r w:rsidRPr="002A2E79">
        <w:rPr>
          <w:b w:val="0"/>
        </w:rPr>
        <w:instrText xml:space="preserve"> SEQ Figure \* ARABIC </w:instrText>
      </w:r>
      <w:r w:rsidRPr="002A2E79">
        <w:rPr>
          <w:b w:val="0"/>
        </w:rPr>
        <w:fldChar w:fldCharType="separate"/>
      </w:r>
      <w:r w:rsidRPr="002A2E79">
        <w:rPr>
          <w:b w:val="0"/>
          <w:noProof/>
        </w:rPr>
        <w:t>1</w:t>
      </w:r>
      <w:r w:rsidRPr="002A2E79">
        <w:rPr>
          <w:b w:val="0"/>
        </w:rPr>
        <w:fldChar w:fldCharType="end"/>
      </w:r>
      <w:r w:rsidRPr="002A2E79">
        <w:rPr>
          <w:b w:val="0"/>
        </w:rPr>
        <w:t xml:space="preserve"> Example of </w:t>
      </w:r>
      <w:proofErr w:type="gramStart"/>
      <w:r w:rsidRPr="002A2E79">
        <w:rPr>
          <w:b w:val="0"/>
        </w:rPr>
        <w:t>UE to UE</w:t>
      </w:r>
      <w:proofErr w:type="gramEnd"/>
      <w:r w:rsidRPr="002A2E79">
        <w:rPr>
          <w:b w:val="0"/>
        </w:rPr>
        <w:t xml:space="preserve"> interference </w:t>
      </w:r>
      <w:r w:rsidRPr="002A2E79">
        <w:rPr>
          <w:b w:val="0"/>
          <w:noProof/>
        </w:rPr>
        <w:t>due to propagatio ndelay</w:t>
      </w:r>
    </w:p>
    <w:p w14:paraId="031CB092" w14:textId="77777777" w:rsidR="00C044DB" w:rsidRDefault="00C044DB" w:rsidP="00A83F62">
      <w:pPr>
        <w:pStyle w:val="a0"/>
        <w:jc w:val="both"/>
        <w:rPr>
          <w:lang w:val="en-US" w:eastAsia="ko-KR"/>
        </w:rPr>
      </w:pPr>
    </w:p>
    <w:p w14:paraId="7EAE8DF4" w14:textId="77777777" w:rsidR="00AF65EA" w:rsidRDefault="00AF65EA" w:rsidP="00AF65EA">
      <w:pPr>
        <w:pStyle w:val="a0"/>
        <w:numPr>
          <w:ilvl w:val="0"/>
          <w:numId w:val="26"/>
        </w:numPr>
        <w:jc w:val="both"/>
        <w:rPr>
          <w:lang w:val="en-US" w:eastAsia="ko-KR"/>
        </w:rPr>
      </w:pPr>
      <w:r w:rsidRPr="00AF65EA">
        <w:rPr>
          <w:b/>
          <w:i/>
          <w:lang w:val="en-US" w:eastAsia="ko-KR"/>
        </w:rPr>
        <w:t>Proposal 1</w:t>
      </w:r>
      <w:r>
        <w:rPr>
          <w:lang w:val="en-US" w:eastAsia="ko-KR"/>
        </w:rPr>
        <w:t>: I</w:t>
      </w:r>
      <w:r w:rsidRPr="00AF65EA">
        <w:rPr>
          <w:lang w:val="en-US" w:eastAsia="ko-KR"/>
        </w:rPr>
        <w:t>nstead of fixed longer guard period, the ATG UE reports the propagation delay information to ATG gNB, so that DL or UL scheduling restriction can be used by ATG gNB based on the information</w:t>
      </w:r>
    </w:p>
    <w:p w14:paraId="0988BD56" w14:textId="77777777" w:rsidR="00AF65EA" w:rsidRDefault="00AF65EA" w:rsidP="00A83F62">
      <w:pPr>
        <w:pStyle w:val="a0"/>
        <w:jc w:val="both"/>
        <w:rPr>
          <w:lang w:val="en-US" w:eastAsia="ko-KR"/>
        </w:rPr>
      </w:pPr>
    </w:p>
    <w:p w14:paraId="5DD441D0" w14:textId="77777777" w:rsidR="001171FA" w:rsidRDefault="001171FA" w:rsidP="00D4523D">
      <w:pPr>
        <w:pStyle w:val="1"/>
        <w:jc w:val="both"/>
        <w:rPr>
          <w:lang w:val="en-US" w:eastAsia="ko-KR"/>
        </w:rPr>
      </w:pPr>
      <w:r>
        <w:rPr>
          <w:rFonts w:hint="eastAsia"/>
          <w:lang w:val="en-US" w:eastAsia="ko-KR"/>
        </w:rPr>
        <w:t xml:space="preserve">Conclusion </w:t>
      </w:r>
    </w:p>
    <w:p w14:paraId="32EDC3E5"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DE5836">
        <w:rPr>
          <w:lang w:val="en-US" w:eastAsia="ko-KR"/>
        </w:rPr>
        <w:t xml:space="preserve">the </w:t>
      </w:r>
      <w:r w:rsidR="00503596">
        <w:rPr>
          <w:lang w:val="en-US" w:eastAsia="ko-KR"/>
        </w:rPr>
        <w:t xml:space="preserve">views on </w:t>
      </w:r>
      <w:r w:rsidR="0074330D">
        <w:rPr>
          <w:lang w:val="en-US" w:eastAsia="ko-KR"/>
        </w:rPr>
        <w:t xml:space="preserve">guard period due to large TDD cell, </w:t>
      </w:r>
      <w:r w:rsidR="00503596">
        <w:rPr>
          <w:lang w:val="en-US" w:eastAsia="ko-KR"/>
        </w:rPr>
        <w:t>and</w:t>
      </w:r>
      <w:r w:rsidR="00770982">
        <w:rPr>
          <w:lang w:val="en-US" w:eastAsia="ko-KR"/>
        </w:rPr>
        <w:t xml:space="preserve"> we propose</w:t>
      </w:r>
    </w:p>
    <w:p w14:paraId="66810147" w14:textId="77777777" w:rsidR="0074330D" w:rsidRDefault="0074330D" w:rsidP="0074330D">
      <w:pPr>
        <w:pStyle w:val="a0"/>
        <w:numPr>
          <w:ilvl w:val="0"/>
          <w:numId w:val="26"/>
        </w:numPr>
        <w:jc w:val="both"/>
        <w:rPr>
          <w:lang w:val="en-US" w:eastAsia="ko-KR"/>
        </w:rPr>
      </w:pPr>
      <w:r w:rsidRPr="00AF65EA">
        <w:rPr>
          <w:b/>
          <w:i/>
          <w:lang w:val="en-US" w:eastAsia="ko-KR"/>
        </w:rPr>
        <w:t>Proposal 1</w:t>
      </w:r>
      <w:r>
        <w:rPr>
          <w:lang w:val="en-US" w:eastAsia="ko-KR"/>
        </w:rPr>
        <w:t>: I</w:t>
      </w:r>
      <w:r w:rsidRPr="00AF65EA">
        <w:rPr>
          <w:lang w:val="en-US" w:eastAsia="ko-KR"/>
        </w:rPr>
        <w:t>nstead of fixed longer guard period, the ATG UE reports the propagation delay information to ATG gNB, so that DL or UL scheduling restriction can be used by ATG gNB based on the information</w:t>
      </w:r>
    </w:p>
    <w:p w14:paraId="7E1AFFDE" w14:textId="77777777" w:rsidR="00C6596A" w:rsidRPr="0074330D" w:rsidRDefault="00C6596A" w:rsidP="00C6596A">
      <w:pPr>
        <w:pStyle w:val="a0"/>
        <w:jc w:val="both"/>
        <w:rPr>
          <w:lang w:val="en-US" w:eastAsia="ko-KR"/>
        </w:rPr>
      </w:pPr>
    </w:p>
    <w:p w14:paraId="6CD6EA3F" w14:textId="77777777" w:rsidR="001171FA" w:rsidRDefault="001171FA" w:rsidP="00D4523D">
      <w:pPr>
        <w:pStyle w:val="1"/>
        <w:jc w:val="both"/>
        <w:rPr>
          <w:lang w:val="en-US" w:eastAsia="ko-KR"/>
        </w:rPr>
      </w:pPr>
      <w:r>
        <w:rPr>
          <w:rFonts w:hint="eastAsia"/>
          <w:lang w:val="en-US" w:eastAsia="ko-KR"/>
        </w:rPr>
        <w:t>Reference</w:t>
      </w:r>
    </w:p>
    <w:p w14:paraId="0BE563CF" w14:textId="77777777"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C044DB" w:rsidRPr="00C044DB">
        <w:rPr>
          <w:lang w:val="en-US" w:eastAsia="ko-KR"/>
        </w:rPr>
        <w:t>R4-2303226</w:t>
      </w:r>
      <w:r w:rsidR="00CD0965">
        <w:rPr>
          <w:lang w:val="en-US" w:eastAsia="ko-KR"/>
        </w:rPr>
        <w:t>, “</w:t>
      </w:r>
      <w:r w:rsidR="00C044DB" w:rsidRPr="00C044DB">
        <w:rPr>
          <w:lang w:val="en-US" w:eastAsia="ko-KR"/>
        </w:rPr>
        <w:t>WF on NR ATG RRM requirements</w:t>
      </w:r>
      <w:r w:rsidR="00CD0965">
        <w:rPr>
          <w:lang w:val="en-US" w:eastAsia="ko-KR"/>
        </w:rPr>
        <w:t xml:space="preserve">,” </w:t>
      </w:r>
      <w:r w:rsidR="00C044DB">
        <w:rPr>
          <w:lang w:val="en-US" w:eastAsia="ko-KR"/>
        </w:rPr>
        <w:t>CMCC</w:t>
      </w:r>
    </w:p>
    <w:p w14:paraId="7A32A57B" w14:textId="77777777" w:rsidR="009247C3" w:rsidRDefault="009247C3" w:rsidP="00CD0965">
      <w:pPr>
        <w:pStyle w:val="a0"/>
        <w:rPr>
          <w:lang w:val="en-US" w:eastAsia="ko-KR"/>
        </w:rPr>
      </w:pPr>
      <w:r>
        <w:rPr>
          <w:lang w:val="en-US" w:eastAsia="ko-KR"/>
        </w:rPr>
        <w:t xml:space="preserve">[2] R4-2301900, “On large TDD cells and other timing requirements.” Ericsson </w:t>
      </w:r>
    </w:p>
    <w:sectPr w:rsidR="009247C3"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AE0F" w14:textId="77777777" w:rsidR="009D4D9A" w:rsidRDefault="009D4D9A" w:rsidP="00D306DF">
      <w:r>
        <w:separator/>
      </w:r>
    </w:p>
  </w:endnote>
  <w:endnote w:type="continuationSeparator" w:id="0">
    <w:p w14:paraId="005EDF09" w14:textId="77777777" w:rsidR="009D4D9A" w:rsidRDefault="009D4D9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617A9" w14:textId="77777777" w:rsidR="009D4D9A" w:rsidRDefault="009D4D9A" w:rsidP="00D306DF">
      <w:r>
        <w:separator/>
      </w:r>
    </w:p>
  </w:footnote>
  <w:footnote w:type="continuationSeparator" w:id="0">
    <w:p w14:paraId="474345F4" w14:textId="77777777" w:rsidR="009D4D9A" w:rsidRDefault="009D4D9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08F13F9C"/>
    <w:multiLevelType w:val="hybridMultilevel"/>
    <w:tmpl w:val="B25ADB4A"/>
    <w:lvl w:ilvl="0" w:tplc="EFFC59A4">
      <w:start w:val="1"/>
      <w:numFmt w:val="bullet"/>
      <w:lvlText w:val="-"/>
      <w:lvlJc w:val="left"/>
      <w:pPr>
        <w:ind w:left="720" w:hanging="360"/>
      </w:pPr>
      <w:rPr>
        <w:rFonts w:ascii="Times" w:eastAsia="맑은 고딕" w:hAnsi="Times" w:cs="Time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A51607"/>
    <w:multiLevelType w:val="hybridMultilevel"/>
    <w:tmpl w:val="FA94CAC8"/>
    <w:lvl w:ilvl="0" w:tplc="60BEEE2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09A484A"/>
    <w:multiLevelType w:val="hybridMultilevel"/>
    <w:tmpl w:val="DFA8CC1E"/>
    <w:lvl w:ilvl="0" w:tplc="ABE060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109613C"/>
    <w:multiLevelType w:val="hybridMultilevel"/>
    <w:tmpl w:val="511E61C2"/>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A7542D"/>
    <w:multiLevelType w:val="hybridMultilevel"/>
    <w:tmpl w:val="2F9E4DCC"/>
    <w:lvl w:ilvl="0" w:tplc="ABE06020">
      <w:start w:val="1"/>
      <w:numFmt w:val="bullet"/>
      <w:lvlText w:val="•"/>
      <w:lvlJc w:val="left"/>
      <w:pPr>
        <w:ind w:left="720" w:hanging="360"/>
      </w:pPr>
      <w:rPr>
        <w:rFonts w:ascii="Arial" w:hAnsi="Arial"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5253363">
    <w:abstractNumId w:val="7"/>
  </w:num>
  <w:num w:numId="2" w16cid:durableId="131217490">
    <w:abstractNumId w:val="2"/>
  </w:num>
  <w:num w:numId="3" w16cid:durableId="779103623">
    <w:abstractNumId w:val="15"/>
  </w:num>
  <w:num w:numId="4" w16cid:durableId="1821535011">
    <w:abstractNumId w:val="10"/>
  </w:num>
  <w:num w:numId="5" w16cid:durableId="1300962918">
    <w:abstractNumId w:val="6"/>
  </w:num>
  <w:num w:numId="6" w16cid:durableId="1582636317">
    <w:abstractNumId w:val="16"/>
  </w:num>
  <w:num w:numId="7" w16cid:durableId="786854465">
    <w:abstractNumId w:val="14"/>
  </w:num>
  <w:num w:numId="8" w16cid:durableId="499010372">
    <w:abstractNumId w:val="0"/>
  </w:num>
  <w:num w:numId="9" w16cid:durableId="662779249">
    <w:abstractNumId w:val="24"/>
  </w:num>
  <w:num w:numId="10" w16cid:durableId="980841472">
    <w:abstractNumId w:val="3"/>
  </w:num>
  <w:num w:numId="11" w16cid:durableId="1733040423">
    <w:abstractNumId w:val="21"/>
  </w:num>
  <w:num w:numId="12" w16cid:durableId="1812675191">
    <w:abstractNumId w:val="23"/>
  </w:num>
  <w:num w:numId="13" w16cid:durableId="1107693727">
    <w:abstractNumId w:val="9"/>
  </w:num>
  <w:num w:numId="14" w16cid:durableId="1213662608">
    <w:abstractNumId w:val="18"/>
  </w:num>
  <w:num w:numId="15" w16cid:durableId="1065909239">
    <w:abstractNumId w:val="11"/>
  </w:num>
  <w:num w:numId="16" w16cid:durableId="732435537">
    <w:abstractNumId w:val="8"/>
  </w:num>
  <w:num w:numId="17" w16cid:durableId="1297493568">
    <w:abstractNumId w:val="13"/>
  </w:num>
  <w:num w:numId="18" w16cid:durableId="1988587014">
    <w:abstractNumId w:val="12"/>
  </w:num>
  <w:num w:numId="19" w16cid:durableId="219630600">
    <w:abstractNumId w:val="1"/>
  </w:num>
  <w:num w:numId="20" w16cid:durableId="1504009205">
    <w:abstractNumId w:val="5"/>
  </w:num>
  <w:num w:numId="21" w16cid:durableId="884828109">
    <w:abstractNumId w:val="17"/>
  </w:num>
  <w:num w:numId="22" w16cid:durableId="1519811465">
    <w:abstractNumId w:val="7"/>
  </w:num>
  <w:num w:numId="23" w16cid:durableId="1277567051">
    <w:abstractNumId w:val="22"/>
  </w:num>
  <w:num w:numId="24" w16cid:durableId="638341096">
    <w:abstractNumId w:val="19"/>
  </w:num>
  <w:num w:numId="25" w16cid:durableId="100420991">
    <w:abstractNumId w:val="20"/>
  </w:num>
  <w:num w:numId="26" w16cid:durableId="114624520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gFAEYVU5o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297E"/>
    <w:rsid w:val="000B36F2"/>
    <w:rsid w:val="000B3E6D"/>
    <w:rsid w:val="000B4AFE"/>
    <w:rsid w:val="000B4FFA"/>
    <w:rsid w:val="000B55B1"/>
    <w:rsid w:val="000B7771"/>
    <w:rsid w:val="000B799B"/>
    <w:rsid w:val="000C15D6"/>
    <w:rsid w:val="000C1B7F"/>
    <w:rsid w:val="000C62E1"/>
    <w:rsid w:val="000C71C8"/>
    <w:rsid w:val="000C72DB"/>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4809"/>
    <w:rsid w:val="00134D2C"/>
    <w:rsid w:val="0013597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1FA8"/>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11F"/>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68C"/>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79"/>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445A"/>
    <w:rsid w:val="002E51F5"/>
    <w:rsid w:val="002E5D2F"/>
    <w:rsid w:val="002E5E6E"/>
    <w:rsid w:val="002E66E0"/>
    <w:rsid w:val="002E7ABF"/>
    <w:rsid w:val="002F0010"/>
    <w:rsid w:val="002F08E7"/>
    <w:rsid w:val="002F0AC0"/>
    <w:rsid w:val="002F0BDA"/>
    <w:rsid w:val="002F1838"/>
    <w:rsid w:val="002F2ADC"/>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73A"/>
    <w:rsid w:val="00346A79"/>
    <w:rsid w:val="00346A88"/>
    <w:rsid w:val="003472F1"/>
    <w:rsid w:val="00347ABC"/>
    <w:rsid w:val="003516B2"/>
    <w:rsid w:val="00351A8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589"/>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0CE"/>
    <w:rsid w:val="003E5A6E"/>
    <w:rsid w:val="003E5FD7"/>
    <w:rsid w:val="003E66E2"/>
    <w:rsid w:val="003E6796"/>
    <w:rsid w:val="003E7858"/>
    <w:rsid w:val="003F01F3"/>
    <w:rsid w:val="003F0A97"/>
    <w:rsid w:val="003F1046"/>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363"/>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033"/>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4FAA"/>
    <w:rsid w:val="004B5719"/>
    <w:rsid w:val="004B5744"/>
    <w:rsid w:val="004B651B"/>
    <w:rsid w:val="004B702F"/>
    <w:rsid w:val="004B7473"/>
    <w:rsid w:val="004B798E"/>
    <w:rsid w:val="004C0CC5"/>
    <w:rsid w:val="004C1DC1"/>
    <w:rsid w:val="004C42C8"/>
    <w:rsid w:val="004C56BA"/>
    <w:rsid w:val="004C5EED"/>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3596"/>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2CF"/>
    <w:rsid w:val="005C142E"/>
    <w:rsid w:val="005C1457"/>
    <w:rsid w:val="005C1967"/>
    <w:rsid w:val="005C282D"/>
    <w:rsid w:val="005C3093"/>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2107"/>
    <w:rsid w:val="00662A90"/>
    <w:rsid w:val="00665775"/>
    <w:rsid w:val="00665B67"/>
    <w:rsid w:val="00665D32"/>
    <w:rsid w:val="006662F5"/>
    <w:rsid w:val="006677C3"/>
    <w:rsid w:val="006717D7"/>
    <w:rsid w:val="0067203F"/>
    <w:rsid w:val="006745AE"/>
    <w:rsid w:val="006746DD"/>
    <w:rsid w:val="0067596C"/>
    <w:rsid w:val="00675D98"/>
    <w:rsid w:val="00676803"/>
    <w:rsid w:val="006778B6"/>
    <w:rsid w:val="00677A2C"/>
    <w:rsid w:val="0068010D"/>
    <w:rsid w:val="00680D9F"/>
    <w:rsid w:val="00680F95"/>
    <w:rsid w:val="00681D1B"/>
    <w:rsid w:val="00683296"/>
    <w:rsid w:val="006833AA"/>
    <w:rsid w:val="00683CAB"/>
    <w:rsid w:val="00684790"/>
    <w:rsid w:val="00684DF9"/>
    <w:rsid w:val="00685C8A"/>
    <w:rsid w:val="00685E1A"/>
    <w:rsid w:val="00685F5B"/>
    <w:rsid w:val="00687D0E"/>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280"/>
    <w:rsid w:val="00720FB0"/>
    <w:rsid w:val="00723748"/>
    <w:rsid w:val="0072442F"/>
    <w:rsid w:val="007249CF"/>
    <w:rsid w:val="00724CB9"/>
    <w:rsid w:val="00726001"/>
    <w:rsid w:val="007266EF"/>
    <w:rsid w:val="0072730C"/>
    <w:rsid w:val="00727C59"/>
    <w:rsid w:val="00727E85"/>
    <w:rsid w:val="00732643"/>
    <w:rsid w:val="0073403E"/>
    <w:rsid w:val="007348E4"/>
    <w:rsid w:val="00734B5E"/>
    <w:rsid w:val="00735570"/>
    <w:rsid w:val="007365E0"/>
    <w:rsid w:val="007370D1"/>
    <w:rsid w:val="00737DF6"/>
    <w:rsid w:val="00737F9E"/>
    <w:rsid w:val="00737FAF"/>
    <w:rsid w:val="00740E55"/>
    <w:rsid w:val="00741175"/>
    <w:rsid w:val="007416F0"/>
    <w:rsid w:val="00741720"/>
    <w:rsid w:val="00741B96"/>
    <w:rsid w:val="00741E6B"/>
    <w:rsid w:val="0074330D"/>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6779"/>
    <w:rsid w:val="007A7210"/>
    <w:rsid w:val="007A7530"/>
    <w:rsid w:val="007B0D1B"/>
    <w:rsid w:val="007B1256"/>
    <w:rsid w:val="007B2285"/>
    <w:rsid w:val="007B2960"/>
    <w:rsid w:val="007B2FAC"/>
    <w:rsid w:val="007B30E2"/>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37A"/>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6F13"/>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0B"/>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7C3"/>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4D9A"/>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3F62"/>
    <w:rsid w:val="00A84AD7"/>
    <w:rsid w:val="00A85479"/>
    <w:rsid w:val="00A860C3"/>
    <w:rsid w:val="00A869F6"/>
    <w:rsid w:val="00A87CBC"/>
    <w:rsid w:val="00A87DA7"/>
    <w:rsid w:val="00A900DD"/>
    <w:rsid w:val="00A91745"/>
    <w:rsid w:val="00A92921"/>
    <w:rsid w:val="00A930F9"/>
    <w:rsid w:val="00A94CDC"/>
    <w:rsid w:val="00A973D7"/>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5EA"/>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45E0"/>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2327"/>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44DB"/>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2E1"/>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B5C"/>
    <w:rsid w:val="00D47C1D"/>
    <w:rsid w:val="00D50DEC"/>
    <w:rsid w:val="00D52DDC"/>
    <w:rsid w:val="00D53617"/>
    <w:rsid w:val="00D541A5"/>
    <w:rsid w:val="00D54D39"/>
    <w:rsid w:val="00D550EE"/>
    <w:rsid w:val="00D579AF"/>
    <w:rsid w:val="00D57C04"/>
    <w:rsid w:val="00D61313"/>
    <w:rsid w:val="00D6146F"/>
    <w:rsid w:val="00D61789"/>
    <w:rsid w:val="00D62525"/>
    <w:rsid w:val="00D62582"/>
    <w:rsid w:val="00D63A43"/>
    <w:rsid w:val="00D63AB8"/>
    <w:rsid w:val="00D63ED7"/>
    <w:rsid w:val="00D7044B"/>
    <w:rsid w:val="00D70704"/>
    <w:rsid w:val="00D7083A"/>
    <w:rsid w:val="00D71B35"/>
    <w:rsid w:val="00D71B36"/>
    <w:rsid w:val="00D71B72"/>
    <w:rsid w:val="00D72053"/>
    <w:rsid w:val="00D727D1"/>
    <w:rsid w:val="00D72BB7"/>
    <w:rsid w:val="00D73533"/>
    <w:rsid w:val="00D73C02"/>
    <w:rsid w:val="00D75FBF"/>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3B3"/>
    <w:rsid w:val="00DC2A79"/>
    <w:rsid w:val="00DC32C1"/>
    <w:rsid w:val="00DC45EA"/>
    <w:rsid w:val="00DC6544"/>
    <w:rsid w:val="00DC6E13"/>
    <w:rsid w:val="00DD06E2"/>
    <w:rsid w:val="00DD11BC"/>
    <w:rsid w:val="00DD1814"/>
    <w:rsid w:val="00DD3F41"/>
    <w:rsid w:val="00DD40A7"/>
    <w:rsid w:val="00DD47E1"/>
    <w:rsid w:val="00DD5D17"/>
    <w:rsid w:val="00DD5DF5"/>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021"/>
    <w:rsid w:val="00E24836"/>
    <w:rsid w:val="00E25942"/>
    <w:rsid w:val="00E25990"/>
    <w:rsid w:val="00E25D5D"/>
    <w:rsid w:val="00E26D32"/>
    <w:rsid w:val="00E274A3"/>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336"/>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3D2B"/>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B1FB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C496D-C7F0-4484-98F1-EF83C552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530</Words>
  <Characters>3026</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Jin Woong Park/Communication Standard TP(jinwoong.park@lge.com)</cp:lastModifiedBy>
  <cp:revision>20</cp:revision>
  <dcterms:created xsi:type="dcterms:W3CDTF">2023-02-14T23:28:00Z</dcterms:created>
  <dcterms:modified xsi:type="dcterms:W3CDTF">2023-04-10T07:35:00Z</dcterms:modified>
</cp:coreProperties>
</file>