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46B19C33" w:rsidR="00841BCD" w:rsidRPr="00BE3CA8"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BE3CA8">
        <w:rPr>
          <w:rFonts w:ascii="Arial" w:hAnsi="Arial" w:cs="Times New Roman"/>
          <w:b/>
          <w:bCs/>
          <w:sz w:val="24"/>
          <w:szCs w:val="20"/>
        </w:rPr>
        <w:t>3GPP T</w:t>
      </w:r>
      <w:bookmarkStart w:id="2" w:name="_Ref452454252"/>
      <w:bookmarkEnd w:id="2"/>
      <w:r w:rsidRPr="00BE3CA8">
        <w:rPr>
          <w:rFonts w:ascii="Arial" w:hAnsi="Arial" w:cs="Times New Roman"/>
          <w:b/>
          <w:bCs/>
          <w:sz w:val="24"/>
          <w:szCs w:val="20"/>
        </w:rPr>
        <w:t xml:space="preserve">SG-RAN </w:t>
      </w:r>
      <w:r w:rsidR="00ED7600" w:rsidRPr="00BE3CA8">
        <w:rPr>
          <w:rFonts w:ascii="Arial" w:hAnsi="Arial" w:cs="Times New Roman"/>
          <w:b/>
          <w:sz w:val="24"/>
          <w:szCs w:val="20"/>
        </w:rPr>
        <w:t>WG4 Meeting #</w:t>
      </w:r>
      <w:r w:rsidR="001868EE" w:rsidRPr="00BE3CA8">
        <w:rPr>
          <w:rFonts w:ascii="Arial" w:hAnsi="Arial" w:cs="Times New Roman"/>
          <w:b/>
          <w:sz w:val="24"/>
          <w:szCs w:val="20"/>
        </w:rPr>
        <w:t>10</w:t>
      </w:r>
      <w:r w:rsidR="00521576" w:rsidRPr="00BE3CA8">
        <w:rPr>
          <w:rFonts w:ascii="Arial" w:hAnsi="Arial" w:cs="Times New Roman"/>
          <w:b/>
          <w:sz w:val="24"/>
          <w:szCs w:val="20"/>
        </w:rPr>
        <w:t>6</w:t>
      </w:r>
      <w:r w:rsidR="006A3C11" w:rsidRPr="00BE3CA8">
        <w:rPr>
          <w:rFonts w:ascii="Arial" w:hAnsi="Arial" w:cs="Times New Roman"/>
          <w:b/>
          <w:sz w:val="24"/>
          <w:szCs w:val="20"/>
        </w:rPr>
        <w:t xml:space="preserve"> </w:t>
      </w:r>
      <w:r w:rsidR="00AC5D0B">
        <w:rPr>
          <w:rFonts w:ascii="Arial" w:hAnsi="Arial" w:cs="Times New Roman"/>
          <w:b/>
          <w:sz w:val="24"/>
          <w:szCs w:val="20"/>
        </w:rPr>
        <w:t>-bis</w:t>
      </w:r>
      <w:r w:rsidRPr="00BE3CA8">
        <w:rPr>
          <w:rFonts w:ascii="Arial" w:hAnsi="Arial" w:cs="Times New Roman"/>
          <w:b/>
          <w:bCs/>
          <w:sz w:val="24"/>
          <w:szCs w:val="20"/>
        </w:rPr>
        <w:tab/>
      </w:r>
      <w:r w:rsidR="00AA44B6" w:rsidRPr="00BE3CA8">
        <w:rPr>
          <w:rFonts w:ascii="Arial" w:hAnsi="Arial" w:cs="Times New Roman"/>
          <w:b/>
          <w:sz w:val="24"/>
          <w:szCs w:val="20"/>
          <w:lang w:eastAsia="ja-JP"/>
        </w:rPr>
        <w:t>R4-</w:t>
      </w:r>
      <w:r w:rsidR="00AA44B6" w:rsidRPr="00AA44B6">
        <w:rPr>
          <w:rFonts w:ascii="Arial" w:hAnsi="Arial" w:cs="Times New Roman"/>
          <w:b/>
          <w:bCs/>
          <w:sz w:val="24"/>
          <w:szCs w:val="20"/>
        </w:rPr>
        <w:t>2304583</w:t>
      </w:r>
    </w:p>
    <w:p w14:paraId="68AAD50E" w14:textId="38E9BA06" w:rsidR="00841BCD" w:rsidRPr="00BE3CA8" w:rsidRDefault="00AC5D0B"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r>
        <w:rPr>
          <w:rFonts w:ascii="Arial" w:hAnsi="Arial" w:cs="Times New Roman"/>
          <w:b/>
          <w:sz w:val="24"/>
          <w:szCs w:val="20"/>
        </w:rPr>
        <w:t>Electronic Meeting</w:t>
      </w:r>
      <w:r w:rsidR="005C23A4" w:rsidRPr="00BE3CA8">
        <w:rPr>
          <w:rFonts w:ascii="Arial" w:hAnsi="Arial" w:cs="Times New Roman"/>
          <w:b/>
          <w:sz w:val="24"/>
          <w:szCs w:val="20"/>
        </w:rPr>
        <w:t xml:space="preserve">, </w:t>
      </w:r>
      <w:r>
        <w:rPr>
          <w:rFonts w:ascii="Arial" w:hAnsi="Arial" w:cs="Times New Roman"/>
          <w:b/>
          <w:sz w:val="24"/>
          <w:szCs w:val="20"/>
        </w:rPr>
        <w:t>April 1</w:t>
      </w:r>
      <w:r w:rsidR="00521576" w:rsidRPr="00BE3CA8">
        <w:rPr>
          <w:rFonts w:ascii="Arial" w:hAnsi="Arial" w:cs="Times New Roman"/>
          <w:b/>
          <w:sz w:val="24"/>
          <w:szCs w:val="20"/>
        </w:rPr>
        <w:t>7</w:t>
      </w:r>
      <w:r w:rsidR="00A04992" w:rsidRPr="00BE3CA8">
        <w:rPr>
          <w:rFonts w:ascii="Arial" w:hAnsi="Arial" w:cs="Times New Roman"/>
          <w:b/>
          <w:sz w:val="24"/>
          <w:szCs w:val="20"/>
        </w:rPr>
        <w:t xml:space="preserve"> – </w:t>
      </w:r>
      <w:r>
        <w:rPr>
          <w:rFonts w:ascii="Arial" w:hAnsi="Arial" w:cs="Times New Roman"/>
          <w:b/>
          <w:sz w:val="24"/>
          <w:szCs w:val="20"/>
        </w:rPr>
        <w:t>April</w:t>
      </w:r>
      <w:r w:rsidR="00A04992" w:rsidRPr="00BE3CA8">
        <w:rPr>
          <w:rFonts w:ascii="Arial" w:hAnsi="Arial" w:cs="Times New Roman"/>
          <w:b/>
          <w:sz w:val="24"/>
          <w:szCs w:val="20"/>
        </w:rPr>
        <w:t xml:space="preserve"> </w:t>
      </w:r>
      <w:r>
        <w:rPr>
          <w:rFonts w:ascii="Arial" w:hAnsi="Arial" w:cs="Times New Roman"/>
          <w:b/>
          <w:sz w:val="24"/>
          <w:szCs w:val="20"/>
        </w:rPr>
        <w:t>26</w:t>
      </w:r>
      <w:r w:rsidR="00A04992" w:rsidRPr="00BE3CA8">
        <w:rPr>
          <w:rFonts w:ascii="Arial" w:hAnsi="Arial" w:cs="Times New Roman"/>
          <w:b/>
          <w:sz w:val="24"/>
          <w:szCs w:val="20"/>
        </w:rPr>
        <w:t>, 202</w:t>
      </w:r>
      <w:r w:rsidR="00521576" w:rsidRPr="00BE3CA8">
        <w:rPr>
          <w:rFonts w:ascii="Arial"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1422920B"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A2533F" w:rsidRPr="00A2533F">
        <w:rPr>
          <w:rFonts w:ascii="Arial" w:eastAsia="Calibri" w:hAnsi="Arial" w:cs="Arial"/>
          <w:b/>
          <w:bCs/>
          <w:sz w:val="24"/>
        </w:rPr>
        <w:t>Discussion on LTM general aspects and scenarios</w:t>
      </w:r>
    </w:p>
    <w:p w14:paraId="0198D9C1" w14:textId="5FFC4CD1"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201122" w:rsidRPr="00201122">
        <w:rPr>
          <w:rFonts w:ascii="Arial" w:eastAsia="MS Mincho" w:hAnsi="Arial" w:cs="Arial"/>
          <w:b/>
          <w:bCs/>
          <w:sz w:val="24"/>
          <w:szCs w:val="20"/>
        </w:rPr>
        <w:t>5.22.2.1</w:t>
      </w:r>
    </w:p>
    <w:p w14:paraId="5FE678EF" w14:textId="77777777" w:rsidR="00D66188"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27BA4F08" w14:textId="77777777" w:rsidR="00E323E9" w:rsidRPr="00EF698B" w:rsidRDefault="00E323E9" w:rsidP="00841BCD">
      <w:pPr>
        <w:tabs>
          <w:tab w:val="left" w:pos="1985"/>
        </w:tabs>
        <w:rPr>
          <w:rFonts w:ascii="Arial" w:eastAsia="Calibri" w:hAnsi="Arial" w:cs="Arial"/>
          <w:b/>
          <w:bCs/>
          <w:sz w:val="24"/>
        </w:rPr>
      </w:pPr>
    </w:p>
    <w:p w14:paraId="31769B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099928B" w14:textId="7F5FEB4C" w:rsidR="000762FE" w:rsidRDefault="00CA5AA3" w:rsidP="00A546B9">
      <w:pPr>
        <w:rPr>
          <w:rFonts w:cs="Times New Roman"/>
        </w:rPr>
      </w:pPr>
      <w:r>
        <w:rPr>
          <w:rFonts w:cs="Times New Roman"/>
        </w:rPr>
        <w:t>In this paper, we will address the open issues related to general aspect and scenario in LTM</w:t>
      </w:r>
      <w:r w:rsidR="00555B6C">
        <w:rPr>
          <w:rFonts w:cs="Times New Roman"/>
        </w:rPr>
        <w:t xml:space="preserve"> as outline in </w:t>
      </w:r>
      <w:r w:rsidR="00347DDE" w:rsidRPr="00347DDE">
        <w:rPr>
          <w:rFonts w:cs="Times New Roman"/>
        </w:rPr>
        <w:t>R4-2303175</w:t>
      </w:r>
      <w:r w:rsidR="00FC37FB">
        <w:rPr>
          <w:rFonts w:cs="Times New Roman"/>
        </w:rPr>
        <w:t xml:space="preserve"> from the last 3GPP meeting in February 2023</w:t>
      </w:r>
      <w:r>
        <w:rPr>
          <w:rFonts w:cs="Times New Roman"/>
        </w:rPr>
        <w:t xml:space="preserve">. </w:t>
      </w:r>
    </w:p>
    <w:p w14:paraId="44114FAC" w14:textId="77777777" w:rsidR="00D14EAB" w:rsidRPr="00C85568" w:rsidRDefault="00D14EAB" w:rsidP="00A546B9">
      <w:pPr>
        <w:rPr>
          <w:rFonts w:cs="Times New Roman"/>
        </w:rPr>
      </w:pPr>
    </w:p>
    <w:p w14:paraId="16FD8105" w14:textId="77777777" w:rsidR="003B659E" w:rsidRDefault="003B659E" w:rsidP="00AE56B1">
      <w:pPr>
        <w:pStyle w:val="RAN4H1"/>
        <w:rPr>
          <w:lang w:val="en-US"/>
        </w:rPr>
      </w:pPr>
      <w:bookmarkStart w:id="4" w:name="_Toc116995842"/>
      <w:r w:rsidRPr="00EF698B">
        <w:rPr>
          <w:lang w:val="en-US"/>
        </w:rPr>
        <w:t>Discussion</w:t>
      </w:r>
      <w:bookmarkEnd w:id="4"/>
    </w:p>
    <w:p w14:paraId="7AA632AA" w14:textId="7AE1B808" w:rsidR="00B066C0" w:rsidRPr="00B066C0" w:rsidRDefault="00B066C0" w:rsidP="00B066C0">
      <w:pPr>
        <w:pStyle w:val="RAN4H2"/>
      </w:pPr>
      <w:r w:rsidRPr="001B46DD">
        <w:t>Definition of inter-frequency cell switch</w:t>
      </w:r>
      <w:r>
        <w:t xml:space="preserve"> (2-2-1)</w:t>
      </w:r>
    </w:p>
    <w:tbl>
      <w:tblPr>
        <w:tblStyle w:val="TableGrid"/>
        <w:tblW w:w="0" w:type="auto"/>
        <w:tblLook w:val="04A0" w:firstRow="1" w:lastRow="0" w:firstColumn="1" w:lastColumn="0" w:noHBand="0" w:noVBand="1"/>
      </w:tblPr>
      <w:tblGrid>
        <w:gridCol w:w="9617"/>
      </w:tblGrid>
      <w:tr w:rsidR="005E283B" w:rsidRPr="00BF538A" w14:paraId="7FDD565E" w14:textId="77777777" w:rsidTr="00555B6C">
        <w:tc>
          <w:tcPr>
            <w:tcW w:w="9617" w:type="dxa"/>
          </w:tcPr>
          <w:p w14:paraId="22EF22F7" w14:textId="77777777" w:rsidR="00555B6C" w:rsidRPr="001B46DD" w:rsidRDefault="00555B6C" w:rsidP="00555B6C">
            <w:pPr>
              <w:spacing w:after="120"/>
              <w:jc w:val="left"/>
              <w:rPr>
                <w:rFonts w:eastAsia="Times New Roman" w:cs="Times New Roman"/>
                <w:sz w:val="16"/>
                <w:szCs w:val="16"/>
                <w:lang w:val="en-GB"/>
              </w:rPr>
            </w:pPr>
            <w:bookmarkStart w:id="5" w:name="_Toc116995848"/>
            <w:r w:rsidRPr="001B46DD">
              <w:rPr>
                <w:rFonts w:eastAsia="Times New Roman" w:cs="Times New Roman"/>
                <w:b/>
                <w:bCs/>
                <w:sz w:val="16"/>
                <w:szCs w:val="16"/>
                <w:u w:val="single"/>
                <w:lang w:val="en-GB"/>
              </w:rPr>
              <w:t>Issue 2-2-1: Definition of inter-frequency cell switch</w:t>
            </w:r>
          </w:p>
          <w:p w14:paraId="4B1D20CA" w14:textId="77777777" w:rsidR="00555B6C" w:rsidRPr="001B46DD" w:rsidRDefault="00555B6C" w:rsidP="00555B6C">
            <w:pPr>
              <w:jc w:val="left"/>
              <w:rPr>
                <w:rFonts w:ascii="Calibri" w:eastAsia="Times New Roman" w:hAnsi="Calibri" w:cs="Calibri"/>
                <w:sz w:val="16"/>
                <w:szCs w:val="16"/>
                <w:lang w:val="en-GB"/>
              </w:rPr>
            </w:pPr>
            <w:r w:rsidRPr="001B46DD">
              <w:rPr>
                <w:rFonts w:ascii="Calibri" w:eastAsia="Times New Roman" w:hAnsi="Calibri" w:cs="Calibri"/>
                <w:sz w:val="16"/>
                <w:szCs w:val="16"/>
                <w:lang w:val="en-GB"/>
              </w:rPr>
              <w:t> </w:t>
            </w:r>
          </w:p>
          <w:p w14:paraId="377FD507" w14:textId="77777777" w:rsidR="00555B6C" w:rsidRPr="001B46DD" w:rsidRDefault="00555B6C" w:rsidP="00555B6C">
            <w:pPr>
              <w:spacing w:after="120"/>
              <w:jc w:val="left"/>
              <w:rPr>
                <w:rFonts w:eastAsia="Times New Roman" w:cs="Times New Roman"/>
                <w:sz w:val="16"/>
                <w:szCs w:val="16"/>
                <w:lang w:val="en-GB"/>
              </w:rPr>
            </w:pPr>
            <w:r w:rsidRPr="001B46DD">
              <w:rPr>
                <w:rFonts w:eastAsia="Times New Roman" w:cs="Times New Roman"/>
                <w:b/>
                <w:bCs/>
                <w:sz w:val="16"/>
                <w:szCs w:val="16"/>
                <w:lang w:val="en-GB"/>
              </w:rPr>
              <w:t xml:space="preserve">&lt; </w:t>
            </w:r>
            <w:proofErr w:type="spellStart"/>
            <w:r w:rsidRPr="001B46DD">
              <w:rPr>
                <w:rFonts w:eastAsia="Times New Roman" w:cs="Times New Roman"/>
                <w:b/>
                <w:bCs/>
                <w:sz w:val="16"/>
                <w:szCs w:val="16"/>
                <w:lang w:val="en-GB"/>
              </w:rPr>
              <w:t>Wayforward</w:t>
            </w:r>
            <w:proofErr w:type="spellEnd"/>
            <w:r w:rsidRPr="001B46DD">
              <w:rPr>
                <w:rFonts w:eastAsia="Times New Roman" w:cs="Times New Roman"/>
                <w:b/>
                <w:bCs/>
                <w:sz w:val="16"/>
                <w:szCs w:val="16"/>
                <w:lang w:val="en-GB"/>
              </w:rPr>
              <w:t xml:space="preserve"> &gt;</w:t>
            </w:r>
            <w:r w:rsidRPr="001B46DD">
              <w:rPr>
                <w:rFonts w:eastAsia="Times New Roman" w:cs="Times New Roman"/>
                <w:sz w:val="16"/>
                <w:szCs w:val="16"/>
                <w:lang w:val="en-GB"/>
              </w:rPr>
              <w:t>: FFS the following options</w:t>
            </w:r>
          </w:p>
          <w:p w14:paraId="3E1C39BF" w14:textId="77777777" w:rsidR="00555B6C" w:rsidRPr="001B46DD" w:rsidRDefault="00555B6C" w:rsidP="00555B6C">
            <w:pPr>
              <w:numPr>
                <w:ilvl w:val="0"/>
                <w:numId w:val="37"/>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 xml:space="preserve">Option 1 (Apple, CTC, CATT, MTK, DOCOMO, OPPO, vivo, Huawei, Nokia, Ericsson): Inter-frequency cell switch is defined where the SSB of </w:t>
            </w:r>
            <w:proofErr w:type="spellStart"/>
            <w:r w:rsidRPr="001B46DD">
              <w:rPr>
                <w:rFonts w:eastAsia="Times New Roman" w:cs="Times New Roman"/>
                <w:sz w:val="16"/>
                <w:szCs w:val="16"/>
                <w:lang w:val="en-GB"/>
              </w:rPr>
              <w:t>Pcell</w:t>
            </w:r>
            <w:proofErr w:type="spellEnd"/>
            <w:r w:rsidRPr="001B46DD">
              <w:rPr>
                <w:rFonts w:eastAsia="Times New Roman" w:cs="Times New Roman"/>
                <w:sz w:val="16"/>
                <w:szCs w:val="16"/>
                <w:lang w:val="en-GB"/>
              </w:rPr>
              <w:t xml:space="preserve"> and/or PScell and the candidate target cell are on different frequency layers.</w:t>
            </w:r>
          </w:p>
          <w:p w14:paraId="5BE023CF" w14:textId="77777777" w:rsidR="00555B6C" w:rsidRPr="001B46DD" w:rsidRDefault="00555B6C" w:rsidP="00555B6C">
            <w:pPr>
              <w:numPr>
                <w:ilvl w:val="0"/>
                <w:numId w:val="37"/>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Option 2 (CATT, DOCOMO, CMCC, vivo): Inter-frequency cell switch is defined where the SSBs of active serving cell(s) and the corresponding candidate target cell(s) are on different frequency layers</w:t>
            </w:r>
          </w:p>
          <w:p w14:paraId="34A300B8" w14:textId="08776369" w:rsidR="00BF538A" w:rsidRPr="001B46DD" w:rsidRDefault="00555B6C" w:rsidP="00555B6C">
            <w:pPr>
              <w:numPr>
                <w:ilvl w:val="0"/>
                <w:numId w:val="37"/>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Option 3 (CMCC): no need to have the definition of inter-frequency cell switch if cell switch delay requirements are agnostic for intra-frequency and inter-frequency, same as existing HO delay requirements.</w:t>
            </w:r>
          </w:p>
          <w:p w14:paraId="032E7D47" w14:textId="3A042B9D" w:rsidR="00555B6C" w:rsidRPr="001B46DD" w:rsidRDefault="00555B6C" w:rsidP="001B46DD">
            <w:pPr>
              <w:numPr>
                <w:ilvl w:val="0"/>
                <w:numId w:val="37"/>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Option 4 (Ericsson): Follow legacy procedure and do not define any explicit definition in the spec</w:t>
            </w:r>
          </w:p>
        </w:tc>
      </w:tr>
    </w:tbl>
    <w:p w14:paraId="63C216E6" w14:textId="77777777" w:rsidR="00D264DE" w:rsidRDefault="00D264DE" w:rsidP="00915961">
      <w:pPr>
        <w:spacing w:after="120" w:line="240" w:lineRule="auto"/>
        <w:jc w:val="left"/>
        <w:textAlignment w:val="center"/>
        <w:rPr>
          <w:rFonts w:ascii="Calibri" w:eastAsia="Times New Roman" w:hAnsi="Calibri" w:cs="Calibri"/>
          <w:szCs w:val="20"/>
          <w:lang w:val="en-GB"/>
        </w:rPr>
      </w:pPr>
    </w:p>
    <w:p w14:paraId="27CC0B0C" w14:textId="19B63944" w:rsidR="00D264DE" w:rsidRPr="001B46DD" w:rsidRDefault="00D264DE" w:rsidP="00126427">
      <w:pPr>
        <w:rPr>
          <w:lang w:val="en-GB"/>
        </w:rPr>
      </w:pPr>
      <w:r w:rsidRPr="004D1DE6">
        <w:t>LTM is expected to support both intra- and inter-frequency measurements.</w:t>
      </w:r>
      <w:r>
        <w:rPr>
          <w:rFonts w:ascii="Calibri" w:hAnsi="Calibri" w:cs="Calibri"/>
          <w:lang w:val="en-GB"/>
        </w:rPr>
        <w:t xml:space="preserve">  </w:t>
      </w:r>
      <w:r w:rsidR="005074B4" w:rsidRPr="00500538">
        <w:rPr>
          <w:lang w:val="en-GB"/>
        </w:rPr>
        <w:t xml:space="preserve">Inter-frequency cell switch is defined </w:t>
      </w:r>
      <w:r w:rsidR="005074B4">
        <w:rPr>
          <w:lang w:val="en-GB"/>
        </w:rPr>
        <w:t xml:space="preserve">for the UE when it is switched from the source cell to the target cell. In our last meeting, the following agreement from RAN4 has been reached. RAN4 has agreed to support </w:t>
      </w:r>
      <w:r w:rsidR="005074B4" w:rsidRPr="008E7CFB">
        <w:rPr>
          <w:lang w:val="en-GB" w:eastAsia="zh-CN"/>
        </w:rPr>
        <w:t>PCell change without SCell chang</w:t>
      </w:r>
      <w:r w:rsidR="005074B4">
        <w:rPr>
          <w:lang w:val="en-GB" w:eastAsia="zh-CN"/>
        </w:rPr>
        <w:t xml:space="preserve">e, and </w:t>
      </w:r>
      <w:r w:rsidR="005074B4" w:rsidRPr="008E7CFB">
        <w:rPr>
          <w:lang w:val="en-GB" w:eastAsia="zh-CN"/>
        </w:rPr>
        <w:t>PSCell change without SCell change</w:t>
      </w:r>
      <w:r w:rsidR="005074B4">
        <w:rPr>
          <w:lang w:val="en-GB" w:eastAsia="zh-CN"/>
        </w:rPr>
        <w:t xml:space="preserve">.  </w:t>
      </w:r>
    </w:p>
    <w:p w14:paraId="446A994F" w14:textId="2205E170" w:rsidR="00BF538A" w:rsidRPr="001B46DD" w:rsidRDefault="00D264DE" w:rsidP="001B46DD">
      <w:pPr>
        <w:pStyle w:val="RAN4proposal"/>
        <w:rPr>
          <w:lang w:val="en-GB"/>
        </w:rPr>
      </w:pPr>
      <w:bookmarkStart w:id="6" w:name="_Toc132020606"/>
      <w:r w:rsidRPr="00D264DE">
        <w:rPr>
          <w:lang w:val="en-GB"/>
        </w:rPr>
        <w:t xml:space="preserve">Inter-frequency cell switch is defined where the SSB of </w:t>
      </w:r>
      <w:proofErr w:type="spellStart"/>
      <w:r w:rsidRPr="00D264DE">
        <w:rPr>
          <w:lang w:val="en-GB"/>
        </w:rPr>
        <w:t>Pcell</w:t>
      </w:r>
      <w:proofErr w:type="spellEnd"/>
      <w:r w:rsidRPr="00D264DE">
        <w:rPr>
          <w:lang w:val="en-GB"/>
        </w:rPr>
        <w:t xml:space="preserve"> and/or PScell and the candidate target cell are on different frequency layers.</w:t>
      </w:r>
      <w:bookmarkEnd w:id="6"/>
    </w:p>
    <w:p w14:paraId="72E611B7" w14:textId="1B3EAA49" w:rsidR="00915961" w:rsidRPr="00DF4452" w:rsidRDefault="00B066C0" w:rsidP="00B066C0">
      <w:pPr>
        <w:pStyle w:val="RAN4H2"/>
        <w:jc w:val="left"/>
        <w:rPr>
          <w:lang w:val="en-GB"/>
        </w:rPr>
      </w:pPr>
      <w:r w:rsidRPr="00B066C0">
        <w:rPr>
          <w:lang w:val="en-GB"/>
        </w:rPr>
        <w:t>Whether to specify requirements for downlink/uplink synchronisation before cell switch</w:t>
      </w:r>
      <w:r>
        <w:rPr>
          <w:lang w:val="en-GB"/>
        </w:rPr>
        <w:t xml:space="preserve"> (2-4-1) </w:t>
      </w:r>
    </w:p>
    <w:tbl>
      <w:tblPr>
        <w:tblStyle w:val="TableGrid"/>
        <w:tblW w:w="0" w:type="auto"/>
        <w:tblLook w:val="04A0" w:firstRow="1" w:lastRow="0" w:firstColumn="1" w:lastColumn="0" w:noHBand="0" w:noVBand="1"/>
      </w:tblPr>
      <w:tblGrid>
        <w:gridCol w:w="9617"/>
      </w:tblGrid>
      <w:tr w:rsidR="005E283B" w:rsidRPr="00811320" w14:paraId="33C477FD" w14:textId="77777777" w:rsidTr="00D14EAB">
        <w:tc>
          <w:tcPr>
            <w:tcW w:w="9617" w:type="dxa"/>
          </w:tcPr>
          <w:p w14:paraId="091F7535" w14:textId="77777777" w:rsidR="00D14EAB" w:rsidRPr="001B46DD" w:rsidRDefault="00D14EAB" w:rsidP="00D14EAB">
            <w:pPr>
              <w:spacing w:after="120"/>
              <w:jc w:val="left"/>
              <w:rPr>
                <w:rFonts w:eastAsia="Times New Roman" w:cs="Times New Roman"/>
                <w:sz w:val="16"/>
                <w:szCs w:val="16"/>
                <w:lang w:val="en-GB"/>
              </w:rPr>
            </w:pPr>
            <w:r w:rsidRPr="001B46DD">
              <w:rPr>
                <w:rFonts w:eastAsia="Times New Roman" w:cs="Times New Roman"/>
                <w:b/>
                <w:bCs/>
                <w:sz w:val="16"/>
                <w:szCs w:val="16"/>
                <w:u w:val="single"/>
                <w:lang w:val="en-GB"/>
              </w:rPr>
              <w:t>Issue 2-4-1: Whether to specify requirements for downlink/uplink synchronisation before cell switch</w:t>
            </w:r>
          </w:p>
          <w:p w14:paraId="16E01759" w14:textId="77777777" w:rsidR="00D14EAB" w:rsidRPr="001B46DD" w:rsidRDefault="00D14EAB" w:rsidP="00D14EAB">
            <w:pPr>
              <w:spacing w:after="120"/>
              <w:jc w:val="left"/>
              <w:rPr>
                <w:rFonts w:eastAsia="Times New Roman" w:cs="Times New Roman"/>
                <w:sz w:val="16"/>
                <w:szCs w:val="16"/>
                <w:lang w:val="en-GB"/>
              </w:rPr>
            </w:pPr>
            <w:r w:rsidRPr="001B46DD">
              <w:rPr>
                <w:rFonts w:eastAsia="Times New Roman" w:cs="Times New Roman"/>
                <w:b/>
                <w:bCs/>
                <w:sz w:val="16"/>
                <w:szCs w:val="16"/>
                <w:lang w:val="en-GB"/>
              </w:rPr>
              <w:t xml:space="preserve">&lt; </w:t>
            </w:r>
            <w:proofErr w:type="spellStart"/>
            <w:r w:rsidRPr="001B46DD">
              <w:rPr>
                <w:rFonts w:eastAsia="Times New Roman" w:cs="Times New Roman"/>
                <w:b/>
                <w:bCs/>
                <w:sz w:val="16"/>
                <w:szCs w:val="16"/>
                <w:lang w:val="en-GB"/>
              </w:rPr>
              <w:t>Wayforward</w:t>
            </w:r>
            <w:proofErr w:type="spellEnd"/>
            <w:r w:rsidRPr="001B46DD">
              <w:rPr>
                <w:rFonts w:eastAsia="Times New Roman" w:cs="Times New Roman"/>
                <w:b/>
                <w:bCs/>
                <w:sz w:val="16"/>
                <w:szCs w:val="16"/>
                <w:lang w:val="en-GB"/>
              </w:rPr>
              <w:t xml:space="preserve"> &gt;</w:t>
            </w:r>
            <w:r w:rsidRPr="001B46DD">
              <w:rPr>
                <w:rFonts w:eastAsia="Times New Roman" w:cs="Times New Roman"/>
                <w:sz w:val="16"/>
                <w:szCs w:val="16"/>
                <w:lang w:val="en-GB"/>
              </w:rPr>
              <w:t>: FFS the following options</w:t>
            </w:r>
          </w:p>
          <w:p w14:paraId="2DEC6170" w14:textId="77777777" w:rsidR="00D14EAB" w:rsidRPr="001B46DD" w:rsidRDefault="00D14EAB" w:rsidP="00D14EAB">
            <w:pPr>
              <w:numPr>
                <w:ilvl w:val="0"/>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Option 1 (Apple): No need to define specific requirements for downlink synchronisation before cell switch since it has already been covered by existing L3 measurement requirements.</w:t>
            </w:r>
          </w:p>
          <w:p w14:paraId="6062D0B0" w14:textId="77777777" w:rsidR="00D14EAB" w:rsidRPr="001B46DD" w:rsidRDefault="00D14EAB" w:rsidP="00D14EAB">
            <w:pPr>
              <w:numPr>
                <w:ilvl w:val="0"/>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Option 2 (Intel): If TCI state switch command can be sent before cell switch, depending on progress of RAN1, RAN4 may need to further discuss how to update current requirement for TCI activation, e.g. timing offset, active BWP.</w:t>
            </w:r>
          </w:p>
          <w:p w14:paraId="49ECE952" w14:textId="77777777" w:rsidR="00D14EAB" w:rsidRPr="001B46DD" w:rsidRDefault="00D14EAB" w:rsidP="00D14EAB">
            <w:pPr>
              <w:numPr>
                <w:ilvl w:val="0"/>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lastRenderedPageBreak/>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20BFD285" w14:textId="77777777" w:rsidR="00D14EAB" w:rsidRPr="001B46DD" w:rsidRDefault="00D14EAB" w:rsidP="00D14EAB">
            <w:pPr>
              <w:numPr>
                <w:ilvl w:val="0"/>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 xml:space="preserve">Option 4 (Ericsson): </w:t>
            </w:r>
          </w:p>
          <w:p w14:paraId="79FC0916" w14:textId="77777777" w:rsidR="00D14EAB" w:rsidRPr="001B46DD" w:rsidRDefault="00D14EAB" w:rsidP="00D14EAB">
            <w:pPr>
              <w:numPr>
                <w:ilvl w:val="1"/>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RAN4 to study interruption requirements due to PRACH transmission</w:t>
            </w:r>
          </w:p>
          <w:p w14:paraId="54F589DA" w14:textId="77777777" w:rsidR="00D14EAB" w:rsidRPr="001B46DD" w:rsidRDefault="00D14EAB" w:rsidP="00D14EAB">
            <w:pPr>
              <w:numPr>
                <w:ilvl w:val="1"/>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RAN4 to discuss the DL synchronization requirements and the number of cells for which DL pre-synchronization can be maintained at the UE.</w:t>
            </w:r>
          </w:p>
          <w:p w14:paraId="3D861DB4" w14:textId="7BCCB3EF" w:rsidR="00D14EAB" w:rsidRPr="001B46DD" w:rsidRDefault="00D14EAB" w:rsidP="001B46DD">
            <w:pPr>
              <w:numPr>
                <w:ilvl w:val="1"/>
                <w:numId w:val="39"/>
              </w:numPr>
              <w:spacing w:after="120"/>
              <w:jc w:val="left"/>
              <w:textAlignment w:val="center"/>
              <w:rPr>
                <w:rFonts w:ascii="Calibri" w:eastAsia="Times New Roman" w:hAnsi="Calibri" w:cs="Calibri"/>
                <w:sz w:val="16"/>
                <w:szCs w:val="16"/>
                <w:lang w:val="en-GB"/>
              </w:rPr>
            </w:pPr>
            <w:r w:rsidRPr="001B46DD">
              <w:rPr>
                <w:rFonts w:eastAsia="Times New Roman" w:cs="Times New Roman"/>
                <w:sz w:val="16"/>
                <w:szCs w:val="16"/>
                <w:lang w:val="en-GB"/>
              </w:rPr>
              <w:t>RAN4 to discuss downlink synchronisation requirements for UE before receiving cell switch command.</w:t>
            </w:r>
          </w:p>
        </w:tc>
      </w:tr>
    </w:tbl>
    <w:p w14:paraId="60D9DE4C" w14:textId="77777777" w:rsidR="00C85CC2" w:rsidRDefault="00C85CC2" w:rsidP="00DF4452">
      <w:pPr>
        <w:spacing w:after="120" w:line="240" w:lineRule="auto"/>
        <w:jc w:val="left"/>
        <w:rPr>
          <w:rFonts w:eastAsia="Times New Roman" w:cs="Times New Roman"/>
          <w:szCs w:val="20"/>
          <w:lang w:val="en-GB"/>
        </w:rPr>
      </w:pPr>
    </w:p>
    <w:p w14:paraId="1B61D244" w14:textId="567106B8" w:rsidR="00F47210" w:rsidRDefault="00F47210" w:rsidP="001B46DD">
      <w:pPr>
        <w:rPr>
          <w:rFonts w:cs="Times New Roman"/>
          <w:lang w:eastAsia="zh-CN"/>
        </w:rPr>
      </w:pPr>
      <w:r>
        <w:rPr>
          <w:rFonts w:eastAsia="Times New Roman" w:cs="Times New Roman"/>
          <w:szCs w:val="20"/>
          <w:lang w:val="en-GB"/>
        </w:rPr>
        <w:t xml:space="preserve">RAN1 is currently studying </w:t>
      </w:r>
      <w:r w:rsidRPr="00500538">
        <w:rPr>
          <w:rFonts w:cs="Times New Roman"/>
          <w:lang w:eastAsia="zh-CN"/>
        </w:rPr>
        <w:t>issues on PDCCH-order based PRACH</w:t>
      </w:r>
      <w:r w:rsidR="00CC64A4">
        <w:rPr>
          <w:rFonts w:cs="Times New Roman"/>
          <w:lang w:eastAsia="zh-CN"/>
        </w:rPr>
        <w:t xml:space="preserve"> </w:t>
      </w:r>
      <w:r w:rsidR="00CC64A4" w:rsidRPr="00500538">
        <w:rPr>
          <w:rFonts w:cs="Times New Roman"/>
          <w:lang w:eastAsia="zh-CN"/>
        </w:rPr>
        <w:t>for candidate cell that is not UL serving cell</w:t>
      </w:r>
      <w:r w:rsidR="00CC64A4">
        <w:rPr>
          <w:rFonts w:cs="Times New Roman"/>
          <w:lang w:eastAsia="zh-CN"/>
        </w:rPr>
        <w:t xml:space="preserve">. The issues include </w:t>
      </w:r>
      <w:r w:rsidR="00CC64A4">
        <w:rPr>
          <w:rFonts w:eastAsia="Times New Roman" w:cs="Times New Roman"/>
        </w:rPr>
        <w:t>w</w:t>
      </w:r>
      <w:r w:rsidR="00CC64A4" w:rsidRPr="00500538">
        <w:rPr>
          <w:rFonts w:eastAsia="Times New Roman" w:cs="Times New Roman"/>
        </w:rPr>
        <w:t xml:space="preserve">hether </w:t>
      </w:r>
      <w:r w:rsidR="00CC64A4" w:rsidRPr="00500538">
        <w:rPr>
          <w:rFonts w:eastAsia="DengXian" w:cs="Times New Roman"/>
          <w:lang w:eastAsia="zh-CN"/>
        </w:rPr>
        <w:t xml:space="preserve">gap between the DCI and PRACH </w:t>
      </w:r>
      <w:r w:rsidR="00CC64A4" w:rsidRPr="00500538">
        <w:rPr>
          <w:rFonts w:eastAsia="Times New Roman" w:cs="Times New Roman"/>
        </w:rPr>
        <w:t>longer</w:t>
      </w:r>
      <w:r w:rsidR="00CC64A4" w:rsidRPr="00500538">
        <w:rPr>
          <w:rFonts w:eastAsia="DengXian" w:cs="Times New Roman"/>
          <w:lang w:eastAsia="zh-CN"/>
        </w:rPr>
        <w:t xml:space="preserve"> than timeline defined in spec</w:t>
      </w:r>
      <w:r w:rsidR="00CC64A4" w:rsidRPr="00500538">
        <w:rPr>
          <w:rFonts w:eastAsia="Times New Roman" w:cs="Times New Roman"/>
        </w:rPr>
        <w:t xml:space="preserve"> </w:t>
      </w:r>
      <w:r w:rsidR="00CC64A4" w:rsidRPr="00500538">
        <w:rPr>
          <w:rFonts w:eastAsia="DengXian" w:cs="Times New Roman"/>
          <w:lang w:eastAsia="zh-CN"/>
        </w:rPr>
        <w:t>is needed</w:t>
      </w:r>
      <w:r w:rsidR="00CC64A4">
        <w:rPr>
          <w:rFonts w:eastAsia="DengXian" w:cs="Times New Roman"/>
          <w:lang w:eastAsia="zh-CN"/>
        </w:rPr>
        <w:t xml:space="preserve">. </w:t>
      </w:r>
      <w:r w:rsidR="00CC64A4" w:rsidRPr="00CC64A4">
        <w:rPr>
          <w:rFonts w:eastAsia="DengXian" w:cs="Times New Roman"/>
          <w:lang w:eastAsia="zh-CN"/>
        </w:rPr>
        <w:t>-</w:t>
      </w:r>
      <w:r w:rsidR="00CC64A4" w:rsidRPr="00CC64A4">
        <w:rPr>
          <w:rFonts w:eastAsia="DengXian" w:cs="Times New Roman"/>
          <w:lang w:eastAsia="zh-CN"/>
        </w:rPr>
        <w:tab/>
        <w:t>Any impact/interruption on UL Tx of serving CCs due to the PRACH Tx</w:t>
      </w:r>
      <w:r w:rsidR="00CC64A4">
        <w:rPr>
          <w:rFonts w:eastAsia="DengXian" w:cs="Times New Roman"/>
          <w:lang w:eastAsia="zh-CN"/>
        </w:rPr>
        <w:t xml:space="preserve">. </w:t>
      </w:r>
      <w:r w:rsidR="00E361E6">
        <w:rPr>
          <w:rFonts w:cs="Times New Roman"/>
          <w:lang w:eastAsia="zh-CN"/>
        </w:rPr>
        <w:t>In the case that the candid</w:t>
      </w:r>
      <w:r w:rsidR="003E3F8D">
        <w:rPr>
          <w:rFonts w:cs="Times New Roman"/>
          <w:lang w:eastAsia="zh-CN"/>
        </w:rPr>
        <w:t>ate cell</w:t>
      </w:r>
      <w:r w:rsidR="00E361E6">
        <w:rPr>
          <w:rFonts w:cs="Times New Roman"/>
          <w:lang w:eastAsia="zh-CN"/>
        </w:rPr>
        <w:t>, UE will likely search for a suitable UE beam to perform PRACH upon receiving PDCCH order RACH from the network. As a result, this would have a certain impact on the interruption on UL Tx of serving CCs due to the PRACH Tx.</w:t>
      </w:r>
    </w:p>
    <w:p w14:paraId="5C8962FA" w14:textId="4C0D0387" w:rsidR="00F279C2" w:rsidRPr="001B46DD" w:rsidRDefault="00F279C2" w:rsidP="00F279C2">
      <w:pPr>
        <w:pStyle w:val="RAN4proposal"/>
      </w:pPr>
      <w:bookmarkStart w:id="7" w:name="_Toc132020607"/>
      <w:r>
        <w:t xml:space="preserve">RAN4 to </w:t>
      </w:r>
      <w:r w:rsidRPr="00F279C2">
        <w:t xml:space="preserve">specify requirements for downlink/uplink </w:t>
      </w:r>
      <w:proofErr w:type="spellStart"/>
      <w:r w:rsidRPr="00F279C2">
        <w:t>synchronisation</w:t>
      </w:r>
      <w:proofErr w:type="spellEnd"/>
      <w:r w:rsidRPr="00F279C2">
        <w:t xml:space="preserve"> before cell switch</w:t>
      </w:r>
      <w:r w:rsidR="005E184B">
        <w:t>.</w:t>
      </w:r>
      <w:bookmarkEnd w:id="7"/>
    </w:p>
    <w:p w14:paraId="011406D7" w14:textId="7799C091" w:rsidR="005D384E" w:rsidRDefault="005D384E" w:rsidP="001B46DD">
      <w:pPr>
        <w:pStyle w:val="RAN4proposal"/>
        <w:rPr>
          <w:lang w:val="en-GB"/>
        </w:rPr>
      </w:pPr>
      <w:bookmarkStart w:id="8" w:name="_Toc132020608"/>
      <w:r w:rsidRPr="00500538">
        <w:rPr>
          <w:lang w:val="en-GB"/>
        </w:rPr>
        <w:t>RAN4 to study interruption due to PRACH transmission</w:t>
      </w:r>
      <w:r w:rsidR="00FF38D2">
        <w:rPr>
          <w:lang w:val="en-GB"/>
        </w:rPr>
        <w:t>.</w:t>
      </w:r>
      <w:bookmarkEnd w:id="8"/>
      <w:r w:rsidR="00FF38D2">
        <w:rPr>
          <w:lang w:val="en-GB"/>
        </w:rPr>
        <w:t xml:space="preserve"> </w:t>
      </w:r>
    </w:p>
    <w:p w14:paraId="25377C38" w14:textId="5C32F879" w:rsidR="00CB49AC" w:rsidRDefault="005D384E" w:rsidP="001B46DD">
      <w:pPr>
        <w:pStyle w:val="RAN4proposal"/>
        <w:rPr>
          <w:lang w:val="en-GB"/>
        </w:rPr>
      </w:pPr>
      <w:bookmarkStart w:id="9" w:name="_Toc132020609"/>
      <w:r w:rsidRPr="00500538">
        <w:rPr>
          <w:lang w:val="en-GB"/>
        </w:rPr>
        <w:t xml:space="preserve">RAN4 to discuss the DL synchronization and the number of </w:t>
      </w:r>
      <w:r w:rsidR="005C095E">
        <w:rPr>
          <w:lang w:val="en-GB"/>
        </w:rPr>
        <w:t xml:space="preserve">target </w:t>
      </w:r>
      <w:r w:rsidRPr="00500538">
        <w:rPr>
          <w:lang w:val="en-GB"/>
        </w:rPr>
        <w:t>cells for which DL pre-synchronization can be maintained at the UE.</w:t>
      </w:r>
      <w:bookmarkEnd w:id="9"/>
    </w:p>
    <w:p w14:paraId="434C4778" w14:textId="518E0112" w:rsidR="005C095E" w:rsidRPr="004C7F1B" w:rsidRDefault="005C095E" w:rsidP="005C095E">
      <w:pPr>
        <w:pStyle w:val="RAN4proposal"/>
        <w:rPr>
          <w:rFonts w:ascii="Calibri" w:hAnsi="Calibri" w:cs="Calibri"/>
          <w:lang w:val="en-GB"/>
        </w:rPr>
      </w:pPr>
      <w:bookmarkStart w:id="10" w:name="_Toc132020610"/>
      <w:r w:rsidRPr="00CB49AC">
        <w:rPr>
          <w:lang w:val="en-GB"/>
        </w:rPr>
        <w:t xml:space="preserve">RAN4 to discuss </w:t>
      </w:r>
      <w:r>
        <w:rPr>
          <w:lang w:val="en-GB"/>
        </w:rPr>
        <w:t>uplink transmit timing requirements</w:t>
      </w:r>
      <w:r w:rsidR="00447389">
        <w:rPr>
          <w:lang w:val="en-GB"/>
        </w:rPr>
        <w:t xml:space="preserve"> before sending preamble</w:t>
      </w:r>
      <w:r>
        <w:rPr>
          <w:lang w:val="en-GB"/>
        </w:rPr>
        <w:t xml:space="preserve"> </w:t>
      </w:r>
      <w:r w:rsidR="00447389">
        <w:rPr>
          <w:lang w:val="en-GB"/>
        </w:rPr>
        <w:t>to</w:t>
      </w:r>
      <w:r>
        <w:rPr>
          <w:lang w:val="en-GB"/>
        </w:rPr>
        <w:t xml:space="preserve"> the target cells</w:t>
      </w:r>
      <w:r w:rsidR="000415C5">
        <w:rPr>
          <w:lang w:val="en-GB"/>
        </w:rPr>
        <w:t>.</w:t>
      </w:r>
      <w:bookmarkEnd w:id="10"/>
      <w:r>
        <w:rPr>
          <w:lang w:val="en-GB"/>
        </w:rPr>
        <w:t xml:space="preserve"> </w:t>
      </w:r>
    </w:p>
    <w:p w14:paraId="0E3748A4" w14:textId="38335F54" w:rsidR="00D14EAB" w:rsidRDefault="00B066C0" w:rsidP="00B066C0">
      <w:pPr>
        <w:pStyle w:val="RAN4H2"/>
        <w:rPr>
          <w:lang w:val="en-GB"/>
        </w:rPr>
      </w:pPr>
      <w:r>
        <w:rPr>
          <w:lang w:val="en-GB"/>
        </w:rPr>
        <w:t>Others (2-6-3)</w:t>
      </w:r>
    </w:p>
    <w:p w14:paraId="750C5E26" w14:textId="77777777" w:rsidR="00B066C0" w:rsidRDefault="00B066C0" w:rsidP="00DF4452">
      <w:pPr>
        <w:spacing w:after="120" w:line="240" w:lineRule="auto"/>
        <w:jc w:val="left"/>
        <w:rPr>
          <w:rFonts w:ascii="Calibri" w:eastAsia="Times New Roman" w:hAnsi="Calibri" w:cs="Calibri"/>
          <w:sz w:val="22"/>
          <w:lang w:val="en-GB"/>
        </w:rPr>
      </w:pPr>
    </w:p>
    <w:tbl>
      <w:tblPr>
        <w:tblStyle w:val="TableGrid"/>
        <w:tblW w:w="0" w:type="auto"/>
        <w:tblLook w:val="04A0" w:firstRow="1" w:lastRow="0" w:firstColumn="1" w:lastColumn="0" w:noHBand="0" w:noVBand="1"/>
      </w:tblPr>
      <w:tblGrid>
        <w:gridCol w:w="9617"/>
      </w:tblGrid>
      <w:tr w:rsidR="005E283B" w14:paraId="16CBCC7A" w14:textId="77777777" w:rsidTr="00D14EAB">
        <w:tc>
          <w:tcPr>
            <w:tcW w:w="9617" w:type="dxa"/>
          </w:tcPr>
          <w:p w14:paraId="3FCB854C" w14:textId="77777777" w:rsidR="00D14EAB" w:rsidRPr="00DF4452" w:rsidRDefault="00D14EAB" w:rsidP="00D14EAB">
            <w:pPr>
              <w:spacing w:after="120"/>
              <w:jc w:val="left"/>
              <w:rPr>
                <w:rFonts w:eastAsia="Times New Roman" w:cs="Times New Roman"/>
                <w:szCs w:val="20"/>
                <w:lang w:val="en-GB"/>
              </w:rPr>
            </w:pPr>
            <w:r w:rsidRPr="00DF4452">
              <w:rPr>
                <w:rFonts w:eastAsia="Times New Roman" w:cs="Times New Roman"/>
                <w:b/>
                <w:bCs/>
                <w:szCs w:val="20"/>
                <w:u w:val="single"/>
                <w:lang w:val="en-GB"/>
              </w:rPr>
              <w:t>Issue 2-6-3: Others</w:t>
            </w:r>
          </w:p>
          <w:p w14:paraId="7DC59124" w14:textId="77777777" w:rsidR="00D14EAB" w:rsidRPr="00DF4452" w:rsidRDefault="00D14EAB" w:rsidP="00D14EAB">
            <w:pPr>
              <w:spacing w:after="120"/>
              <w:jc w:val="left"/>
              <w:rPr>
                <w:rFonts w:eastAsia="Times New Roman" w:cs="Times New Roman"/>
                <w:szCs w:val="20"/>
                <w:lang w:val="en-GB"/>
              </w:rPr>
            </w:pPr>
            <w:r w:rsidRPr="00DF4452">
              <w:rPr>
                <w:rFonts w:eastAsia="Times New Roman" w:cs="Times New Roman"/>
                <w:b/>
                <w:bCs/>
                <w:szCs w:val="20"/>
                <w:lang w:val="en-GB"/>
              </w:rPr>
              <w:t xml:space="preserve">&lt; </w:t>
            </w:r>
            <w:proofErr w:type="spellStart"/>
            <w:r w:rsidRPr="00DF4452">
              <w:rPr>
                <w:rFonts w:eastAsia="Times New Roman" w:cs="Times New Roman"/>
                <w:b/>
                <w:bCs/>
                <w:szCs w:val="20"/>
                <w:lang w:val="en-GB"/>
              </w:rPr>
              <w:t>Wayforward</w:t>
            </w:r>
            <w:proofErr w:type="spellEnd"/>
            <w:r w:rsidRPr="00DF4452">
              <w:rPr>
                <w:rFonts w:eastAsia="Times New Roman" w:cs="Times New Roman"/>
                <w:b/>
                <w:bCs/>
                <w:szCs w:val="20"/>
                <w:lang w:val="en-GB"/>
              </w:rPr>
              <w:t xml:space="preserve"> &gt;</w:t>
            </w:r>
            <w:r w:rsidRPr="00DF4452">
              <w:rPr>
                <w:rFonts w:eastAsia="Times New Roman" w:cs="Times New Roman"/>
                <w:szCs w:val="20"/>
                <w:lang w:val="en-GB"/>
              </w:rPr>
              <w:t>: FFS the following option</w:t>
            </w:r>
          </w:p>
          <w:p w14:paraId="6C518230" w14:textId="1F5E1ECC" w:rsidR="00D14EAB" w:rsidRDefault="00D14EAB" w:rsidP="00D14EAB">
            <w:pPr>
              <w:spacing w:after="120"/>
              <w:jc w:val="left"/>
              <w:rPr>
                <w:rFonts w:eastAsia="Times New Roman" w:cs="Times New Roman"/>
                <w:szCs w:val="20"/>
                <w:lang w:val="en-GB"/>
              </w:rPr>
            </w:pPr>
            <w:r w:rsidRPr="00DF4452">
              <w:rPr>
                <w:rFonts w:eastAsia="Times New Roman" w:cs="Times New Roman"/>
                <w:szCs w:val="20"/>
                <w:lang w:val="en-GB"/>
              </w:rPr>
              <w:t>Option 1 (QC): LTM requirements are applicable only when a QCL source reference signal of “PDCCH ordered PRACH to an LTM candidate cell before LTM handover” or “an active TCI state to be used immediately after LTM handover” is the same or one of the reference signals configured and used for LTM L1-RSRP measurements from the cell.</w:t>
            </w:r>
          </w:p>
        </w:tc>
      </w:tr>
    </w:tbl>
    <w:p w14:paraId="64A51DC8" w14:textId="77777777" w:rsidR="00D14EAB" w:rsidRDefault="00D14EAB" w:rsidP="00DF4452">
      <w:pPr>
        <w:spacing w:after="120" w:line="240" w:lineRule="auto"/>
        <w:jc w:val="left"/>
        <w:rPr>
          <w:rFonts w:eastAsia="Times New Roman" w:cs="Times New Roman"/>
          <w:szCs w:val="20"/>
          <w:lang w:val="en-GB"/>
        </w:rPr>
      </w:pPr>
    </w:p>
    <w:p w14:paraId="46D1192A" w14:textId="19D01227" w:rsidR="003E7EC6" w:rsidRDefault="00A13139" w:rsidP="00DF4452">
      <w:pPr>
        <w:spacing w:after="120" w:line="240" w:lineRule="auto"/>
        <w:jc w:val="left"/>
        <w:rPr>
          <w:rFonts w:eastAsia="Times New Roman" w:cs="Times New Roman"/>
          <w:szCs w:val="20"/>
          <w:lang w:val="en-GB"/>
        </w:rPr>
      </w:pPr>
      <w:r>
        <w:rPr>
          <w:rFonts w:eastAsia="Times New Roman" w:cs="Times New Roman"/>
          <w:szCs w:val="20"/>
          <w:lang w:val="en-GB"/>
        </w:rPr>
        <w:t xml:space="preserve">In </w:t>
      </w:r>
      <w:r w:rsidR="00CD2774">
        <w:rPr>
          <w:rFonts w:eastAsia="Times New Roman" w:cs="Times New Roman"/>
          <w:szCs w:val="20"/>
          <w:lang w:val="en-GB"/>
        </w:rPr>
        <w:t xml:space="preserve">RAN1, the following agreement has been reached: </w:t>
      </w:r>
    </w:p>
    <w:tbl>
      <w:tblPr>
        <w:tblStyle w:val="TableGrid"/>
        <w:tblW w:w="0" w:type="auto"/>
        <w:tblLook w:val="04A0" w:firstRow="1" w:lastRow="0" w:firstColumn="1" w:lastColumn="0" w:noHBand="0" w:noVBand="1"/>
      </w:tblPr>
      <w:tblGrid>
        <w:gridCol w:w="9597"/>
      </w:tblGrid>
      <w:tr w:rsidR="00333250" w14:paraId="2E9A229F" w14:textId="77777777" w:rsidTr="00765453">
        <w:tc>
          <w:tcPr>
            <w:tcW w:w="9617" w:type="dxa"/>
            <w:tcBorders>
              <w:top w:val="double" w:sz="4" w:space="0" w:color="auto"/>
              <w:left w:val="double" w:sz="4" w:space="0" w:color="auto"/>
              <w:bottom w:val="double" w:sz="4" w:space="0" w:color="auto"/>
              <w:right w:val="double" w:sz="4" w:space="0" w:color="auto"/>
            </w:tcBorders>
          </w:tcPr>
          <w:p w14:paraId="48BDA434" w14:textId="1CC01E18" w:rsidR="00765453" w:rsidRPr="001B46DD" w:rsidRDefault="00765453" w:rsidP="001B46DD">
            <w:pPr>
              <w:pStyle w:val="ListParagraph"/>
              <w:snapToGrid w:val="0"/>
              <w:ind w:left="360"/>
              <w:contextualSpacing w:val="0"/>
              <w:rPr>
                <w:rFonts w:eastAsia="Batang" w:cs="Times New Roman"/>
                <w:b/>
                <w:bCs/>
                <w:u w:val="single"/>
              </w:rPr>
            </w:pPr>
            <w:r w:rsidRPr="001B46DD">
              <w:rPr>
                <w:rFonts w:eastAsia="Batang" w:cs="Times New Roman"/>
                <w:b/>
                <w:bCs/>
                <w:highlight w:val="green"/>
                <w:u w:val="single"/>
              </w:rPr>
              <w:t>Agreement</w:t>
            </w:r>
          </w:p>
          <w:p w14:paraId="77F2CC92" w14:textId="315298D3" w:rsidR="00765453" w:rsidRPr="001B46DD" w:rsidRDefault="00765453" w:rsidP="00765453">
            <w:pPr>
              <w:pStyle w:val="ListParagraph"/>
              <w:numPr>
                <w:ilvl w:val="0"/>
                <w:numId w:val="43"/>
              </w:numPr>
              <w:snapToGrid w:val="0"/>
              <w:contextualSpacing w:val="0"/>
              <w:rPr>
                <w:rFonts w:eastAsia="Batang" w:cs="Times New Roman"/>
                <w:b/>
                <w:bCs/>
                <w:u w:val="single"/>
              </w:rPr>
            </w:pPr>
            <w:r w:rsidRPr="001B46DD">
              <w:rPr>
                <w:rFonts w:cs="Times New Roman"/>
              </w:rPr>
              <w:t xml:space="preserve">At least for Rel-17 unified TCI framework based beam indication included in cell switch command (i.e. scenario 2), beam indication applies to signals/channels that follow or are configured to follow Rel-17 unified TCI at the target cell(s) </w:t>
            </w:r>
          </w:p>
          <w:p w14:paraId="65DEC78C" w14:textId="75CA5243" w:rsidR="00765453" w:rsidRPr="001B46DD" w:rsidRDefault="00765453" w:rsidP="001B46DD">
            <w:pPr>
              <w:pStyle w:val="ListParagraph"/>
              <w:numPr>
                <w:ilvl w:val="0"/>
                <w:numId w:val="43"/>
              </w:numPr>
              <w:snapToGrid w:val="0"/>
              <w:contextualSpacing w:val="0"/>
              <w:rPr>
                <w:rFonts w:ascii="Arial" w:eastAsia="MS Gothic" w:hAnsi="Arial" w:cs="Arial"/>
                <w:lang w:eastAsia="ja-JP"/>
              </w:rPr>
            </w:pPr>
            <w:r w:rsidRPr="001B46DD">
              <w:rPr>
                <w:rFonts w:cs="Times New Roman"/>
              </w:rPr>
              <w:t xml:space="preserve">FFS: beam indication for </w:t>
            </w:r>
            <w:proofErr w:type="spellStart"/>
            <w:r w:rsidRPr="001B46DD">
              <w:rPr>
                <w:rFonts w:cs="Times New Roman"/>
              </w:rPr>
              <w:t>mTRP</w:t>
            </w:r>
            <w:proofErr w:type="spellEnd"/>
            <w:r w:rsidRPr="001B46DD">
              <w:rPr>
                <w:rFonts w:cs="Times New Roman"/>
              </w:rPr>
              <w:t xml:space="preserve"> case</w:t>
            </w:r>
          </w:p>
        </w:tc>
      </w:tr>
    </w:tbl>
    <w:p w14:paraId="6BE764E9" w14:textId="77777777" w:rsidR="00CD2774" w:rsidRDefault="00CD2774" w:rsidP="00DF4452">
      <w:pPr>
        <w:spacing w:after="120" w:line="240" w:lineRule="auto"/>
        <w:jc w:val="left"/>
        <w:rPr>
          <w:rFonts w:eastAsia="Times New Roman" w:cs="Times New Roman"/>
          <w:szCs w:val="20"/>
          <w:lang w:val="en-GB"/>
        </w:rPr>
      </w:pPr>
    </w:p>
    <w:p w14:paraId="40AEF085" w14:textId="76C8582B" w:rsidR="002B67AC" w:rsidRDefault="00A23FE5" w:rsidP="00DF4452">
      <w:pPr>
        <w:spacing w:after="120" w:line="240" w:lineRule="auto"/>
        <w:jc w:val="left"/>
        <w:rPr>
          <w:rFonts w:eastAsia="Times New Roman" w:cs="Times New Roman"/>
          <w:szCs w:val="20"/>
          <w:lang w:val="en-GB"/>
        </w:rPr>
      </w:pPr>
      <w:r>
        <w:rPr>
          <w:rFonts w:eastAsia="Times New Roman" w:cs="Times New Roman"/>
          <w:szCs w:val="20"/>
          <w:lang w:val="en-GB"/>
        </w:rPr>
        <w:t>The target cell beam indication is included in the MAC-CE cell switch command</w:t>
      </w:r>
      <w:r w:rsidR="00A94B1B">
        <w:rPr>
          <w:rFonts w:eastAsia="Times New Roman" w:cs="Times New Roman"/>
          <w:szCs w:val="20"/>
          <w:lang w:val="en-GB"/>
        </w:rPr>
        <w:t xml:space="preserve">, alternatively, the TCI state of the target cell in LTM can be included in the MAC-CE cell switch command. </w:t>
      </w:r>
      <w:r w:rsidR="00A82AE3">
        <w:rPr>
          <w:rFonts w:eastAsia="Times New Roman" w:cs="Times New Roman"/>
          <w:szCs w:val="20"/>
          <w:lang w:val="en-GB"/>
        </w:rPr>
        <w:t xml:space="preserve">When the TCI state </w:t>
      </w:r>
      <w:r w:rsidR="00944DA5">
        <w:rPr>
          <w:rFonts w:eastAsia="Times New Roman" w:cs="Times New Roman"/>
          <w:szCs w:val="20"/>
          <w:lang w:val="en-GB"/>
        </w:rPr>
        <w:t xml:space="preserve">of the target cell </w:t>
      </w:r>
      <w:r w:rsidR="00A82AE3">
        <w:rPr>
          <w:rFonts w:eastAsia="Times New Roman" w:cs="Times New Roman"/>
          <w:szCs w:val="20"/>
          <w:lang w:val="en-GB"/>
        </w:rPr>
        <w:t xml:space="preserve">is known to </w:t>
      </w:r>
      <w:r w:rsidR="000415C5">
        <w:rPr>
          <w:rFonts w:eastAsia="Times New Roman" w:cs="Times New Roman"/>
          <w:szCs w:val="20"/>
          <w:lang w:val="en-GB"/>
        </w:rPr>
        <w:t xml:space="preserve">the </w:t>
      </w:r>
      <w:r w:rsidR="00A82AE3">
        <w:rPr>
          <w:rFonts w:eastAsia="Times New Roman" w:cs="Times New Roman"/>
          <w:szCs w:val="20"/>
          <w:lang w:val="en-GB"/>
        </w:rPr>
        <w:t xml:space="preserve">UE, after the MAC-CE cell switch, UE </w:t>
      </w:r>
      <w:r w:rsidR="00EF1517">
        <w:rPr>
          <w:rFonts w:eastAsia="Times New Roman" w:cs="Times New Roman"/>
          <w:szCs w:val="20"/>
          <w:lang w:val="en-GB"/>
        </w:rPr>
        <w:t>can perform bea</w:t>
      </w:r>
      <w:r w:rsidR="00944DA5">
        <w:rPr>
          <w:rFonts w:eastAsia="Times New Roman" w:cs="Times New Roman"/>
          <w:szCs w:val="20"/>
          <w:lang w:val="en-GB"/>
        </w:rPr>
        <w:t>m</w:t>
      </w:r>
      <w:r w:rsidR="00EF1517">
        <w:rPr>
          <w:rFonts w:eastAsia="Times New Roman" w:cs="Times New Roman"/>
          <w:szCs w:val="20"/>
          <w:lang w:val="en-GB"/>
        </w:rPr>
        <w:t xml:space="preserve"> switching without delay. </w:t>
      </w:r>
      <w:r w:rsidR="003F4497">
        <w:rPr>
          <w:rFonts w:eastAsia="Times New Roman" w:cs="Times New Roman"/>
          <w:szCs w:val="20"/>
          <w:lang w:val="en-GB"/>
        </w:rPr>
        <w:t xml:space="preserve">Also the unknown case should be defined for LTM as it is a mobility procedure. </w:t>
      </w:r>
    </w:p>
    <w:p w14:paraId="375CF578" w14:textId="6E18F731" w:rsidR="002B67AC" w:rsidRDefault="00B17DCD" w:rsidP="001B46DD">
      <w:pPr>
        <w:pStyle w:val="RAN4proposal"/>
        <w:rPr>
          <w:lang w:val="en-GB"/>
        </w:rPr>
      </w:pPr>
      <w:bookmarkStart w:id="11" w:name="_Toc132020611"/>
      <w:r>
        <w:rPr>
          <w:lang w:val="en-GB"/>
        </w:rPr>
        <w:t xml:space="preserve">RAN4 </w:t>
      </w:r>
      <w:r w:rsidR="00D275D4">
        <w:rPr>
          <w:lang w:val="en-GB"/>
        </w:rPr>
        <w:t xml:space="preserve">to define </w:t>
      </w:r>
      <w:r w:rsidR="00024786">
        <w:rPr>
          <w:lang w:val="en-GB"/>
        </w:rPr>
        <w:t xml:space="preserve">requirements for </w:t>
      </w:r>
      <w:r w:rsidR="00713B7C">
        <w:rPr>
          <w:lang w:val="en-GB"/>
        </w:rPr>
        <w:t>known and unknown TCI state of the target cell</w:t>
      </w:r>
      <w:r w:rsidR="00024786">
        <w:rPr>
          <w:lang w:val="en-GB"/>
        </w:rPr>
        <w:t>.</w:t>
      </w:r>
      <w:bookmarkEnd w:id="11"/>
      <w:r w:rsidR="00713B7C">
        <w:rPr>
          <w:lang w:val="en-GB"/>
        </w:rPr>
        <w:t xml:space="preserve"> </w:t>
      </w:r>
    </w:p>
    <w:p w14:paraId="45A2DAE0" w14:textId="77777777" w:rsidR="003E7EC6" w:rsidRDefault="003E7EC6" w:rsidP="00DF4452">
      <w:pPr>
        <w:spacing w:after="120" w:line="240" w:lineRule="auto"/>
        <w:jc w:val="left"/>
        <w:rPr>
          <w:rFonts w:eastAsia="Times New Roman" w:cs="Times New Roman"/>
          <w:szCs w:val="20"/>
          <w:lang w:val="en-GB"/>
        </w:rPr>
      </w:pPr>
    </w:p>
    <w:p w14:paraId="39361066" w14:textId="77777777" w:rsidR="003E7EC6" w:rsidRDefault="003E7EC6" w:rsidP="00DF4452">
      <w:pPr>
        <w:spacing w:after="120" w:line="240" w:lineRule="auto"/>
        <w:jc w:val="left"/>
        <w:rPr>
          <w:rFonts w:eastAsia="Times New Roman" w:cs="Times New Roman"/>
          <w:szCs w:val="20"/>
          <w:lang w:val="en-GB"/>
        </w:rPr>
      </w:pPr>
    </w:p>
    <w:p w14:paraId="23A24698" w14:textId="77777777" w:rsidR="003E7EC6" w:rsidRDefault="003E7EC6" w:rsidP="00DF4452">
      <w:pPr>
        <w:spacing w:after="120" w:line="240" w:lineRule="auto"/>
        <w:jc w:val="left"/>
        <w:rPr>
          <w:rFonts w:eastAsia="Times New Roman" w:cs="Times New Roman"/>
          <w:szCs w:val="20"/>
          <w:lang w:val="en-GB"/>
        </w:rPr>
      </w:pPr>
    </w:p>
    <w:p w14:paraId="25B14CA9" w14:textId="77777777" w:rsidR="00877AE4" w:rsidRDefault="00877AE4">
      <w:pPr>
        <w:jc w:val="left"/>
        <w:rPr>
          <w:rFonts w:ascii="Arial" w:hAnsi="Arial" w:cs="Times New Roman"/>
          <w:sz w:val="36"/>
          <w:szCs w:val="20"/>
        </w:rPr>
      </w:pPr>
      <w:r>
        <w:br w:type="page"/>
      </w:r>
    </w:p>
    <w:p w14:paraId="2E299398" w14:textId="4910D467" w:rsidR="00CD7492" w:rsidRPr="00EF698B" w:rsidRDefault="00CD7492" w:rsidP="00A37002">
      <w:pPr>
        <w:pStyle w:val="RAN4H1"/>
        <w:rPr>
          <w:lang w:val="en-US"/>
        </w:rPr>
      </w:pPr>
      <w:r w:rsidRPr="00EF698B">
        <w:rPr>
          <w:lang w:val="en-US"/>
        </w:rPr>
        <w:lastRenderedPageBreak/>
        <w:t>Conclusion</w:t>
      </w:r>
      <w:bookmarkEnd w:id="5"/>
    </w:p>
    <w:p w14:paraId="209E2C05" w14:textId="4044417D" w:rsidR="00D5270B" w:rsidRPr="00D7636C" w:rsidRDefault="00D7636C" w:rsidP="00936159">
      <w:pPr>
        <w:rPr>
          <w:highlight w:val="yellow"/>
          <w:lang w:val="en-GB"/>
        </w:rPr>
      </w:pPr>
      <w:r w:rsidRPr="00D7636C">
        <w:t>In this contribution we have made the following observations and proposals:</w:t>
      </w:r>
    </w:p>
    <w:p w14:paraId="7B303859" w14:textId="6CE00776" w:rsidR="001B55CD" w:rsidRDefault="00A4355E">
      <w:pPr>
        <w:pStyle w:val="TOC5"/>
        <w:tabs>
          <w:tab w:val="right" w:leader="dot" w:pos="9617"/>
        </w:tabs>
        <w:rPr>
          <w:rFonts w:asciiTheme="minorHAnsi" w:eastAsiaTheme="minorEastAsia" w:hAnsiTheme="minorHAnsi"/>
          <w:b w:val="0"/>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20606" w:history="1">
        <w:r w:rsidR="001B55CD" w:rsidRPr="00A142C2">
          <w:rPr>
            <w:rStyle w:val="Hyperlink"/>
            <w:noProof/>
            <w:lang w:val="en-GB"/>
          </w:rPr>
          <w:t>Proposal 1: Inter-frequency cell switch is defined where the SSB of Pcell and/or PScell and the candidate target cell are on different frequency layers.</w:t>
        </w:r>
      </w:hyperlink>
    </w:p>
    <w:p w14:paraId="03EEA88B" w14:textId="1A51581E" w:rsidR="001B55CD" w:rsidRDefault="001B55CD">
      <w:pPr>
        <w:pStyle w:val="TOC5"/>
        <w:tabs>
          <w:tab w:val="right" w:leader="dot" w:pos="9617"/>
        </w:tabs>
        <w:rPr>
          <w:rFonts w:asciiTheme="minorHAnsi" w:eastAsiaTheme="minorEastAsia" w:hAnsiTheme="minorHAnsi"/>
          <w:b w:val="0"/>
          <w:noProof/>
          <w:sz w:val="22"/>
          <w:lang w:val="en-GB" w:eastAsia="en-GB"/>
        </w:rPr>
      </w:pPr>
      <w:hyperlink w:anchor="_Toc132020607" w:history="1">
        <w:r w:rsidRPr="00A142C2">
          <w:rPr>
            <w:rStyle w:val="Hyperlink"/>
            <w:noProof/>
          </w:rPr>
          <w:t>Proposal 2: RAN4 to specify requirements for downlink/uplink synchronisation before cell switch.</w:t>
        </w:r>
      </w:hyperlink>
    </w:p>
    <w:p w14:paraId="75C499DC" w14:textId="5FD87CCF" w:rsidR="001B55CD" w:rsidRDefault="001B55CD">
      <w:pPr>
        <w:pStyle w:val="TOC5"/>
        <w:tabs>
          <w:tab w:val="right" w:leader="dot" w:pos="9617"/>
        </w:tabs>
        <w:rPr>
          <w:rFonts w:asciiTheme="minorHAnsi" w:eastAsiaTheme="minorEastAsia" w:hAnsiTheme="minorHAnsi"/>
          <w:b w:val="0"/>
          <w:noProof/>
          <w:sz w:val="22"/>
          <w:lang w:val="en-GB" w:eastAsia="en-GB"/>
        </w:rPr>
      </w:pPr>
      <w:hyperlink w:anchor="_Toc132020608" w:history="1">
        <w:r w:rsidRPr="00A142C2">
          <w:rPr>
            <w:rStyle w:val="Hyperlink"/>
            <w:noProof/>
            <w:lang w:val="en-GB"/>
          </w:rPr>
          <w:t>Proposal 3: RAN4 to study interruption due to PRACH transmission.</w:t>
        </w:r>
      </w:hyperlink>
    </w:p>
    <w:p w14:paraId="124F8410" w14:textId="192167D4" w:rsidR="001B55CD" w:rsidRDefault="001B55CD">
      <w:pPr>
        <w:pStyle w:val="TOC5"/>
        <w:tabs>
          <w:tab w:val="right" w:leader="dot" w:pos="9617"/>
        </w:tabs>
        <w:rPr>
          <w:rFonts w:asciiTheme="minorHAnsi" w:eastAsiaTheme="minorEastAsia" w:hAnsiTheme="minorHAnsi"/>
          <w:b w:val="0"/>
          <w:noProof/>
          <w:sz w:val="22"/>
          <w:lang w:val="en-GB" w:eastAsia="en-GB"/>
        </w:rPr>
      </w:pPr>
      <w:hyperlink w:anchor="_Toc132020609" w:history="1">
        <w:r w:rsidRPr="00A142C2">
          <w:rPr>
            <w:rStyle w:val="Hyperlink"/>
            <w:noProof/>
            <w:lang w:val="en-GB"/>
          </w:rPr>
          <w:t>Proposal 4: RAN4 to discuss the DL synchronization and the number of target cells for which DL pre-synchronization can be maintained at the UE.</w:t>
        </w:r>
      </w:hyperlink>
    </w:p>
    <w:p w14:paraId="0F8A0619" w14:textId="5375B243" w:rsidR="001B55CD" w:rsidRDefault="001B55CD">
      <w:pPr>
        <w:pStyle w:val="TOC5"/>
        <w:tabs>
          <w:tab w:val="right" w:leader="dot" w:pos="9617"/>
        </w:tabs>
        <w:rPr>
          <w:rFonts w:asciiTheme="minorHAnsi" w:eastAsiaTheme="minorEastAsia" w:hAnsiTheme="minorHAnsi"/>
          <w:b w:val="0"/>
          <w:noProof/>
          <w:sz w:val="22"/>
          <w:lang w:val="en-GB" w:eastAsia="en-GB"/>
        </w:rPr>
      </w:pPr>
      <w:hyperlink w:anchor="_Toc132020610" w:history="1">
        <w:r w:rsidRPr="00A142C2">
          <w:rPr>
            <w:rStyle w:val="Hyperlink"/>
            <w:rFonts w:cs="Calibri"/>
            <w:noProof/>
            <w:lang w:val="en-GB"/>
          </w:rPr>
          <w:t>Proposal 5:</w:t>
        </w:r>
        <w:r w:rsidRPr="00A142C2">
          <w:rPr>
            <w:rStyle w:val="Hyperlink"/>
            <w:noProof/>
            <w:lang w:val="en-GB"/>
          </w:rPr>
          <w:t xml:space="preserve"> RAN4 to discuss uplink transmit timing requirements before sending preamble to the target cells.</w:t>
        </w:r>
      </w:hyperlink>
    </w:p>
    <w:p w14:paraId="3D18ADF8" w14:textId="117CB2FB" w:rsidR="001B55CD" w:rsidRDefault="001B55CD">
      <w:pPr>
        <w:pStyle w:val="TOC5"/>
        <w:tabs>
          <w:tab w:val="right" w:leader="dot" w:pos="9617"/>
        </w:tabs>
        <w:rPr>
          <w:rFonts w:asciiTheme="minorHAnsi" w:eastAsiaTheme="minorEastAsia" w:hAnsiTheme="minorHAnsi"/>
          <w:b w:val="0"/>
          <w:noProof/>
          <w:sz w:val="22"/>
          <w:lang w:val="en-GB" w:eastAsia="en-GB"/>
        </w:rPr>
      </w:pPr>
      <w:hyperlink w:anchor="_Toc132020611" w:history="1">
        <w:r w:rsidRPr="00A142C2">
          <w:rPr>
            <w:rStyle w:val="Hyperlink"/>
            <w:noProof/>
            <w:lang w:val="en-GB"/>
          </w:rPr>
          <w:t>Proposal 6: RAN4 to define requirements for known and unknown TCI state of the target cell.</w:t>
        </w:r>
      </w:hyperlink>
    </w:p>
    <w:p w14:paraId="3E73B47F" w14:textId="76D6E878" w:rsidR="006463AF" w:rsidRDefault="00A4355E">
      <w:pPr>
        <w:rPr>
          <w:rFonts w:ascii="Arial" w:hAnsi="Arial" w:cs="Times New Roman"/>
          <w:noProof/>
          <w:sz w:val="36"/>
          <w:szCs w:val="20"/>
          <w:lang w:val="en-GB"/>
        </w:rPr>
      </w:pPr>
      <w:r>
        <w:rPr>
          <w:noProof/>
        </w:rPr>
        <w:fldChar w:fldCharType="end"/>
      </w:r>
      <w:bookmarkStart w:id="12" w:name="_Toc116995849"/>
    </w:p>
    <w:p w14:paraId="15BC5D0F" w14:textId="0B9DC3F8" w:rsidR="003B659E" w:rsidRPr="0060543D" w:rsidRDefault="003B659E" w:rsidP="0060543D">
      <w:pPr>
        <w:pStyle w:val="RAN4H1"/>
        <w:numPr>
          <w:ilvl w:val="0"/>
          <w:numId w:val="0"/>
        </w:numPr>
        <w:ind w:left="360" w:hanging="360"/>
      </w:pPr>
      <w:r w:rsidRPr="00EF698B">
        <w:t>References</w:t>
      </w:r>
      <w:bookmarkEnd w:id="12"/>
    </w:p>
    <w:p w14:paraId="2A822DD2" w14:textId="62A59613" w:rsidR="000D3851" w:rsidRDefault="001A3B97" w:rsidP="000D3851">
      <w:pPr>
        <w:pStyle w:val="ListParagraph"/>
        <w:numPr>
          <w:ilvl w:val="0"/>
          <w:numId w:val="21"/>
        </w:numPr>
        <w:ind w:right="-22"/>
      </w:pPr>
      <w:bookmarkStart w:id="13" w:name="_Ref114500673"/>
      <w:bookmarkStart w:id="14" w:name="_Ref127350893"/>
      <w:bookmarkEnd w:id="13"/>
      <w:r w:rsidRPr="001A3B97">
        <w:t>R4-2303175</w:t>
      </w:r>
      <w:r w:rsidR="000D3851" w:rsidRPr="005B6379">
        <w:t xml:space="preserve">, </w:t>
      </w:r>
      <w:r w:rsidR="00D55C6A" w:rsidRPr="00D55C6A">
        <w:t>WF on NR Mobility Enhancements RRM requirements (part 1)</w:t>
      </w:r>
      <w:r w:rsidR="000D3851" w:rsidRPr="005B6379">
        <w:t xml:space="preserve">, </w:t>
      </w:r>
      <w:r w:rsidR="00B6665F" w:rsidRPr="00B6665F">
        <w:t>3GPP TSG-RAN WG4 Meeting #106</w:t>
      </w:r>
      <w:r w:rsidR="000D3851" w:rsidRPr="005B6379">
        <w:t xml:space="preserve">, </w:t>
      </w:r>
      <w:r w:rsidR="00B6665F" w:rsidRPr="00B6665F">
        <w:t xml:space="preserve">Athens, Greece, 27 February –03 </w:t>
      </w:r>
      <w:r w:rsidR="008A53B8">
        <w:t>March</w:t>
      </w:r>
      <w:r w:rsidR="00B6665F" w:rsidRPr="00B6665F">
        <w:t xml:space="preserve"> 2023</w:t>
      </w:r>
      <w:r>
        <w:t>.</w:t>
      </w:r>
      <w:bookmarkEnd w:id="14"/>
    </w:p>
    <w:p w14:paraId="3A72BA4A" w14:textId="71E41B38" w:rsidR="00CD2774" w:rsidRDefault="002202E8" w:rsidP="00CD2774">
      <w:pPr>
        <w:pStyle w:val="ListParagraph"/>
        <w:numPr>
          <w:ilvl w:val="0"/>
          <w:numId w:val="21"/>
        </w:numPr>
        <w:ind w:right="-22"/>
      </w:pPr>
      <w:r>
        <w:rPr>
          <w:rStyle w:val="ui-provider"/>
        </w:rPr>
        <w:t xml:space="preserve">R1-2302194 LS on L1 measurement RS configuration and PDCCH ordered RACH for LTM NR_mob_enh2-Core Rel-18, </w:t>
      </w:r>
      <w:r w:rsidR="00CD2774" w:rsidRPr="00B6665F">
        <w:t>3GPP TSG-RAN WG4 Meeting #106</w:t>
      </w:r>
      <w:r w:rsidR="00CD2774" w:rsidRPr="005B6379">
        <w:t xml:space="preserve">, </w:t>
      </w:r>
      <w:r w:rsidR="00CD2774" w:rsidRPr="00B6665F">
        <w:t xml:space="preserve">Athens, Greece, 27 February –03 </w:t>
      </w:r>
      <w:r w:rsidR="00CD2774">
        <w:t xml:space="preserve">March </w:t>
      </w:r>
      <w:r w:rsidR="00CD2774" w:rsidRPr="00B6665F">
        <w:t>2023</w:t>
      </w:r>
      <w:r w:rsidR="00CD2774">
        <w:t>.</w:t>
      </w:r>
    </w:p>
    <w:p w14:paraId="462211BD" w14:textId="5E618E42" w:rsidR="002202E8" w:rsidRDefault="002202E8" w:rsidP="00CD2774">
      <w:pPr>
        <w:pStyle w:val="ListParagraph"/>
        <w:ind w:right="-22"/>
      </w:pPr>
    </w:p>
    <w:p w14:paraId="0650C058" w14:textId="77777777" w:rsidR="000040DC" w:rsidRDefault="000040DC" w:rsidP="000040DC">
      <w:pPr>
        <w:ind w:right="-22"/>
        <w:rPr>
          <w:highlight w:val="yellow"/>
        </w:rPr>
      </w:pPr>
    </w:p>
    <w:p w14:paraId="62EF9BBA"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AF54E" w14:textId="77777777" w:rsidR="00053235" w:rsidRDefault="00053235" w:rsidP="00001C9B">
      <w:pPr>
        <w:spacing w:after="0" w:line="240" w:lineRule="auto"/>
      </w:pPr>
      <w:r>
        <w:separator/>
      </w:r>
    </w:p>
  </w:endnote>
  <w:endnote w:type="continuationSeparator" w:id="0">
    <w:p w14:paraId="4E6E3750" w14:textId="77777777" w:rsidR="00053235" w:rsidRDefault="00053235" w:rsidP="00001C9B">
      <w:pPr>
        <w:spacing w:after="0" w:line="240" w:lineRule="auto"/>
      </w:pPr>
      <w:r>
        <w:continuationSeparator/>
      </w:r>
    </w:p>
  </w:endnote>
  <w:endnote w:type="continuationNotice" w:id="1">
    <w:p w14:paraId="1F53FA23" w14:textId="77777777" w:rsidR="00053235" w:rsidRDefault="000532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55D0" w14:textId="77777777" w:rsidR="00053235" w:rsidRDefault="00053235" w:rsidP="00001C9B">
      <w:pPr>
        <w:spacing w:after="0" w:line="240" w:lineRule="auto"/>
      </w:pPr>
      <w:r>
        <w:separator/>
      </w:r>
    </w:p>
  </w:footnote>
  <w:footnote w:type="continuationSeparator" w:id="0">
    <w:p w14:paraId="6880825B" w14:textId="77777777" w:rsidR="00053235" w:rsidRDefault="00053235" w:rsidP="00001C9B">
      <w:pPr>
        <w:spacing w:after="0" w:line="240" w:lineRule="auto"/>
      </w:pPr>
      <w:r>
        <w:continuationSeparator/>
      </w:r>
    </w:p>
  </w:footnote>
  <w:footnote w:type="continuationNotice" w:id="1">
    <w:p w14:paraId="52CD8566" w14:textId="77777777" w:rsidR="00053235" w:rsidRDefault="000532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CB2BE0"/>
    <w:multiLevelType w:val="multilevel"/>
    <w:tmpl w:val="BA1A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EA05BB"/>
    <w:multiLevelType w:val="multilevel"/>
    <w:tmpl w:val="1EF868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6B711E"/>
    <w:multiLevelType w:val="multilevel"/>
    <w:tmpl w:val="DB20E7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222C7"/>
    <w:multiLevelType w:val="multilevel"/>
    <w:tmpl w:val="D89E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F64C0D"/>
    <w:multiLevelType w:val="multilevel"/>
    <w:tmpl w:val="9D02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A546D6"/>
    <w:multiLevelType w:val="multilevel"/>
    <w:tmpl w:val="7CAE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C262A8E"/>
    <w:multiLevelType w:val="multilevel"/>
    <w:tmpl w:val="71DC6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0813700">
    <w:abstractNumId w:val="3"/>
  </w:num>
  <w:num w:numId="2" w16cid:durableId="1800563736">
    <w:abstractNumId w:val="11"/>
  </w:num>
  <w:num w:numId="3" w16cid:durableId="1066103697">
    <w:abstractNumId w:val="21"/>
  </w:num>
  <w:num w:numId="4" w16cid:durableId="1557282046">
    <w:abstractNumId w:val="10"/>
  </w:num>
  <w:num w:numId="5" w16cid:durableId="212351871">
    <w:abstractNumId w:val="27"/>
  </w:num>
  <w:num w:numId="6" w16cid:durableId="223570826">
    <w:abstractNumId w:val="17"/>
  </w:num>
  <w:num w:numId="7" w16cid:durableId="1044407695">
    <w:abstractNumId w:val="20"/>
  </w:num>
  <w:num w:numId="8" w16cid:durableId="847525717">
    <w:abstractNumId w:val="20"/>
    <w:lvlOverride w:ilvl="0">
      <w:startOverride w:val="1"/>
    </w:lvlOverride>
  </w:num>
  <w:num w:numId="9" w16cid:durableId="1575697451">
    <w:abstractNumId w:val="20"/>
    <w:lvlOverride w:ilvl="0">
      <w:startOverride w:val="1"/>
    </w:lvlOverride>
  </w:num>
  <w:num w:numId="10" w16cid:durableId="1521049033">
    <w:abstractNumId w:val="20"/>
    <w:lvlOverride w:ilvl="0">
      <w:startOverride w:val="1"/>
    </w:lvlOverride>
  </w:num>
  <w:num w:numId="11" w16cid:durableId="341707686">
    <w:abstractNumId w:val="17"/>
    <w:lvlOverride w:ilvl="0">
      <w:startOverride w:val="1"/>
    </w:lvlOverride>
  </w:num>
  <w:num w:numId="12" w16cid:durableId="243996478">
    <w:abstractNumId w:val="20"/>
    <w:lvlOverride w:ilvl="0">
      <w:startOverride w:val="1"/>
    </w:lvlOverride>
  </w:num>
  <w:num w:numId="13" w16cid:durableId="1034840571">
    <w:abstractNumId w:val="17"/>
    <w:lvlOverride w:ilvl="0">
      <w:startOverride w:val="1"/>
    </w:lvlOverride>
  </w:num>
  <w:num w:numId="14" w16cid:durableId="903687214">
    <w:abstractNumId w:val="20"/>
    <w:lvlOverride w:ilvl="0">
      <w:startOverride w:val="1"/>
    </w:lvlOverride>
  </w:num>
  <w:num w:numId="15" w16cid:durableId="1857961806">
    <w:abstractNumId w:val="30"/>
  </w:num>
  <w:num w:numId="16" w16cid:durableId="1323856160">
    <w:abstractNumId w:val="8"/>
  </w:num>
  <w:num w:numId="17" w16cid:durableId="987127657">
    <w:abstractNumId w:val="26"/>
  </w:num>
  <w:num w:numId="18" w16cid:durableId="1776292216">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05762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5305511">
    <w:abstractNumId w:val="16"/>
  </w:num>
  <w:num w:numId="21" w16cid:durableId="1008211477">
    <w:abstractNumId w:val="23"/>
  </w:num>
  <w:num w:numId="22" w16cid:durableId="307828508">
    <w:abstractNumId w:val="17"/>
    <w:lvlOverride w:ilvl="0">
      <w:startOverride w:val="1"/>
    </w:lvlOverride>
  </w:num>
  <w:num w:numId="23" w16cid:durableId="619142304">
    <w:abstractNumId w:val="20"/>
    <w:lvlOverride w:ilvl="0">
      <w:startOverride w:val="1"/>
    </w:lvlOverride>
  </w:num>
  <w:num w:numId="24" w16cid:durableId="134493804">
    <w:abstractNumId w:val="4"/>
  </w:num>
  <w:num w:numId="25" w16cid:durableId="2123524780">
    <w:abstractNumId w:val="2"/>
  </w:num>
  <w:num w:numId="26" w16cid:durableId="1248609892">
    <w:abstractNumId w:val="2"/>
    <w:lvlOverride w:ilvl="0">
      <w:startOverride w:val="1"/>
    </w:lvlOverride>
  </w:num>
  <w:num w:numId="27" w16cid:durableId="493420633">
    <w:abstractNumId w:val="6"/>
  </w:num>
  <w:num w:numId="28" w16cid:durableId="555430002">
    <w:abstractNumId w:val="12"/>
  </w:num>
  <w:num w:numId="29" w16cid:durableId="1472946278">
    <w:abstractNumId w:val="7"/>
  </w:num>
  <w:num w:numId="30" w16cid:durableId="726225534">
    <w:abstractNumId w:val="0"/>
  </w:num>
  <w:num w:numId="31" w16cid:durableId="144863824">
    <w:abstractNumId w:val="18"/>
  </w:num>
  <w:num w:numId="32" w16cid:durableId="1352685569">
    <w:abstractNumId w:val="13"/>
  </w:num>
  <w:num w:numId="33" w16cid:durableId="1305425115">
    <w:abstractNumId w:val="14"/>
  </w:num>
  <w:num w:numId="34" w16cid:durableId="783352457">
    <w:abstractNumId w:val="31"/>
  </w:num>
  <w:num w:numId="35" w16cid:durableId="994988095">
    <w:abstractNumId w:val="15"/>
  </w:num>
  <w:num w:numId="36" w16cid:durableId="1092046770">
    <w:abstractNumId w:val="5"/>
  </w:num>
  <w:num w:numId="37" w16cid:durableId="405953699">
    <w:abstractNumId w:val="25"/>
  </w:num>
  <w:num w:numId="38" w16cid:durableId="2137989901">
    <w:abstractNumId w:val="24"/>
  </w:num>
  <w:num w:numId="39" w16cid:durableId="414782469">
    <w:abstractNumId w:val="9"/>
  </w:num>
  <w:num w:numId="40" w16cid:durableId="1342121880">
    <w:abstractNumId w:val="28"/>
  </w:num>
  <w:num w:numId="41" w16cid:durableId="1947538138">
    <w:abstractNumId w:val="22"/>
  </w:num>
  <w:num w:numId="42" w16cid:durableId="2103330230">
    <w:abstractNumId w:val="19"/>
  </w:num>
  <w:num w:numId="43" w16cid:durableId="1647976449">
    <w:abstractNumId w:val="29"/>
  </w:num>
  <w:num w:numId="44" w16cid:durableId="1112549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40DC"/>
    <w:rsid w:val="00011999"/>
    <w:rsid w:val="000151EF"/>
    <w:rsid w:val="0002100F"/>
    <w:rsid w:val="000239F5"/>
    <w:rsid w:val="00024786"/>
    <w:rsid w:val="00024E82"/>
    <w:rsid w:val="00031DBA"/>
    <w:rsid w:val="000415C5"/>
    <w:rsid w:val="00043EE1"/>
    <w:rsid w:val="00053235"/>
    <w:rsid w:val="000762FE"/>
    <w:rsid w:val="00084D29"/>
    <w:rsid w:val="0008612A"/>
    <w:rsid w:val="00090E18"/>
    <w:rsid w:val="000971F0"/>
    <w:rsid w:val="000A10BC"/>
    <w:rsid w:val="000A42DB"/>
    <w:rsid w:val="000B0056"/>
    <w:rsid w:val="000B5050"/>
    <w:rsid w:val="000C3C7B"/>
    <w:rsid w:val="000D0F93"/>
    <w:rsid w:val="000D3851"/>
    <w:rsid w:val="000D3A56"/>
    <w:rsid w:val="000D3C0D"/>
    <w:rsid w:val="000D46DA"/>
    <w:rsid w:val="000E745E"/>
    <w:rsid w:val="000F5B8F"/>
    <w:rsid w:val="0010110B"/>
    <w:rsid w:val="00106416"/>
    <w:rsid w:val="00110481"/>
    <w:rsid w:val="001127C9"/>
    <w:rsid w:val="00115B88"/>
    <w:rsid w:val="001201EE"/>
    <w:rsid w:val="00124B38"/>
    <w:rsid w:val="00125186"/>
    <w:rsid w:val="00126427"/>
    <w:rsid w:val="00132F6A"/>
    <w:rsid w:val="00133913"/>
    <w:rsid w:val="00140221"/>
    <w:rsid w:val="001428D7"/>
    <w:rsid w:val="001533E9"/>
    <w:rsid w:val="00160CCC"/>
    <w:rsid w:val="001642FC"/>
    <w:rsid w:val="0016496B"/>
    <w:rsid w:val="001662DD"/>
    <w:rsid w:val="00166DAB"/>
    <w:rsid w:val="001743E2"/>
    <w:rsid w:val="001745F8"/>
    <w:rsid w:val="0018193C"/>
    <w:rsid w:val="00182F5A"/>
    <w:rsid w:val="001838CF"/>
    <w:rsid w:val="001868EE"/>
    <w:rsid w:val="0019104A"/>
    <w:rsid w:val="001A3B97"/>
    <w:rsid w:val="001A3BA4"/>
    <w:rsid w:val="001A6D1F"/>
    <w:rsid w:val="001B46DD"/>
    <w:rsid w:val="001B55CD"/>
    <w:rsid w:val="001B7D6D"/>
    <w:rsid w:val="001E1714"/>
    <w:rsid w:val="001E30F6"/>
    <w:rsid w:val="00200AD6"/>
    <w:rsid w:val="00201122"/>
    <w:rsid w:val="0020235F"/>
    <w:rsid w:val="002038A3"/>
    <w:rsid w:val="0020524F"/>
    <w:rsid w:val="00213752"/>
    <w:rsid w:val="00217EE5"/>
    <w:rsid w:val="002202E8"/>
    <w:rsid w:val="00221D6A"/>
    <w:rsid w:val="00224584"/>
    <w:rsid w:val="0023180D"/>
    <w:rsid w:val="00235F5C"/>
    <w:rsid w:val="00251F33"/>
    <w:rsid w:val="00257FA3"/>
    <w:rsid w:val="0026071A"/>
    <w:rsid w:val="00263565"/>
    <w:rsid w:val="00266B03"/>
    <w:rsid w:val="00270D3C"/>
    <w:rsid w:val="002721C4"/>
    <w:rsid w:val="00277B56"/>
    <w:rsid w:val="002805AF"/>
    <w:rsid w:val="00280BF9"/>
    <w:rsid w:val="002921ED"/>
    <w:rsid w:val="00293DB9"/>
    <w:rsid w:val="002974AA"/>
    <w:rsid w:val="002A19F5"/>
    <w:rsid w:val="002B203D"/>
    <w:rsid w:val="002B4922"/>
    <w:rsid w:val="002B67AC"/>
    <w:rsid w:val="002C1153"/>
    <w:rsid w:val="002C22C3"/>
    <w:rsid w:val="002C2D19"/>
    <w:rsid w:val="002D10FA"/>
    <w:rsid w:val="002D1613"/>
    <w:rsid w:val="002D4C55"/>
    <w:rsid w:val="002E61E7"/>
    <w:rsid w:val="002E6DED"/>
    <w:rsid w:val="002F0FBE"/>
    <w:rsid w:val="00300956"/>
    <w:rsid w:val="0030330E"/>
    <w:rsid w:val="0030500C"/>
    <w:rsid w:val="003160E8"/>
    <w:rsid w:val="00317187"/>
    <w:rsid w:val="0032499A"/>
    <w:rsid w:val="00333250"/>
    <w:rsid w:val="003341F7"/>
    <w:rsid w:val="00347DDE"/>
    <w:rsid w:val="00347FEC"/>
    <w:rsid w:val="00356F45"/>
    <w:rsid w:val="00361E3D"/>
    <w:rsid w:val="00361FEB"/>
    <w:rsid w:val="00363CB8"/>
    <w:rsid w:val="0036684C"/>
    <w:rsid w:val="00366B74"/>
    <w:rsid w:val="0037376A"/>
    <w:rsid w:val="0037776B"/>
    <w:rsid w:val="003826C2"/>
    <w:rsid w:val="00383BA0"/>
    <w:rsid w:val="003855AF"/>
    <w:rsid w:val="0039421A"/>
    <w:rsid w:val="003A710A"/>
    <w:rsid w:val="003B1604"/>
    <w:rsid w:val="003B659E"/>
    <w:rsid w:val="003C275E"/>
    <w:rsid w:val="003D1E4D"/>
    <w:rsid w:val="003D2429"/>
    <w:rsid w:val="003D75C6"/>
    <w:rsid w:val="003E3C9E"/>
    <w:rsid w:val="003E3F8D"/>
    <w:rsid w:val="003E452C"/>
    <w:rsid w:val="003E58DF"/>
    <w:rsid w:val="003E7EC6"/>
    <w:rsid w:val="003F30BA"/>
    <w:rsid w:val="003F4497"/>
    <w:rsid w:val="0040133F"/>
    <w:rsid w:val="004019A2"/>
    <w:rsid w:val="00404C4C"/>
    <w:rsid w:val="00410A8D"/>
    <w:rsid w:val="0041423F"/>
    <w:rsid w:val="00414F81"/>
    <w:rsid w:val="004271CD"/>
    <w:rsid w:val="00432A6E"/>
    <w:rsid w:val="00436A0F"/>
    <w:rsid w:val="00437150"/>
    <w:rsid w:val="0043750A"/>
    <w:rsid w:val="00447389"/>
    <w:rsid w:val="00454C13"/>
    <w:rsid w:val="00460CF3"/>
    <w:rsid w:val="00472834"/>
    <w:rsid w:val="004732E9"/>
    <w:rsid w:val="00481E38"/>
    <w:rsid w:val="004854BB"/>
    <w:rsid w:val="00487226"/>
    <w:rsid w:val="00490E45"/>
    <w:rsid w:val="00493F3C"/>
    <w:rsid w:val="00496606"/>
    <w:rsid w:val="004A02D3"/>
    <w:rsid w:val="004A3609"/>
    <w:rsid w:val="004B55F3"/>
    <w:rsid w:val="004C3477"/>
    <w:rsid w:val="004C62C8"/>
    <w:rsid w:val="004C7F1B"/>
    <w:rsid w:val="004D040D"/>
    <w:rsid w:val="004D1DE6"/>
    <w:rsid w:val="004E121F"/>
    <w:rsid w:val="004E4056"/>
    <w:rsid w:val="004E5E66"/>
    <w:rsid w:val="004E7ADB"/>
    <w:rsid w:val="004F2344"/>
    <w:rsid w:val="004F3FBB"/>
    <w:rsid w:val="00500A40"/>
    <w:rsid w:val="005025C3"/>
    <w:rsid w:val="00503B4D"/>
    <w:rsid w:val="00504EE9"/>
    <w:rsid w:val="005074B4"/>
    <w:rsid w:val="00521576"/>
    <w:rsid w:val="00524CD3"/>
    <w:rsid w:val="005250E6"/>
    <w:rsid w:val="00530013"/>
    <w:rsid w:val="00531208"/>
    <w:rsid w:val="00542D23"/>
    <w:rsid w:val="0054442C"/>
    <w:rsid w:val="00550285"/>
    <w:rsid w:val="00555B6C"/>
    <w:rsid w:val="00561087"/>
    <w:rsid w:val="005618B8"/>
    <w:rsid w:val="00562492"/>
    <w:rsid w:val="00562F71"/>
    <w:rsid w:val="00564EC0"/>
    <w:rsid w:val="00572A20"/>
    <w:rsid w:val="00573065"/>
    <w:rsid w:val="005748DD"/>
    <w:rsid w:val="00576A95"/>
    <w:rsid w:val="005836F8"/>
    <w:rsid w:val="005918FA"/>
    <w:rsid w:val="00592A86"/>
    <w:rsid w:val="0059598D"/>
    <w:rsid w:val="005A5D8E"/>
    <w:rsid w:val="005B084C"/>
    <w:rsid w:val="005B4801"/>
    <w:rsid w:val="005C095E"/>
    <w:rsid w:val="005C23A4"/>
    <w:rsid w:val="005D1467"/>
    <w:rsid w:val="005D1CDF"/>
    <w:rsid w:val="005D2BB7"/>
    <w:rsid w:val="005D384E"/>
    <w:rsid w:val="005D4405"/>
    <w:rsid w:val="005E184B"/>
    <w:rsid w:val="005E283B"/>
    <w:rsid w:val="005E61A8"/>
    <w:rsid w:val="005F12FE"/>
    <w:rsid w:val="005F3E41"/>
    <w:rsid w:val="005F3E58"/>
    <w:rsid w:val="005F6419"/>
    <w:rsid w:val="0060543D"/>
    <w:rsid w:val="006104DD"/>
    <w:rsid w:val="006130B5"/>
    <w:rsid w:val="00615863"/>
    <w:rsid w:val="00617400"/>
    <w:rsid w:val="00632D29"/>
    <w:rsid w:val="0064144A"/>
    <w:rsid w:val="00644F9A"/>
    <w:rsid w:val="006463AF"/>
    <w:rsid w:val="00661193"/>
    <w:rsid w:val="00663C59"/>
    <w:rsid w:val="00664950"/>
    <w:rsid w:val="00672E52"/>
    <w:rsid w:val="00683220"/>
    <w:rsid w:val="00687FA0"/>
    <w:rsid w:val="006A2F5C"/>
    <w:rsid w:val="006A3C11"/>
    <w:rsid w:val="006B0EE1"/>
    <w:rsid w:val="006B7010"/>
    <w:rsid w:val="006C198D"/>
    <w:rsid w:val="006C3095"/>
    <w:rsid w:val="006C491E"/>
    <w:rsid w:val="006E1151"/>
    <w:rsid w:val="006E6311"/>
    <w:rsid w:val="006F01D6"/>
    <w:rsid w:val="006F59B2"/>
    <w:rsid w:val="00705BF2"/>
    <w:rsid w:val="00713B7C"/>
    <w:rsid w:val="007145FF"/>
    <w:rsid w:val="00715B2A"/>
    <w:rsid w:val="00721483"/>
    <w:rsid w:val="00722E9D"/>
    <w:rsid w:val="00731B54"/>
    <w:rsid w:val="007450F1"/>
    <w:rsid w:val="00751515"/>
    <w:rsid w:val="007626B7"/>
    <w:rsid w:val="00763D07"/>
    <w:rsid w:val="00765453"/>
    <w:rsid w:val="0077256B"/>
    <w:rsid w:val="0078212B"/>
    <w:rsid w:val="00784DF6"/>
    <w:rsid w:val="00785232"/>
    <w:rsid w:val="0079250F"/>
    <w:rsid w:val="007A0FE4"/>
    <w:rsid w:val="007A25A7"/>
    <w:rsid w:val="007A58E7"/>
    <w:rsid w:val="007B186C"/>
    <w:rsid w:val="007B3C3D"/>
    <w:rsid w:val="007C1696"/>
    <w:rsid w:val="007C3ED0"/>
    <w:rsid w:val="007C5971"/>
    <w:rsid w:val="007D1231"/>
    <w:rsid w:val="007D3D33"/>
    <w:rsid w:val="007F2D18"/>
    <w:rsid w:val="007F54B9"/>
    <w:rsid w:val="00804A9B"/>
    <w:rsid w:val="00806A76"/>
    <w:rsid w:val="00811320"/>
    <w:rsid w:val="00811C9D"/>
    <w:rsid w:val="00816649"/>
    <w:rsid w:val="00816C80"/>
    <w:rsid w:val="00821498"/>
    <w:rsid w:val="00841669"/>
    <w:rsid w:val="00841BCD"/>
    <w:rsid w:val="00851A8E"/>
    <w:rsid w:val="0085365B"/>
    <w:rsid w:val="00855E5B"/>
    <w:rsid w:val="00877AE4"/>
    <w:rsid w:val="008826C1"/>
    <w:rsid w:val="00883DFD"/>
    <w:rsid w:val="008A0E6D"/>
    <w:rsid w:val="008A1BF7"/>
    <w:rsid w:val="008A53B8"/>
    <w:rsid w:val="008A5B0E"/>
    <w:rsid w:val="008B0961"/>
    <w:rsid w:val="008D1C83"/>
    <w:rsid w:val="008D66A7"/>
    <w:rsid w:val="008E263C"/>
    <w:rsid w:val="008E282E"/>
    <w:rsid w:val="008E7CFB"/>
    <w:rsid w:val="008F0601"/>
    <w:rsid w:val="0090020D"/>
    <w:rsid w:val="0090091A"/>
    <w:rsid w:val="00903B5D"/>
    <w:rsid w:val="009042BD"/>
    <w:rsid w:val="0091559E"/>
    <w:rsid w:val="00915961"/>
    <w:rsid w:val="00936159"/>
    <w:rsid w:val="00944DA5"/>
    <w:rsid w:val="00951AB9"/>
    <w:rsid w:val="00974877"/>
    <w:rsid w:val="00977E1D"/>
    <w:rsid w:val="00995E3E"/>
    <w:rsid w:val="009B0573"/>
    <w:rsid w:val="009B7B4B"/>
    <w:rsid w:val="009B7C21"/>
    <w:rsid w:val="009C0F42"/>
    <w:rsid w:val="009C7906"/>
    <w:rsid w:val="009E0821"/>
    <w:rsid w:val="009E6258"/>
    <w:rsid w:val="009F2C56"/>
    <w:rsid w:val="009F2CA0"/>
    <w:rsid w:val="009F683C"/>
    <w:rsid w:val="00A04992"/>
    <w:rsid w:val="00A13139"/>
    <w:rsid w:val="00A147AA"/>
    <w:rsid w:val="00A21D71"/>
    <w:rsid w:val="00A22B78"/>
    <w:rsid w:val="00A23FE5"/>
    <w:rsid w:val="00A2498A"/>
    <w:rsid w:val="00A2533F"/>
    <w:rsid w:val="00A25AE5"/>
    <w:rsid w:val="00A34515"/>
    <w:rsid w:val="00A34A87"/>
    <w:rsid w:val="00A357ED"/>
    <w:rsid w:val="00A36A2B"/>
    <w:rsid w:val="00A37002"/>
    <w:rsid w:val="00A40EA6"/>
    <w:rsid w:val="00A4355E"/>
    <w:rsid w:val="00A52F84"/>
    <w:rsid w:val="00A546B9"/>
    <w:rsid w:val="00A73E8E"/>
    <w:rsid w:val="00A75EA4"/>
    <w:rsid w:val="00A82215"/>
    <w:rsid w:val="00A82AE3"/>
    <w:rsid w:val="00A92BCD"/>
    <w:rsid w:val="00A94B1B"/>
    <w:rsid w:val="00AA1B0E"/>
    <w:rsid w:val="00AA44B6"/>
    <w:rsid w:val="00AA47B6"/>
    <w:rsid w:val="00AA73CF"/>
    <w:rsid w:val="00AB0719"/>
    <w:rsid w:val="00AB1417"/>
    <w:rsid w:val="00AB2B4C"/>
    <w:rsid w:val="00AB7A5C"/>
    <w:rsid w:val="00AC163B"/>
    <w:rsid w:val="00AC4DC8"/>
    <w:rsid w:val="00AC5CA7"/>
    <w:rsid w:val="00AC5D0B"/>
    <w:rsid w:val="00AC6058"/>
    <w:rsid w:val="00AE2BA5"/>
    <w:rsid w:val="00AE56B1"/>
    <w:rsid w:val="00AE6D09"/>
    <w:rsid w:val="00AF7A7C"/>
    <w:rsid w:val="00B063A9"/>
    <w:rsid w:val="00B066C0"/>
    <w:rsid w:val="00B1398C"/>
    <w:rsid w:val="00B17DCD"/>
    <w:rsid w:val="00B20C8D"/>
    <w:rsid w:val="00B24543"/>
    <w:rsid w:val="00B3367A"/>
    <w:rsid w:val="00B408B6"/>
    <w:rsid w:val="00B542DA"/>
    <w:rsid w:val="00B55196"/>
    <w:rsid w:val="00B6665F"/>
    <w:rsid w:val="00B73862"/>
    <w:rsid w:val="00B73F43"/>
    <w:rsid w:val="00B763A6"/>
    <w:rsid w:val="00B8153C"/>
    <w:rsid w:val="00B87B51"/>
    <w:rsid w:val="00B92947"/>
    <w:rsid w:val="00B92C8C"/>
    <w:rsid w:val="00B96A25"/>
    <w:rsid w:val="00BA6B66"/>
    <w:rsid w:val="00BA6E48"/>
    <w:rsid w:val="00BB09A9"/>
    <w:rsid w:val="00BB2863"/>
    <w:rsid w:val="00BB4DA2"/>
    <w:rsid w:val="00BD278D"/>
    <w:rsid w:val="00BE0AF6"/>
    <w:rsid w:val="00BE1F03"/>
    <w:rsid w:val="00BE3CA8"/>
    <w:rsid w:val="00BE58A7"/>
    <w:rsid w:val="00BF1AB1"/>
    <w:rsid w:val="00BF2218"/>
    <w:rsid w:val="00BF538A"/>
    <w:rsid w:val="00BF7CC7"/>
    <w:rsid w:val="00C0373A"/>
    <w:rsid w:val="00C0426B"/>
    <w:rsid w:val="00C045DF"/>
    <w:rsid w:val="00C26D43"/>
    <w:rsid w:val="00C41FA0"/>
    <w:rsid w:val="00C46548"/>
    <w:rsid w:val="00C52E49"/>
    <w:rsid w:val="00C574D5"/>
    <w:rsid w:val="00C73F32"/>
    <w:rsid w:val="00C85568"/>
    <w:rsid w:val="00C85CC2"/>
    <w:rsid w:val="00C86AED"/>
    <w:rsid w:val="00C87462"/>
    <w:rsid w:val="00C92670"/>
    <w:rsid w:val="00CA10C5"/>
    <w:rsid w:val="00CA180C"/>
    <w:rsid w:val="00CA5AA3"/>
    <w:rsid w:val="00CB22B2"/>
    <w:rsid w:val="00CB2B26"/>
    <w:rsid w:val="00CB3BD3"/>
    <w:rsid w:val="00CB49AC"/>
    <w:rsid w:val="00CC181D"/>
    <w:rsid w:val="00CC3EE2"/>
    <w:rsid w:val="00CC64A4"/>
    <w:rsid w:val="00CD2427"/>
    <w:rsid w:val="00CD2774"/>
    <w:rsid w:val="00CD7492"/>
    <w:rsid w:val="00CE3A6B"/>
    <w:rsid w:val="00CF229B"/>
    <w:rsid w:val="00CF24C0"/>
    <w:rsid w:val="00D00211"/>
    <w:rsid w:val="00D06309"/>
    <w:rsid w:val="00D14EAB"/>
    <w:rsid w:val="00D17339"/>
    <w:rsid w:val="00D22948"/>
    <w:rsid w:val="00D264DE"/>
    <w:rsid w:val="00D275D4"/>
    <w:rsid w:val="00D3322E"/>
    <w:rsid w:val="00D351EA"/>
    <w:rsid w:val="00D36878"/>
    <w:rsid w:val="00D36D1D"/>
    <w:rsid w:val="00D40288"/>
    <w:rsid w:val="00D43403"/>
    <w:rsid w:val="00D440EB"/>
    <w:rsid w:val="00D4675E"/>
    <w:rsid w:val="00D5270B"/>
    <w:rsid w:val="00D55C6A"/>
    <w:rsid w:val="00D56611"/>
    <w:rsid w:val="00D62E71"/>
    <w:rsid w:val="00D63BE6"/>
    <w:rsid w:val="00D6430D"/>
    <w:rsid w:val="00D66188"/>
    <w:rsid w:val="00D731F6"/>
    <w:rsid w:val="00D740CA"/>
    <w:rsid w:val="00D74875"/>
    <w:rsid w:val="00D7636C"/>
    <w:rsid w:val="00D85728"/>
    <w:rsid w:val="00D95481"/>
    <w:rsid w:val="00D97699"/>
    <w:rsid w:val="00D97F2B"/>
    <w:rsid w:val="00DB2467"/>
    <w:rsid w:val="00DC5BDD"/>
    <w:rsid w:val="00DC7A13"/>
    <w:rsid w:val="00DD472B"/>
    <w:rsid w:val="00DE1F0E"/>
    <w:rsid w:val="00DF2997"/>
    <w:rsid w:val="00DF4452"/>
    <w:rsid w:val="00E04031"/>
    <w:rsid w:val="00E10BC4"/>
    <w:rsid w:val="00E1415D"/>
    <w:rsid w:val="00E15645"/>
    <w:rsid w:val="00E2120B"/>
    <w:rsid w:val="00E323E9"/>
    <w:rsid w:val="00E34018"/>
    <w:rsid w:val="00E361E6"/>
    <w:rsid w:val="00E437D2"/>
    <w:rsid w:val="00E55751"/>
    <w:rsid w:val="00E661DA"/>
    <w:rsid w:val="00EA014B"/>
    <w:rsid w:val="00EA2311"/>
    <w:rsid w:val="00EB34E1"/>
    <w:rsid w:val="00EC2DF4"/>
    <w:rsid w:val="00EC7BC3"/>
    <w:rsid w:val="00ED2F63"/>
    <w:rsid w:val="00ED7600"/>
    <w:rsid w:val="00EF1517"/>
    <w:rsid w:val="00EF388A"/>
    <w:rsid w:val="00EF4341"/>
    <w:rsid w:val="00EF6073"/>
    <w:rsid w:val="00EF698B"/>
    <w:rsid w:val="00EF69DD"/>
    <w:rsid w:val="00F11D0E"/>
    <w:rsid w:val="00F1362C"/>
    <w:rsid w:val="00F279C2"/>
    <w:rsid w:val="00F30FFA"/>
    <w:rsid w:val="00F3618C"/>
    <w:rsid w:val="00F414F1"/>
    <w:rsid w:val="00F44733"/>
    <w:rsid w:val="00F47210"/>
    <w:rsid w:val="00F474D7"/>
    <w:rsid w:val="00F508B8"/>
    <w:rsid w:val="00F545CD"/>
    <w:rsid w:val="00F54F5A"/>
    <w:rsid w:val="00F72CB1"/>
    <w:rsid w:val="00F8215E"/>
    <w:rsid w:val="00F824F5"/>
    <w:rsid w:val="00F9081E"/>
    <w:rsid w:val="00F9374D"/>
    <w:rsid w:val="00FA39DD"/>
    <w:rsid w:val="00FA3A33"/>
    <w:rsid w:val="00FA6E62"/>
    <w:rsid w:val="00FB54FF"/>
    <w:rsid w:val="00FC0986"/>
    <w:rsid w:val="00FC29B9"/>
    <w:rsid w:val="00FC2CD5"/>
    <w:rsid w:val="00FC37FB"/>
    <w:rsid w:val="00FC6FD3"/>
    <w:rsid w:val="00FE305C"/>
    <w:rsid w:val="00FF0301"/>
    <w:rsid w:val="00FF3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4A4"/>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NormalWeb">
    <w:name w:val="Normal (Web)"/>
    <w:basedOn w:val="Normal"/>
    <w:uiPriority w:val="99"/>
    <w:semiHidden/>
    <w:unhideWhenUsed/>
    <w:rsid w:val="00DF4452"/>
    <w:pPr>
      <w:spacing w:before="100" w:beforeAutospacing="1" w:after="100" w:afterAutospacing="1" w:line="240" w:lineRule="auto"/>
      <w:jc w:val="left"/>
    </w:pPr>
    <w:rPr>
      <w:rFonts w:eastAsia="Times New Roman" w:cs="Times New Roman"/>
      <w:sz w:val="24"/>
      <w:szCs w:val="24"/>
    </w:rPr>
  </w:style>
  <w:style w:type="paragraph" w:styleId="Revision">
    <w:name w:val="Revision"/>
    <w:hidden/>
    <w:uiPriority w:val="99"/>
    <w:semiHidden/>
    <w:rsid w:val="00C41FA0"/>
    <w:pPr>
      <w:spacing w:after="0" w:line="240" w:lineRule="auto"/>
    </w:pPr>
    <w:rPr>
      <w:rFonts w:ascii="Times New Roman" w:hAnsi="Times New Roman"/>
      <w:sz w:val="20"/>
    </w:rPr>
  </w:style>
  <w:style w:type="paragraph" w:styleId="Header">
    <w:name w:val="header"/>
    <w:basedOn w:val="Normal"/>
    <w:link w:val="HeaderChar"/>
    <w:uiPriority w:val="99"/>
    <w:unhideWhenUsed/>
    <w:rsid w:val="009F68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683C"/>
    <w:rPr>
      <w:rFonts w:ascii="Times New Roman" w:hAnsi="Times New Roman"/>
      <w:sz w:val="20"/>
    </w:rPr>
  </w:style>
  <w:style w:type="paragraph" w:styleId="Footer">
    <w:name w:val="footer"/>
    <w:basedOn w:val="Normal"/>
    <w:link w:val="FooterChar"/>
    <w:uiPriority w:val="99"/>
    <w:unhideWhenUsed/>
    <w:rsid w:val="009F68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683C"/>
    <w:rPr>
      <w:rFonts w:ascii="Times New Roman" w:hAnsi="Times New Roman"/>
      <w:sz w:val="20"/>
    </w:rPr>
  </w:style>
  <w:style w:type="character" w:customStyle="1" w:styleId="ui-provider">
    <w:name w:val="ui-provider"/>
    <w:basedOn w:val="DefaultParagraphFont"/>
    <w:rsid w:val="002202E8"/>
  </w:style>
  <w:style w:type="character" w:styleId="FollowedHyperlink">
    <w:name w:val="FollowedHyperlink"/>
    <w:basedOn w:val="DefaultParagraphFont"/>
    <w:uiPriority w:val="99"/>
    <w:semiHidden/>
    <w:unhideWhenUsed/>
    <w:rsid w:val="001662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87825">
      <w:bodyDiv w:val="1"/>
      <w:marLeft w:val="0"/>
      <w:marRight w:val="0"/>
      <w:marTop w:val="0"/>
      <w:marBottom w:val="0"/>
      <w:divBdr>
        <w:top w:val="none" w:sz="0" w:space="0" w:color="auto"/>
        <w:left w:val="none" w:sz="0" w:space="0" w:color="auto"/>
        <w:bottom w:val="none" w:sz="0" w:space="0" w:color="auto"/>
        <w:right w:val="none" w:sz="0" w:space="0" w:color="auto"/>
      </w:divBdr>
    </w:div>
    <w:div w:id="591544958">
      <w:bodyDiv w:val="1"/>
      <w:marLeft w:val="0"/>
      <w:marRight w:val="0"/>
      <w:marTop w:val="0"/>
      <w:marBottom w:val="0"/>
      <w:divBdr>
        <w:top w:val="none" w:sz="0" w:space="0" w:color="auto"/>
        <w:left w:val="none" w:sz="0" w:space="0" w:color="auto"/>
        <w:bottom w:val="none" w:sz="0" w:space="0" w:color="auto"/>
        <w:right w:val="none" w:sz="0" w:space="0" w:color="auto"/>
      </w:divBdr>
    </w:div>
    <w:div w:id="768090198">
      <w:bodyDiv w:val="1"/>
      <w:marLeft w:val="0"/>
      <w:marRight w:val="0"/>
      <w:marTop w:val="0"/>
      <w:marBottom w:val="0"/>
      <w:divBdr>
        <w:top w:val="none" w:sz="0" w:space="0" w:color="auto"/>
        <w:left w:val="none" w:sz="0" w:space="0" w:color="auto"/>
        <w:bottom w:val="none" w:sz="0" w:space="0" w:color="auto"/>
        <w:right w:val="none" w:sz="0" w:space="0" w:color="auto"/>
      </w:divBdr>
    </w:div>
    <w:div w:id="789860859">
      <w:bodyDiv w:val="1"/>
      <w:marLeft w:val="0"/>
      <w:marRight w:val="0"/>
      <w:marTop w:val="0"/>
      <w:marBottom w:val="0"/>
      <w:divBdr>
        <w:top w:val="none" w:sz="0" w:space="0" w:color="auto"/>
        <w:left w:val="none" w:sz="0" w:space="0" w:color="auto"/>
        <w:bottom w:val="none" w:sz="0" w:space="0" w:color="auto"/>
        <w:right w:val="none" w:sz="0" w:space="0" w:color="auto"/>
      </w:divBdr>
    </w:div>
    <w:div w:id="1580022104">
      <w:bodyDiv w:val="1"/>
      <w:marLeft w:val="0"/>
      <w:marRight w:val="0"/>
      <w:marTop w:val="0"/>
      <w:marBottom w:val="0"/>
      <w:divBdr>
        <w:top w:val="none" w:sz="0" w:space="0" w:color="auto"/>
        <w:left w:val="none" w:sz="0" w:space="0" w:color="auto"/>
        <w:bottom w:val="none" w:sz="0" w:space="0" w:color="auto"/>
        <w:right w:val="none" w:sz="0" w:space="0" w:color="auto"/>
      </w:divBdr>
    </w:div>
    <w:div w:id="203341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5AIRPNAIUNRU-1328258698-20584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https://nokia.sharepoint.com/sites/c5g/5gradio/_layouts/15/DocIdRedir.aspx?ID=5AIRPNAIUNRU-1328258698-20584</Url>
      <Description>5AIRPNAIUNRU-1328258698-20584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9970F378-E3CB-46C8-BF28-77A62F9C9292}">
  <ds:schemaRefs>
    <ds:schemaRef ds:uri="Microsoft.SharePoint.Taxonomy.ContentTypeSync"/>
  </ds:schemaRefs>
</ds:datastoreItem>
</file>

<file path=customXml/itemProps3.xml><?xml version="1.0" encoding="utf-8"?>
<ds:datastoreItem xmlns:ds="http://schemas.openxmlformats.org/officeDocument/2006/customXml" ds:itemID="{8C0CFB0C-1A99-43CC-B552-C7777BD1C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45548-4629-407E-806A-606C3FD373DF}">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DFEFAE26-0DBE-4D40-B0EA-48810032FED0}">
  <ds:schemaRefs>
    <ds:schemaRef ds:uri="http://schemas.microsoft.com/sharepoint/v3/contenttype/forms"/>
  </ds:schemaRefs>
</ds:datastoreItem>
</file>

<file path=customXml/itemProps6.xml><?xml version="1.0" encoding="utf-8"?>
<ds:datastoreItem xmlns:ds="http://schemas.openxmlformats.org/officeDocument/2006/customXml" ds:itemID="{4D8388D2-7081-4BA2-8AD5-3A05DA4F9A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Links>
    <vt:vector size="36" baseType="variant">
      <vt:variant>
        <vt:i4>1507376</vt:i4>
      </vt:variant>
      <vt:variant>
        <vt:i4>17</vt:i4>
      </vt:variant>
      <vt:variant>
        <vt:i4>0</vt:i4>
      </vt:variant>
      <vt:variant>
        <vt:i4>5</vt:i4>
      </vt:variant>
      <vt:variant>
        <vt:lpwstr/>
      </vt:variant>
      <vt:variant>
        <vt:lpwstr>_Toc132027147</vt:lpwstr>
      </vt:variant>
      <vt:variant>
        <vt:i4>1507376</vt:i4>
      </vt:variant>
      <vt:variant>
        <vt:i4>14</vt:i4>
      </vt:variant>
      <vt:variant>
        <vt:i4>0</vt:i4>
      </vt:variant>
      <vt:variant>
        <vt:i4>5</vt:i4>
      </vt:variant>
      <vt:variant>
        <vt:lpwstr/>
      </vt:variant>
      <vt:variant>
        <vt:lpwstr>_Toc132027146</vt:lpwstr>
      </vt:variant>
      <vt:variant>
        <vt:i4>1507376</vt:i4>
      </vt:variant>
      <vt:variant>
        <vt:i4>11</vt:i4>
      </vt:variant>
      <vt:variant>
        <vt:i4>0</vt:i4>
      </vt:variant>
      <vt:variant>
        <vt:i4>5</vt:i4>
      </vt:variant>
      <vt:variant>
        <vt:lpwstr/>
      </vt:variant>
      <vt:variant>
        <vt:lpwstr>_Toc132027145</vt:lpwstr>
      </vt:variant>
      <vt:variant>
        <vt:i4>1507376</vt:i4>
      </vt:variant>
      <vt:variant>
        <vt:i4>8</vt:i4>
      </vt:variant>
      <vt:variant>
        <vt:i4>0</vt:i4>
      </vt:variant>
      <vt:variant>
        <vt:i4>5</vt:i4>
      </vt:variant>
      <vt:variant>
        <vt:lpwstr/>
      </vt:variant>
      <vt:variant>
        <vt:lpwstr>_Toc132027144</vt:lpwstr>
      </vt:variant>
      <vt:variant>
        <vt:i4>1507376</vt:i4>
      </vt:variant>
      <vt:variant>
        <vt:i4>5</vt:i4>
      </vt:variant>
      <vt:variant>
        <vt:i4>0</vt:i4>
      </vt:variant>
      <vt:variant>
        <vt:i4>5</vt:i4>
      </vt:variant>
      <vt:variant>
        <vt:lpwstr/>
      </vt:variant>
      <vt:variant>
        <vt:lpwstr>_Toc132027143</vt:lpwstr>
      </vt:variant>
      <vt:variant>
        <vt:i4>1507376</vt:i4>
      </vt:variant>
      <vt:variant>
        <vt:i4>2</vt:i4>
      </vt:variant>
      <vt:variant>
        <vt:i4>0</vt:i4>
      </vt:variant>
      <vt:variant>
        <vt:i4>5</vt:i4>
      </vt:variant>
      <vt:variant>
        <vt:lpwstr/>
      </vt:variant>
      <vt:variant>
        <vt:lpwstr>_Toc132027142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2023-04-10T11:02:00Z</dcterms:created>
  <dcterms:modified xsi:type="dcterms:W3CDTF">2023-04-10T11:03:00Z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7556248f-b657-4769-a799-89182dd1f16f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