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17BB4" w14:textId="473A6572"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5D4370" w:rsidRPr="005D4370">
        <w:rPr>
          <w:rFonts w:ascii="Arial" w:eastAsia="SimSun" w:hAnsi="Arial" w:cs="Times New Roman"/>
          <w:b/>
          <w:bCs/>
          <w:sz w:val="24"/>
          <w:szCs w:val="20"/>
          <w:lang w:eastAsia="ja-JP"/>
        </w:rPr>
        <w:t>R4-2304</w:t>
      </w:r>
      <w:r w:rsidR="005D4370">
        <w:rPr>
          <w:rFonts w:ascii="Arial" w:eastAsia="SimSun" w:hAnsi="Arial" w:cs="Times New Roman"/>
          <w:b/>
          <w:bCs/>
          <w:sz w:val="24"/>
          <w:szCs w:val="20"/>
          <w:lang w:eastAsia="ja-JP"/>
        </w:rPr>
        <w:t>499</w:t>
      </w:r>
    </w:p>
    <w:p w14:paraId="5403A0CD"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A3CAE58"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4F91F9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43DB17C" w14:textId="6E3ED8BF"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94DFA">
        <w:rPr>
          <w:rFonts w:ascii="Arial" w:eastAsia="Calibri" w:hAnsi="Arial" w:cs="Arial"/>
          <w:b/>
          <w:bCs/>
          <w:sz w:val="24"/>
        </w:rPr>
        <w:t>Discussion on ATG Timing Requirements</w:t>
      </w:r>
    </w:p>
    <w:p w14:paraId="1DCE9C6B" w14:textId="40109959"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994DFA">
        <w:rPr>
          <w:rFonts w:ascii="Arial" w:eastAsia="MS Mincho" w:hAnsi="Arial" w:cs="Arial"/>
          <w:b/>
          <w:bCs/>
          <w:sz w:val="24"/>
          <w:szCs w:val="20"/>
        </w:rPr>
        <w:t>5.14.4.3</w:t>
      </w:r>
    </w:p>
    <w:p w14:paraId="1A537B7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FB3EF07" w14:textId="77777777" w:rsidR="00E323E9" w:rsidRPr="00EF698B" w:rsidRDefault="00E323E9" w:rsidP="00841BCD">
      <w:pPr>
        <w:tabs>
          <w:tab w:val="left" w:pos="1985"/>
        </w:tabs>
        <w:rPr>
          <w:rFonts w:ascii="Arial" w:eastAsia="Calibri" w:hAnsi="Arial" w:cs="Arial"/>
          <w:b/>
          <w:bCs/>
          <w:sz w:val="24"/>
        </w:rPr>
      </w:pPr>
    </w:p>
    <w:p w14:paraId="04E5A9E0"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79B2B10A" w14:textId="3A787C23" w:rsidR="00B542DA" w:rsidRDefault="00935232" w:rsidP="005C23A4">
      <w:r>
        <w:t xml:space="preserve">In </w:t>
      </w:r>
      <w:r>
        <w:fldChar w:fldCharType="begin"/>
      </w:r>
      <w:r>
        <w:instrText xml:space="preserve"> REF _Ref131674798 \r \h </w:instrText>
      </w:r>
      <w:r>
        <w:fldChar w:fldCharType="separate"/>
      </w:r>
      <w:r>
        <w:t>[1]</w:t>
      </w:r>
      <w:r>
        <w:fldChar w:fldCharType="end"/>
      </w:r>
      <w:r>
        <w:t xml:space="preserve">, the work item for Air-to-Ground communication was approved to discuss requirements for the deployments of ATG UEs. The discussions are intended to address the characteristics of ATG networks, such as </w:t>
      </w:r>
      <w:r w:rsidR="006838BC">
        <w:t xml:space="preserve">extremely large inter-site distance, and the list of objectives for RRM discussion include  </w:t>
      </w:r>
      <w:r w:rsidR="006838BC" w:rsidRPr="000E761E">
        <w:rPr>
          <w:i/>
          <w:iCs/>
        </w:rPr>
        <w:t>“</w:t>
      </w:r>
      <w:r w:rsidR="000E761E">
        <w:rPr>
          <w:i/>
          <w:iCs/>
        </w:rPr>
        <w:t>c</w:t>
      </w:r>
      <w:r w:rsidR="006838BC" w:rsidRPr="000E761E">
        <w:rPr>
          <w:i/>
          <w:iCs/>
        </w:rPr>
        <w:t>onsidering the different nature of ATG UEs and their view of the network, increased cell sizes and other relevant aspects</w:t>
      </w:r>
      <w:r w:rsidR="000E761E" w:rsidRPr="000E761E">
        <w:rPr>
          <w:i/>
          <w:iCs/>
        </w:rPr>
        <w:t>”</w:t>
      </w:r>
      <w:r w:rsidR="000E761E">
        <w:rPr>
          <w:i/>
          <w:iCs/>
        </w:rPr>
        <w:t xml:space="preserve">. </w:t>
      </w:r>
      <w:r w:rsidR="000E761E">
        <w:t xml:space="preserve">The work has been progressing in RAN4 since then, and in RAN4 #106, a Way-Forward on the topic was discussed and approved in </w:t>
      </w:r>
      <w:r w:rsidR="008D142A">
        <w:fldChar w:fldCharType="begin"/>
      </w:r>
      <w:r w:rsidR="008D142A">
        <w:instrText xml:space="preserve"> REF _Ref131678419 \r \h </w:instrText>
      </w:r>
      <w:r w:rsidR="008D142A">
        <w:fldChar w:fldCharType="separate"/>
      </w:r>
      <w:r w:rsidR="008D142A">
        <w:t>[2]</w:t>
      </w:r>
      <w:r w:rsidR="008D142A">
        <w:fldChar w:fldCharType="end"/>
      </w:r>
      <w:r w:rsidR="000E761E">
        <w:t>. The WF presents still some relevant open issues to be addressed in this Work Item. In this document we’ll focus our contributions on the open item regarding:</w:t>
      </w:r>
    </w:p>
    <w:p w14:paraId="2C3F654A" w14:textId="69CF6084" w:rsidR="000E761E" w:rsidRPr="000E761E" w:rsidRDefault="000E761E" w:rsidP="000E761E">
      <w:pPr>
        <w:pStyle w:val="ListParagraph"/>
        <w:numPr>
          <w:ilvl w:val="0"/>
          <w:numId w:val="27"/>
        </w:numPr>
      </w:pPr>
      <w:r>
        <w:t>ATG Timing Requirements</w:t>
      </w:r>
    </w:p>
    <w:p w14:paraId="3EAEB011" w14:textId="77777777" w:rsidR="0060543D" w:rsidRPr="00EF698B" w:rsidRDefault="0060543D" w:rsidP="005C23A4"/>
    <w:p w14:paraId="4EA546E1" w14:textId="77777777" w:rsidR="003B659E" w:rsidRPr="00EF698B" w:rsidRDefault="003B659E" w:rsidP="00AE56B1">
      <w:pPr>
        <w:pStyle w:val="RAN4H1"/>
        <w:rPr>
          <w:lang w:val="en-US"/>
        </w:rPr>
      </w:pPr>
      <w:bookmarkStart w:id="4" w:name="_Toc116995842"/>
      <w:r w:rsidRPr="00EF698B">
        <w:rPr>
          <w:lang w:val="en-US"/>
        </w:rPr>
        <w:t>Discussion</w:t>
      </w:r>
      <w:bookmarkEnd w:id="4"/>
    </w:p>
    <w:p w14:paraId="1EFF92D9" w14:textId="77777777" w:rsidR="008D142A" w:rsidRDefault="008D142A" w:rsidP="00300956">
      <w:r>
        <w:t xml:space="preserve">In </w:t>
      </w:r>
      <w:r>
        <w:fldChar w:fldCharType="begin"/>
      </w:r>
      <w:r>
        <w:instrText xml:space="preserve"> REF _Ref131678419 \r \h </w:instrText>
      </w:r>
      <w:r>
        <w:fldChar w:fldCharType="separate"/>
      </w:r>
      <w:r>
        <w:t>[2]</w:t>
      </w:r>
      <w:r>
        <w:fldChar w:fldCharType="end"/>
      </w:r>
      <w:r>
        <w:t xml:space="preserve">, several timing aspects for ATG operation were discussed. In this contribution we will focus on some of the key open issues on the cited WF. </w:t>
      </w:r>
    </w:p>
    <w:p w14:paraId="7B842F51" w14:textId="399F0972" w:rsidR="008D142A" w:rsidRDefault="008D142A" w:rsidP="008D142A">
      <w:pPr>
        <w:pStyle w:val="RAN4H2"/>
      </w:pPr>
      <w:r>
        <w:t xml:space="preserve">Very Large </w:t>
      </w:r>
      <w:proofErr w:type="gramStart"/>
      <w:r>
        <w:t>Round Trip</w:t>
      </w:r>
      <w:proofErr w:type="gramEnd"/>
      <w:r>
        <w:t xml:space="preserve"> Times</w:t>
      </w:r>
    </w:p>
    <w:p w14:paraId="6F4885EB" w14:textId="0B713209" w:rsidR="008D142A" w:rsidRDefault="008D142A" w:rsidP="00300956">
      <w:r>
        <w:t xml:space="preserve">According to previous agreements, and the WID, ATG cells are expected to be very large, with extremely high ISD. RAN4 has previously agreed to consider cells as large as 200 kms. However, ATG exemplary bands in the WID include bands n78 and n79, which are TDD bands. This has led to an evaluation of the potential operational problems to be faced in ATG when combining such large cells with TDD bands </w:t>
      </w:r>
      <w:r>
        <w:fldChar w:fldCharType="begin"/>
      </w:r>
      <w:r>
        <w:instrText xml:space="preserve"> REF _Ref131678783 \r \h </w:instrText>
      </w:r>
      <w:r>
        <w:fldChar w:fldCharType="separate"/>
      </w:r>
      <w:r>
        <w:t>[3]</w:t>
      </w:r>
      <w:r>
        <w:fldChar w:fldCharType="end"/>
      </w:r>
      <w:r>
        <w:t xml:space="preserve">. The issue was further captured in the WF </w:t>
      </w:r>
      <w:r>
        <w:fldChar w:fldCharType="begin"/>
      </w:r>
      <w:r>
        <w:instrText xml:space="preserve"> REF _Ref131678419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17"/>
      </w:tblGrid>
      <w:tr w:rsidR="008D142A" w14:paraId="712AD383" w14:textId="77777777" w:rsidTr="008D142A">
        <w:tc>
          <w:tcPr>
            <w:tcW w:w="9617" w:type="dxa"/>
          </w:tcPr>
          <w:p w14:paraId="62399A3B" w14:textId="77777777" w:rsidR="000322BE" w:rsidRDefault="000322BE" w:rsidP="000322BE">
            <w:pPr>
              <w:rPr>
                <w:b/>
                <w:szCs w:val="20"/>
                <w:u w:val="single"/>
                <w:lang w:eastAsia="ko-KR"/>
              </w:rPr>
            </w:pPr>
            <w:r w:rsidRPr="00ED048A">
              <w:rPr>
                <w:b/>
                <w:szCs w:val="20"/>
                <w:u w:val="single"/>
                <w:lang w:eastAsia="ko-KR"/>
              </w:rPr>
              <w:t>Issue 3-2-1: Guard period issue due to large TDD cell and coexistence demand</w:t>
            </w:r>
          </w:p>
          <w:p w14:paraId="56DEBE78" w14:textId="77777777" w:rsidR="000322BE" w:rsidRPr="00ED048A" w:rsidRDefault="000322BE" w:rsidP="000322BE">
            <w:pPr>
              <w:pStyle w:val="ListParagraph"/>
              <w:numPr>
                <w:ilvl w:val="0"/>
                <w:numId w:val="28"/>
              </w:numPr>
              <w:spacing w:after="120"/>
              <w:ind w:hanging="357"/>
              <w:contextualSpacing w:val="0"/>
              <w:rPr>
                <w:rFonts w:eastAsia="SimSun" w:cs="Times New Roman"/>
                <w:szCs w:val="20"/>
              </w:rPr>
            </w:pPr>
            <w:r w:rsidRPr="00ED048A">
              <w:rPr>
                <w:rFonts w:eastAsia="SimSun" w:cs="Times New Roman"/>
                <w:szCs w:val="20"/>
              </w:rPr>
              <w:t>Option 1: RAN4 to investigate remedies to large TDD cells and ATG and TN TDD coexistence like: TDD stand alone, surrendering slots or Full Duplex at ATG UE terminal.</w:t>
            </w:r>
          </w:p>
          <w:p w14:paraId="3A3DF728" w14:textId="77777777" w:rsidR="000322BE" w:rsidRPr="00ED048A" w:rsidRDefault="000322BE" w:rsidP="000322BE">
            <w:pPr>
              <w:pStyle w:val="ListParagraph"/>
              <w:numPr>
                <w:ilvl w:val="1"/>
                <w:numId w:val="28"/>
              </w:numPr>
              <w:spacing w:after="120"/>
              <w:contextualSpacing w:val="0"/>
              <w:rPr>
                <w:rFonts w:eastAsia="SimSun" w:cs="Times New Roman"/>
                <w:szCs w:val="20"/>
              </w:rPr>
            </w:pPr>
            <w:r w:rsidRPr="00ED048A">
              <w:rPr>
                <w:rFonts w:eastAsia="SimSun" w:cs="Times New Roman"/>
                <w:szCs w:val="20"/>
              </w:rPr>
              <w:t>The cell radius can be more than 200 km for ISD 200km.</w:t>
            </w:r>
          </w:p>
          <w:p w14:paraId="763F9324" w14:textId="77777777" w:rsidR="000322BE" w:rsidRPr="00ED048A" w:rsidRDefault="000322BE" w:rsidP="000322BE">
            <w:pPr>
              <w:pStyle w:val="ListParagraph"/>
              <w:numPr>
                <w:ilvl w:val="1"/>
                <w:numId w:val="28"/>
              </w:numPr>
              <w:spacing w:after="120"/>
              <w:contextualSpacing w:val="0"/>
              <w:rPr>
                <w:rFonts w:eastAsia="SimSun" w:cs="Times New Roman"/>
                <w:szCs w:val="20"/>
              </w:rPr>
            </w:pPr>
            <w:r w:rsidRPr="00ED048A">
              <w:rPr>
                <w:rFonts w:eastAsia="SimSun" w:cs="Times New Roman"/>
                <w:szCs w:val="20"/>
              </w:rPr>
              <w:t>The Guard period, T</w:t>
            </w:r>
            <w:r w:rsidRPr="003E7DD4">
              <w:rPr>
                <w:rFonts w:eastAsia="SimSun" w:cs="Times New Roman"/>
                <w:szCs w:val="20"/>
                <w:vertAlign w:val="subscript"/>
              </w:rPr>
              <w:t>GUARD</w:t>
            </w:r>
            <w:r w:rsidRPr="00ED048A">
              <w:rPr>
                <w:rFonts w:eastAsia="SimSun" w:cs="Times New Roman"/>
                <w:szCs w:val="20"/>
              </w:rPr>
              <w:t xml:space="preserve"> &gt; 1.33 </w:t>
            </w:r>
            <w:proofErr w:type="spellStart"/>
            <w:r w:rsidRPr="00ED048A">
              <w:rPr>
                <w:rFonts w:eastAsia="SimSun" w:cs="Times New Roman"/>
                <w:szCs w:val="20"/>
              </w:rPr>
              <w:t>ms</w:t>
            </w:r>
            <w:proofErr w:type="spellEnd"/>
            <w:r w:rsidRPr="00ED048A">
              <w:rPr>
                <w:rFonts w:eastAsia="SimSun" w:cs="Times New Roman"/>
                <w:szCs w:val="20"/>
              </w:rPr>
              <w:t xml:space="preserve"> for a cell radius of 200 km.</w:t>
            </w:r>
          </w:p>
          <w:p w14:paraId="7FFCD591" w14:textId="77777777" w:rsidR="000322BE" w:rsidRPr="00ED048A" w:rsidRDefault="000322BE" w:rsidP="000322BE">
            <w:pPr>
              <w:pStyle w:val="ListParagraph"/>
              <w:numPr>
                <w:ilvl w:val="1"/>
                <w:numId w:val="28"/>
              </w:numPr>
              <w:spacing w:after="120"/>
              <w:contextualSpacing w:val="0"/>
              <w:rPr>
                <w:rFonts w:eastAsia="SimSun" w:cs="Times New Roman"/>
                <w:szCs w:val="20"/>
              </w:rPr>
            </w:pPr>
            <w:r w:rsidRPr="00ED048A">
              <w:rPr>
                <w:rFonts w:eastAsia="SimSun" w:cs="Times New Roman"/>
                <w:szCs w:val="20"/>
              </w:rPr>
              <w:t>Large TDD cells are inefficient due to large GP, if we switch often.</w:t>
            </w:r>
          </w:p>
          <w:p w14:paraId="219A27DE" w14:textId="77777777" w:rsidR="000322BE" w:rsidRPr="00ED048A" w:rsidRDefault="000322BE" w:rsidP="000322BE">
            <w:pPr>
              <w:pStyle w:val="ListParagraph"/>
              <w:numPr>
                <w:ilvl w:val="1"/>
                <w:numId w:val="28"/>
              </w:numPr>
              <w:spacing w:after="120"/>
              <w:contextualSpacing w:val="0"/>
              <w:rPr>
                <w:rFonts w:eastAsia="SimSun" w:cs="Times New Roman"/>
                <w:szCs w:val="20"/>
              </w:rPr>
            </w:pPr>
            <w:r w:rsidRPr="00ED048A">
              <w:rPr>
                <w:rFonts w:eastAsia="SimSun" w:cs="Times New Roman"/>
                <w:szCs w:val="20"/>
              </w:rPr>
              <w:t xml:space="preserve">The largest cell radius will define the GP for all TDD cells and UL/DL configuration </w:t>
            </w:r>
            <w:proofErr w:type="gramStart"/>
            <w:r w:rsidRPr="00ED048A">
              <w:rPr>
                <w:rFonts w:eastAsia="SimSun" w:cs="Times New Roman"/>
                <w:szCs w:val="20"/>
              </w:rPr>
              <w:t>has to</w:t>
            </w:r>
            <w:proofErr w:type="gramEnd"/>
            <w:r w:rsidRPr="00ED048A">
              <w:rPr>
                <w:rFonts w:eastAsia="SimSun" w:cs="Times New Roman"/>
                <w:szCs w:val="20"/>
              </w:rPr>
              <w:t xml:space="preserve"> be the same for all coexisting (overlapping) TDD networks.</w:t>
            </w:r>
          </w:p>
          <w:p w14:paraId="31F843CB" w14:textId="77777777" w:rsidR="000322BE" w:rsidRDefault="000322BE" w:rsidP="000322BE">
            <w:pPr>
              <w:pStyle w:val="ListParagraph"/>
              <w:numPr>
                <w:ilvl w:val="1"/>
                <w:numId w:val="28"/>
              </w:numPr>
              <w:spacing w:after="120"/>
              <w:contextualSpacing w:val="0"/>
              <w:rPr>
                <w:rFonts w:eastAsia="SimSun" w:cs="Times New Roman"/>
                <w:szCs w:val="20"/>
              </w:rPr>
            </w:pPr>
            <w:r w:rsidRPr="00ED048A">
              <w:rPr>
                <w:rFonts w:eastAsia="SimSun" w:cs="Times New Roman"/>
                <w:szCs w:val="20"/>
              </w:rPr>
              <w:t xml:space="preserve">If the </w:t>
            </w:r>
            <w:proofErr w:type="spellStart"/>
            <w:r w:rsidRPr="00ED048A">
              <w:rPr>
                <w:rFonts w:eastAsia="SimSun" w:cs="Times New Roman"/>
                <w:szCs w:val="20"/>
              </w:rPr>
              <w:t>gNB</w:t>
            </w:r>
            <w:proofErr w:type="spellEnd"/>
            <w:r w:rsidRPr="00ED048A">
              <w:rPr>
                <w:rFonts w:eastAsia="SimSun" w:cs="Times New Roman"/>
                <w:szCs w:val="20"/>
              </w:rPr>
              <w:t xml:space="preserve"> receives information on the propagation delay to the UE, then at least half of the GP could be removed.</w:t>
            </w:r>
          </w:p>
          <w:p w14:paraId="1C4D9BEA" w14:textId="77777777" w:rsidR="000322BE" w:rsidRPr="00ED048A" w:rsidRDefault="000322BE" w:rsidP="000322BE">
            <w:pPr>
              <w:pStyle w:val="ListParagraph"/>
              <w:numPr>
                <w:ilvl w:val="0"/>
                <w:numId w:val="28"/>
              </w:numPr>
              <w:spacing w:after="120"/>
              <w:contextualSpacing w:val="0"/>
              <w:rPr>
                <w:rFonts w:eastAsia="SimSun" w:cs="Times New Roman"/>
                <w:szCs w:val="20"/>
              </w:rPr>
            </w:pPr>
            <w:r>
              <w:rPr>
                <w:rFonts w:eastAsia="SimSun" w:cs="Times New Roman" w:hint="eastAsia"/>
                <w:szCs w:val="20"/>
              </w:rPr>
              <w:t>O</w:t>
            </w:r>
            <w:r>
              <w:rPr>
                <w:rFonts w:eastAsia="SimSun" w:cs="Times New Roman"/>
                <w:szCs w:val="20"/>
              </w:rPr>
              <w:t>ther Options are not precluded.</w:t>
            </w:r>
          </w:p>
          <w:p w14:paraId="6B6A8986" w14:textId="77777777" w:rsidR="008D142A" w:rsidRDefault="008D142A" w:rsidP="00300956"/>
        </w:tc>
      </w:tr>
    </w:tbl>
    <w:p w14:paraId="10994C8D" w14:textId="77777777" w:rsidR="008D142A" w:rsidRDefault="008D142A" w:rsidP="00300956"/>
    <w:p w14:paraId="5881F380" w14:textId="67C533E8" w:rsidR="008D142A" w:rsidRDefault="000322BE" w:rsidP="00300956">
      <w:r>
        <w:t xml:space="preserve">The common guard period created in a TDD cell, must be at least as large as the largest RTT (due to timing advance) for a UE in this cell. This is exemplified on the </w:t>
      </w:r>
      <w:r>
        <w:fldChar w:fldCharType="begin"/>
      </w:r>
      <w:r>
        <w:instrText xml:space="preserve"> REF _Ref131679114 \h </w:instrText>
      </w:r>
      <w:r>
        <w:fldChar w:fldCharType="separate"/>
      </w:r>
      <w:r>
        <w:t xml:space="preserve">Figure </w:t>
      </w:r>
      <w:r>
        <w:rPr>
          <w:noProof/>
        </w:rPr>
        <w:t>1</w:t>
      </w:r>
      <w:r>
        <w:fldChar w:fldCharType="end"/>
      </w:r>
      <w:r>
        <w:t xml:space="preserve">. In this Figure, if UE 1 was representative of the largest RTT to </w:t>
      </w:r>
      <w:r>
        <w:lastRenderedPageBreak/>
        <w:t xml:space="preserve">be experienced by </w:t>
      </w:r>
      <w:proofErr w:type="gramStart"/>
      <w:r>
        <w:t>an</w:t>
      </w:r>
      <w:proofErr w:type="gramEnd"/>
      <w:r>
        <w:t xml:space="preserve"> UE, one slot, or even slightly less would be required to be muted as guard period to allow the UE to connect to the cell. However, as UE 2 is the representative of the largest RTT, to avoid that UE2 starts UL transmission in a slot concurrent with DL reception, it is necessary to increase the common guard period in the cell.</w:t>
      </w:r>
    </w:p>
    <w:p w14:paraId="7DD44450" w14:textId="77777777" w:rsidR="000322BE" w:rsidRDefault="000322BE" w:rsidP="000322BE">
      <w:pPr>
        <w:keepNext/>
      </w:pPr>
      <w:r>
        <w:rPr>
          <w:noProof/>
        </w:rPr>
        <w:drawing>
          <wp:inline distT="0" distB="0" distL="0" distR="0" wp14:anchorId="2CDA14D5" wp14:editId="1A97F000">
            <wp:extent cx="5756910" cy="30954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70210" cy="3102620"/>
                    </a:xfrm>
                    <a:prstGeom prst="rect">
                      <a:avLst/>
                    </a:prstGeom>
                    <a:noFill/>
                  </pic:spPr>
                </pic:pic>
              </a:graphicData>
            </a:graphic>
          </wp:inline>
        </w:drawing>
      </w:r>
    </w:p>
    <w:p w14:paraId="68789EEE" w14:textId="134EFCD6" w:rsidR="008D142A" w:rsidRDefault="000322BE" w:rsidP="000322BE">
      <w:pPr>
        <w:pStyle w:val="Caption"/>
        <w:jc w:val="left"/>
      </w:pPr>
      <w:bookmarkStart w:id="5" w:name="_Ref131679114"/>
      <w:r>
        <w:t xml:space="preserve">Figure </w:t>
      </w:r>
      <w:r>
        <w:fldChar w:fldCharType="begin"/>
      </w:r>
      <w:r>
        <w:instrText xml:space="preserve"> SEQ Figure \* ARABIC </w:instrText>
      </w:r>
      <w:r>
        <w:fldChar w:fldCharType="separate"/>
      </w:r>
      <w:r>
        <w:rPr>
          <w:noProof/>
        </w:rPr>
        <w:t>1</w:t>
      </w:r>
      <w:r>
        <w:fldChar w:fldCharType="end"/>
      </w:r>
      <w:bookmarkEnd w:id="5"/>
      <w:r>
        <w:t>. Example of Required Guard Period for TDD operation for different UEs</w:t>
      </w:r>
    </w:p>
    <w:p w14:paraId="2B9B58EF" w14:textId="4A1B589E" w:rsidR="000322BE" w:rsidRDefault="000322BE" w:rsidP="000322BE">
      <w:pPr>
        <w:pStyle w:val="RAN4observation0"/>
        <w:rPr>
          <w:rFonts w:eastAsia="SimSun"/>
        </w:rPr>
      </w:pPr>
      <w:bookmarkStart w:id="6" w:name="_Toc131682167"/>
      <w:bookmarkStart w:id="7" w:name="_Toc131893998"/>
      <w:bookmarkStart w:id="8" w:name="_Toc131982965"/>
      <w:r>
        <w:t xml:space="preserve">In ATG, for cells of 200 kms, the minimum common guard period </w:t>
      </w:r>
      <w:proofErr w:type="gramStart"/>
      <w:r>
        <w:t>has to</w:t>
      </w:r>
      <w:proofErr w:type="gramEnd"/>
      <w:r>
        <w:t xml:space="preserve"> be equal to at least </w:t>
      </w:r>
      <w:r w:rsidRPr="00ED048A">
        <w:rPr>
          <w:rFonts w:eastAsia="SimSun"/>
        </w:rPr>
        <w:t xml:space="preserve">1.33 </w:t>
      </w:r>
      <w:proofErr w:type="spellStart"/>
      <w:r w:rsidRPr="00ED048A">
        <w:rPr>
          <w:rFonts w:eastAsia="SimSun"/>
        </w:rPr>
        <w:t>ms</w:t>
      </w:r>
      <w:proofErr w:type="spellEnd"/>
      <w:r>
        <w:rPr>
          <w:rFonts w:eastAsia="SimSun"/>
        </w:rPr>
        <w:t>.</w:t>
      </w:r>
      <w:bookmarkEnd w:id="6"/>
      <w:bookmarkEnd w:id="7"/>
      <w:bookmarkEnd w:id="8"/>
    </w:p>
    <w:p w14:paraId="16237D71" w14:textId="6387E754" w:rsidR="000322BE" w:rsidRDefault="007B63C0" w:rsidP="000322BE">
      <w:r>
        <w:t xml:space="preserve">This creates a problem of coexistence between TN and NTN cells sharing the same spectrum, as it becomes not feasible to manage the interference by smart allocation of the UL and DL slots. And this should be </w:t>
      </w:r>
      <w:proofErr w:type="gramStart"/>
      <w:r>
        <w:t>evaluate</w:t>
      </w:r>
      <w:proofErr w:type="gramEnd"/>
      <w:r>
        <w:t xml:space="preserve"> under the coexistence agenda. </w:t>
      </w:r>
    </w:p>
    <w:p w14:paraId="0651B911" w14:textId="77777777" w:rsidR="00C84910" w:rsidRDefault="007B63C0" w:rsidP="000322BE">
      <w:r>
        <w:t>From the RRM point of view,</w:t>
      </w:r>
      <w:r w:rsidR="00C84910">
        <w:t xml:space="preserve"> the importance of the GP is that the larger it is, the more it will “blank” the frame structure, reducing the duty cycle of the system. Therefore, an efficient allocation of the GP is preferred. If the network can have information about the actual TA utilized by the UE, the NW will be capable of more efficient allocation of the GP in a dedicated manner. </w:t>
      </w:r>
    </w:p>
    <w:p w14:paraId="36A5F400" w14:textId="1E8B6653" w:rsidR="00C84910" w:rsidRDefault="00C84910" w:rsidP="000322BE">
      <w:r>
        <w:t>RAN2 has already provided the capability for TA reporting, which is commonly used for NTN and HAPS, is TS 38.306:</w:t>
      </w:r>
    </w:p>
    <w:tbl>
      <w:tblPr>
        <w:tblStyle w:val="TableGrid"/>
        <w:tblW w:w="0" w:type="auto"/>
        <w:tblLook w:val="04A0" w:firstRow="1" w:lastRow="0" w:firstColumn="1" w:lastColumn="0" w:noHBand="0" w:noVBand="1"/>
      </w:tblPr>
      <w:tblGrid>
        <w:gridCol w:w="9617"/>
      </w:tblGrid>
      <w:tr w:rsidR="00C84910" w14:paraId="4BABBA00" w14:textId="77777777" w:rsidTr="00C84910">
        <w:tc>
          <w:tcPr>
            <w:tcW w:w="9617" w:type="dxa"/>
          </w:tcPr>
          <w:p w14:paraId="5C75EAA2" w14:textId="77777777" w:rsidR="00C84910" w:rsidRDefault="00C84910" w:rsidP="00C84910">
            <w:pPr>
              <w:pStyle w:val="TAL"/>
              <w:rPr>
                <w:b/>
                <w:i/>
              </w:rPr>
            </w:pPr>
            <w:r>
              <w:rPr>
                <w:b/>
                <w:i/>
              </w:rPr>
              <w:t>uplink-TA-Reporting-r17</w:t>
            </w:r>
          </w:p>
          <w:p w14:paraId="233537D5" w14:textId="32B73CC4" w:rsidR="00C84910" w:rsidRDefault="00C84910" w:rsidP="00C84910">
            <w:r>
              <w:rPr>
                <w:rFonts w:cs="Arial"/>
                <w:bCs/>
                <w:iCs/>
                <w:szCs w:val="18"/>
              </w:rPr>
              <w:t>Indicates whether the UE supports UE reporting of information related to TA pre-compensation as specified in TS 38.321 [8]</w:t>
            </w:r>
            <w:r>
              <w:rPr>
                <w:i/>
              </w:rPr>
              <w:t>.</w:t>
            </w:r>
            <w:r>
              <w:t xml:space="preserve"> </w:t>
            </w:r>
            <w:r>
              <w:rPr>
                <w:bCs/>
                <w:iCs/>
              </w:rPr>
              <w:t xml:space="preserve">UE indicating support of this feature shall also indicate support of </w:t>
            </w:r>
            <w:r>
              <w:rPr>
                <w:i/>
              </w:rPr>
              <w:t>uplinkPreCompensation-r17</w:t>
            </w:r>
            <w:r>
              <w:t xml:space="preserve"> </w:t>
            </w:r>
            <w:r>
              <w:rPr>
                <w:iCs/>
              </w:rPr>
              <w:t>for this band</w:t>
            </w:r>
            <w:r>
              <w:t>. This field is only applicable for bands in Table 5.2.2-1 in TS 38.101-5 [34] and HAPS operation bands in clause 5.2 of TS 38.104 [35].</w:t>
            </w:r>
          </w:p>
        </w:tc>
      </w:tr>
    </w:tbl>
    <w:p w14:paraId="6FC25B0D" w14:textId="6AB4D6EB" w:rsidR="007B63C0" w:rsidRDefault="007B63C0" w:rsidP="000322BE">
      <w:r>
        <w:t xml:space="preserve"> </w:t>
      </w:r>
    </w:p>
    <w:p w14:paraId="69440967" w14:textId="3F8855C5" w:rsidR="00C7029C" w:rsidRDefault="00C7029C" w:rsidP="000322BE">
      <w:r>
        <w:t xml:space="preserve">Another option is to utilize LMF functions to enable the calculation of the optimum gap period at the network side by accessing the position of the aircraft. </w:t>
      </w:r>
      <w:r w:rsidR="009D708F">
        <w:t xml:space="preserve">The uplink-TA-reporting depends on the indication </w:t>
      </w:r>
      <w:r w:rsidR="00CF3BE2">
        <w:t xml:space="preserve">by the network that the reporting is required. However, this depends on signalling that is commonly available only in SIB19. The usage of SIB19 is not yet agreed by RAN2 for the deployment of ATG. There is a likelihood that the information of the base station position will be provided in a different SI </w:t>
      </w:r>
      <w:r w:rsidR="00873C03">
        <w:t xml:space="preserve">that does not re-use all the parameters present in SIB19. </w:t>
      </w:r>
    </w:p>
    <w:p w14:paraId="2FB4455A" w14:textId="356B2DF0" w:rsidR="007B63C0" w:rsidRDefault="00AE5AEF" w:rsidP="00C7029C">
      <w:pPr>
        <w:pStyle w:val="RAN4proposal"/>
      </w:pPr>
      <w:bookmarkStart w:id="9" w:name="_Toc131682168"/>
      <w:bookmarkStart w:id="10" w:name="_Toc131893999"/>
      <w:bookmarkStart w:id="11" w:name="_Toc131982966"/>
      <w:r>
        <w:t xml:space="preserve">Utilize the LMF function for estimating the position of the aircraft and enable the calculation of the optimum gap period at the network side is preferred </w:t>
      </w:r>
      <w:r w:rsidR="00E739F8">
        <w:t xml:space="preserve">in relation </w:t>
      </w:r>
      <w:r w:rsidR="009D708F">
        <w:t>to the uplink-TA-reporting.</w:t>
      </w:r>
      <w:bookmarkEnd w:id="9"/>
      <w:bookmarkEnd w:id="10"/>
      <w:bookmarkEnd w:id="11"/>
    </w:p>
    <w:p w14:paraId="05AFC0B9" w14:textId="32EB6370" w:rsidR="00CB22B2" w:rsidRDefault="006C7F38" w:rsidP="00496606">
      <w:pPr>
        <w:pStyle w:val="RAN4H2"/>
      </w:pPr>
      <w:r>
        <w:t>GNSS Requirements</w:t>
      </w:r>
    </w:p>
    <w:p w14:paraId="5B02F56D" w14:textId="7D8E47FE" w:rsidR="00573EF7" w:rsidRDefault="006C7F38" w:rsidP="00B12F4E">
      <w:r>
        <w:t xml:space="preserve">It was discussed in the WF that the GNSS requirements might include a margin for </w:t>
      </w:r>
      <w:r w:rsidR="00F73F4C">
        <w:t xml:space="preserve">inaccuracy of the GNSS estimation. </w:t>
      </w:r>
    </w:p>
    <w:tbl>
      <w:tblPr>
        <w:tblStyle w:val="TableGrid"/>
        <w:tblW w:w="0" w:type="auto"/>
        <w:tblLook w:val="04A0" w:firstRow="1" w:lastRow="0" w:firstColumn="1" w:lastColumn="0" w:noHBand="0" w:noVBand="1"/>
      </w:tblPr>
      <w:tblGrid>
        <w:gridCol w:w="9617"/>
      </w:tblGrid>
      <w:tr w:rsidR="00573EF7" w14:paraId="022E96C9" w14:textId="77777777" w:rsidTr="00573EF7">
        <w:tc>
          <w:tcPr>
            <w:tcW w:w="9617" w:type="dxa"/>
          </w:tcPr>
          <w:p w14:paraId="3581AE0B" w14:textId="77777777" w:rsidR="00A67D2F" w:rsidRDefault="00A67D2F" w:rsidP="00A67D2F">
            <w:pPr>
              <w:rPr>
                <w:b/>
                <w:szCs w:val="20"/>
                <w:u w:val="single"/>
                <w:vertAlign w:val="subscript"/>
                <w:lang w:eastAsia="ko-KR"/>
              </w:rPr>
            </w:pPr>
            <w:r w:rsidRPr="00ED048A">
              <w:rPr>
                <w:b/>
                <w:szCs w:val="20"/>
                <w:u w:val="single"/>
                <w:lang w:eastAsia="ko-KR"/>
              </w:rPr>
              <w:lastRenderedPageBreak/>
              <w:t>Issue 3-1-2: Initial transmit timing requirements T</w:t>
            </w:r>
            <w:r w:rsidRPr="00ED048A">
              <w:rPr>
                <w:b/>
                <w:szCs w:val="20"/>
                <w:u w:val="single"/>
                <w:vertAlign w:val="subscript"/>
                <w:lang w:eastAsia="ko-KR"/>
              </w:rPr>
              <w:t>e</w:t>
            </w:r>
          </w:p>
          <w:p w14:paraId="4AFEA2CE" w14:textId="77777777" w:rsidR="00A67D2F" w:rsidRPr="00294970" w:rsidRDefault="00A67D2F" w:rsidP="00A67D2F">
            <w:pPr>
              <w:spacing w:after="60"/>
              <w:rPr>
                <w:rFonts w:eastAsiaTheme="minorEastAsia"/>
                <w:iCs/>
                <w:szCs w:val="20"/>
              </w:rPr>
            </w:pPr>
            <w:r w:rsidRPr="00294970">
              <w:rPr>
                <w:rFonts w:eastAsiaTheme="minorEastAsia" w:hint="eastAsia"/>
                <w:iCs/>
                <w:szCs w:val="20"/>
              </w:rPr>
              <w:t xml:space="preserve">Agreement: </w:t>
            </w:r>
          </w:p>
          <w:p w14:paraId="25B88544" w14:textId="77777777" w:rsidR="00A67D2F" w:rsidRPr="00294970" w:rsidRDefault="00A67D2F" w:rsidP="00A67D2F">
            <w:pPr>
              <w:pStyle w:val="ListParagraph"/>
              <w:numPr>
                <w:ilvl w:val="0"/>
                <w:numId w:val="28"/>
              </w:numPr>
              <w:spacing w:after="120"/>
              <w:ind w:hanging="357"/>
              <w:contextualSpacing w:val="0"/>
              <w:rPr>
                <w:rFonts w:eastAsia="SimSun" w:cs="Times New Roman"/>
                <w:szCs w:val="20"/>
              </w:rPr>
            </w:pPr>
            <w:r w:rsidRPr="00294970">
              <w:rPr>
                <w:rFonts w:eastAsia="SimSun" w:cs="Times New Roman" w:hint="eastAsia"/>
                <w:szCs w:val="20"/>
              </w:rPr>
              <w:t xml:space="preserve">For </w:t>
            </w:r>
            <w:r w:rsidRPr="00294970">
              <w:rPr>
                <w:rFonts w:eastAsia="SimSun" w:cs="Times New Roman"/>
                <w:szCs w:val="20"/>
              </w:rPr>
              <w:t>Initial transmit timing requirements Te</w:t>
            </w:r>
            <w:r w:rsidRPr="00294970">
              <w:rPr>
                <w:rFonts w:eastAsia="SimSun" w:cs="Times New Roman" w:hint="eastAsia"/>
                <w:szCs w:val="20"/>
              </w:rPr>
              <w:t>,</w:t>
            </w:r>
            <w:r w:rsidRPr="00294970">
              <w:rPr>
                <w:rFonts w:eastAsia="SimSun" w:cs="Times New Roman"/>
                <w:szCs w:val="20"/>
              </w:rPr>
              <w:t xml:space="preserve"> UE pre-compensation timing error</w:t>
            </w:r>
            <w:r w:rsidRPr="00294970">
              <w:rPr>
                <w:rFonts w:eastAsia="SimSun" w:cs="Times New Roman" w:hint="eastAsia"/>
                <w:szCs w:val="20"/>
              </w:rPr>
              <w:t xml:space="preserve"> should be considered. </w:t>
            </w:r>
          </w:p>
          <w:p w14:paraId="32DD3FAC" w14:textId="77777777" w:rsidR="00A67D2F" w:rsidRPr="00294970" w:rsidRDefault="00A67D2F" w:rsidP="00A67D2F">
            <w:pPr>
              <w:pStyle w:val="ListParagraph"/>
              <w:numPr>
                <w:ilvl w:val="0"/>
                <w:numId w:val="28"/>
              </w:numPr>
              <w:spacing w:after="120"/>
              <w:ind w:hanging="357"/>
              <w:contextualSpacing w:val="0"/>
              <w:rPr>
                <w:rFonts w:eastAsia="SimSun" w:cs="Times New Roman"/>
                <w:szCs w:val="20"/>
              </w:rPr>
            </w:pPr>
            <w:r w:rsidRPr="00294970">
              <w:rPr>
                <w:rFonts w:eastAsia="SimSun" w:cs="Times New Roman"/>
                <w:szCs w:val="20"/>
              </w:rPr>
              <w:t xml:space="preserve">The GNSS accuracy is </w:t>
            </w:r>
            <w:r w:rsidRPr="00294970">
              <w:rPr>
                <w:rFonts w:eastAsia="SimSun" w:cs="Times New Roman" w:hint="eastAsia"/>
                <w:szCs w:val="20"/>
              </w:rPr>
              <w:t>FFS.</w:t>
            </w:r>
          </w:p>
          <w:p w14:paraId="6CE06546" w14:textId="77777777" w:rsidR="00A67D2F" w:rsidRPr="00294970" w:rsidRDefault="00A67D2F" w:rsidP="00A67D2F">
            <w:pPr>
              <w:pStyle w:val="ListParagraph"/>
              <w:numPr>
                <w:ilvl w:val="1"/>
                <w:numId w:val="28"/>
              </w:numPr>
              <w:spacing w:after="120"/>
              <w:contextualSpacing w:val="0"/>
              <w:rPr>
                <w:rFonts w:eastAsia="SimSun" w:cs="Times New Roman"/>
                <w:szCs w:val="20"/>
              </w:rPr>
            </w:pPr>
            <w:r w:rsidRPr="00294970">
              <w:rPr>
                <w:rFonts w:eastAsia="SimSun" w:cs="Times New Roman"/>
                <w:szCs w:val="20"/>
              </w:rPr>
              <w:t>O</w:t>
            </w:r>
            <w:r w:rsidRPr="00294970">
              <w:rPr>
                <w:rFonts w:eastAsia="SimSun" w:cs="Times New Roman" w:hint="eastAsia"/>
                <w:szCs w:val="20"/>
              </w:rPr>
              <w:t>ption 1: 50m</w:t>
            </w:r>
          </w:p>
          <w:p w14:paraId="779A2CAE" w14:textId="77777777" w:rsidR="00A67D2F" w:rsidRPr="00294970" w:rsidRDefault="00A67D2F" w:rsidP="00A67D2F">
            <w:pPr>
              <w:pStyle w:val="ListParagraph"/>
              <w:numPr>
                <w:ilvl w:val="1"/>
                <w:numId w:val="28"/>
              </w:numPr>
              <w:spacing w:after="120"/>
              <w:contextualSpacing w:val="0"/>
              <w:rPr>
                <w:rFonts w:eastAsia="SimSun" w:cs="Times New Roman"/>
                <w:szCs w:val="20"/>
              </w:rPr>
            </w:pPr>
            <w:r w:rsidRPr="00294970">
              <w:rPr>
                <w:rFonts w:eastAsia="SimSun" w:cs="Times New Roman" w:hint="eastAsia"/>
                <w:szCs w:val="20"/>
              </w:rPr>
              <w:t>Option 2: 30m</w:t>
            </w:r>
          </w:p>
          <w:p w14:paraId="70B111F5" w14:textId="77777777" w:rsidR="00A67D2F" w:rsidRPr="00294970" w:rsidRDefault="00A67D2F" w:rsidP="00A67D2F">
            <w:pPr>
              <w:pStyle w:val="ListParagraph"/>
              <w:numPr>
                <w:ilvl w:val="1"/>
                <w:numId w:val="28"/>
              </w:numPr>
              <w:spacing w:after="120"/>
              <w:contextualSpacing w:val="0"/>
              <w:rPr>
                <w:rFonts w:eastAsia="SimSun" w:cs="Times New Roman"/>
                <w:szCs w:val="20"/>
              </w:rPr>
            </w:pPr>
            <w:r w:rsidRPr="00294970">
              <w:rPr>
                <w:rFonts w:eastAsia="SimSun" w:cs="Times New Roman" w:hint="eastAsia"/>
                <w:szCs w:val="20"/>
              </w:rPr>
              <w:t>Others are not precluded.</w:t>
            </w:r>
          </w:p>
          <w:p w14:paraId="04DBE00A" w14:textId="77777777" w:rsidR="00573EF7" w:rsidRDefault="00573EF7" w:rsidP="00B12F4E"/>
        </w:tc>
      </w:tr>
    </w:tbl>
    <w:p w14:paraId="394885BC" w14:textId="77777777" w:rsidR="00A67D2F" w:rsidRDefault="00B12F4E" w:rsidP="00B12F4E">
      <w:r>
        <w:t xml:space="preserve"> </w:t>
      </w:r>
    </w:p>
    <w:p w14:paraId="719EBB9B" w14:textId="72E0E89B" w:rsidR="00AA47B6" w:rsidRDefault="00E624B2" w:rsidP="00B12F4E">
      <w:r>
        <w:t>In special considering the aircraft might be travelling at speeds close to 1200 km/h (333 m/s). At such high velocities, it is difficult to estimate with precision the location of the aircraft, as it varies rapidly within the GNSS duty cycle.</w:t>
      </w:r>
    </w:p>
    <w:p w14:paraId="4CB445C5" w14:textId="10D0FAB7" w:rsidR="00A67D2F" w:rsidRDefault="00A67D2F" w:rsidP="00A67D2F">
      <w:pPr>
        <w:pStyle w:val="RAN4observation0"/>
      </w:pPr>
      <w:bookmarkStart w:id="12" w:name="_Toc131682169"/>
      <w:bookmarkStart w:id="13" w:name="_Toc131894000"/>
      <w:bookmarkStart w:id="14" w:name="_Toc131982967"/>
      <w:r>
        <w:t xml:space="preserve">It might be difficult to have a high-precision </w:t>
      </w:r>
      <w:r w:rsidR="00380E07">
        <w:t>GNSS information for the ATG UE travelling at speeds close to 1200 km/h.</w:t>
      </w:r>
      <w:bookmarkEnd w:id="12"/>
      <w:bookmarkEnd w:id="13"/>
      <w:bookmarkEnd w:id="14"/>
    </w:p>
    <w:p w14:paraId="66A6AC12" w14:textId="3B870A99" w:rsidR="00DC0F25" w:rsidRDefault="001C4428" w:rsidP="00DC0F25">
      <w:pPr>
        <w:rPr>
          <w:rFonts w:eastAsiaTheme="minorEastAsia"/>
        </w:rPr>
      </w:pPr>
      <w:r>
        <w:t>If inaccuracy of the GNSS estimation is introduced at the UE</w:t>
      </w:r>
      <w:r w:rsidR="003464BC">
        <w:t xml:space="preserve">, it will be reflected on the </w:t>
      </w:r>
      <w:r w:rsidR="00942664">
        <w:t xml:space="preserve">initial transmit timing requirements. Similar discussion was observed during the specification phase for NTN in Release 17. </w:t>
      </w:r>
      <w:r w:rsidR="00DC0F25">
        <w:t xml:space="preserve">As the timing advance corresponds to the double of the propagation delay, the relaxation considered the time for the signal to travel two times the inaccurate prediction. So, considering </w:t>
      </w:r>
      <m:oMath>
        <m:sSub>
          <m:sSubPr>
            <m:ctrlPr>
              <w:rPr>
                <w:rFonts w:ascii="Cambria Math" w:hAnsi="Cambria Math"/>
                <w:i/>
              </w:rPr>
            </m:ctrlPr>
          </m:sSubPr>
          <m:e>
            <m:r>
              <w:rPr>
                <w:rFonts w:ascii="Cambria Math" w:hAnsi="Cambria Math"/>
              </w:rPr>
              <m:t>T</m:t>
            </m:r>
          </m:e>
          <m:sub>
            <m:r>
              <w:rPr>
                <w:rFonts w:ascii="Cambria Math" w:hAnsi="Cambria Math"/>
              </w:rPr>
              <m:t>relax</m:t>
            </m:r>
          </m:sub>
        </m:sSub>
      </m:oMath>
      <w:r w:rsidR="00DC0F25">
        <w:rPr>
          <w:rFonts w:eastAsiaTheme="minorEastAsia"/>
        </w:rPr>
        <w:t xml:space="preserve"> as the relaxation time, and a total relaxation of 30 m</w:t>
      </w:r>
    </w:p>
    <w:p w14:paraId="23241C9C" w14:textId="1190C150" w:rsidR="00DC0F25" w:rsidRDefault="00692196" w:rsidP="00DC0F25">
      <m:oMathPara>
        <m:oMath>
          <m:sSub>
            <m:sSubPr>
              <m:ctrlPr>
                <w:rPr>
                  <w:rFonts w:ascii="Cambria Math" w:hAnsi="Cambria Math"/>
                  <w:i/>
                </w:rPr>
              </m:ctrlPr>
            </m:sSubPr>
            <m:e>
              <m:r>
                <w:rPr>
                  <w:rFonts w:ascii="Cambria Math" w:hAnsi="Cambria Math"/>
                </w:rPr>
                <m:t>T</m:t>
              </m:r>
            </m:e>
            <m:sub>
              <m:r>
                <w:rPr>
                  <w:rFonts w:ascii="Cambria Math" w:hAnsi="Cambria Math"/>
                </w:rPr>
                <m:t>relax</m:t>
              </m:r>
            </m:sub>
          </m:sSub>
          <m:r>
            <w:rPr>
              <w:rFonts w:ascii="Cambria Math" w:hAnsi="Cambria Math"/>
            </w:rPr>
            <m:t>=</m:t>
          </m:r>
          <m:f>
            <m:fPr>
              <m:ctrlPr>
                <w:rPr>
                  <w:rFonts w:ascii="Cambria Math" w:hAnsi="Cambria Math"/>
                  <w:i/>
                </w:rPr>
              </m:ctrlPr>
            </m:fPr>
            <m:num>
              <m:r>
                <w:rPr>
                  <w:rFonts w:ascii="Cambria Math" w:hAnsi="Cambria Math"/>
                </w:rPr>
                <m:t>30</m:t>
              </m:r>
            </m:num>
            <m:den>
              <m:r>
                <w:rPr>
                  <w:rFonts w:ascii="Cambria Math" w:hAnsi="Cambria Math"/>
                </w:rPr>
                <m:t>3*</m:t>
              </m:r>
              <m:sSup>
                <m:sSupPr>
                  <m:ctrlPr>
                    <w:rPr>
                      <w:rFonts w:ascii="Cambria Math" w:hAnsi="Cambria Math"/>
                      <w:i/>
                    </w:rPr>
                  </m:ctrlPr>
                </m:sSupPr>
                <m:e>
                  <m:r>
                    <w:rPr>
                      <w:rFonts w:ascii="Cambria Math" w:hAnsi="Cambria Math"/>
                    </w:rPr>
                    <m:t>10</m:t>
                  </m:r>
                </m:e>
                <m:sup>
                  <m:r>
                    <w:rPr>
                      <w:rFonts w:ascii="Cambria Math" w:hAnsi="Cambria Math"/>
                    </w:rPr>
                    <m:t>8</m:t>
                  </m:r>
                </m:sup>
              </m:sSup>
            </m:den>
          </m:f>
          <m:r>
            <w:rPr>
              <w:rFonts w:ascii="Cambria Math" w:hAnsi="Cambria Math"/>
            </w:rPr>
            <m:t>≈(6 κ)</m:t>
          </m:r>
          <m:sSub>
            <m:sSubPr>
              <m:ctrlPr>
                <w:rPr>
                  <w:rFonts w:ascii="Cambria Math" w:hAnsi="Cambria Math"/>
                  <w:i/>
                </w:rPr>
              </m:ctrlPr>
            </m:sSubPr>
            <m:e>
              <m:r>
                <w:rPr>
                  <w:rFonts w:ascii="Cambria Math" w:hAnsi="Cambria Math"/>
                </w:rPr>
                <m:t>T</m:t>
              </m:r>
            </m:e>
            <m:sub>
              <m:r>
                <w:rPr>
                  <w:rFonts w:ascii="Cambria Math" w:hAnsi="Cambria Math"/>
                </w:rPr>
                <m:t>c</m:t>
              </m:r>
            </m:sub>
          </m:sSub>
        </m:oMath>
      </m:oMathPara>
    </w:p>
    <w:p w14:paraId="3B6A5FFE" w14:textId="37219C54" w:rsidR="00DC0F25" w:rsidRDefault="00DC0F25" w:rsidP="00DC0F25">
      <w:pPr>
        <w:spacing w:before="240"/>
        <w:rPr>
          <w:rFonts w:eastAsiaTheme="minorEastAsia"/>
        </w:rPr>
      </w:pPr>
      <w:r>
        <w:t xml:space="preserve">For simplifying the analysis, we will consider </w:t>
      </w:r>
      <m:oMath>
        <m:sSub>
          <m:sSubPr>
            <m:ctrlPr>
              <w:rPr>
                <w:rFonts w:ascii="Cambria Math" w:hAnsi="Cambria Math"/>
                <w:i/>
              </w:rPr>
            </m:ctrlPr>
          </m:sSubPr>
          <m:e>
            <m:r>
              <w:rPr>
                <w:rFonts w:ascii="Cambria Math" w:hAnsi="Cambria Math"/>
              </w:rPr>
              <m:t>T</m:t>
            </m:r>
          </m:e>
          <m:sub>
            <m:r>
              <w:rPr>
                <w:rFonts w:ascii="Cambria Math" w:hAnsi="Cambria Math"/>
              </w:rPr>
              <m:t>relax</m:t>
            </m:r>
          </m:sub>
        </m:sSub>
        <m:r>
          <w:rPr>
            <w:rFonts w:ascii="Cambria Math" w:hAnsi="Cambria Math"/>
          </w:rPr>
          <m:t>=6κ</m:t>
        </m:r>
      </m:oMath>
      <w:r>
        <w:rPr>
          <w:rFonts w:eastAsiaTheme="minorEastAsia"/>
        </w:rPr>
        <w:t xml:space="preserve">. Assuming the transmit timing error limit, </w:t>
      </w:r>
      <w:proofErr w:type="spellStart"/>
      <w:r>
        <w:rPr>
          <w:rFonts w:eastAsiaTheme="minorEastAsia"/>
        </w:rPr>
        <w:t>T</w:t>
      </w:r>
      <w:r w:rsidRPr="00AD0128">
        <w:rPr>
          <w:rFonts w:eastAsiaTheme="minorEastAsia"/>
          <w:vertAlign w:val="subscript"/>
        </w:rPr>
        <w:t>e_</w:t>
      </w:r>
      <w:r w:rsidR="00452A97">
        <w:rPr>
          <w:rFonts w:eastAsiaTheme="minorEastAsia"/>
          <w:vertAlign w:val="subscript"/>
        </w:rPr>
        <w:t>ATG</w:t>
      </w:r>
      <w:proofErr w:type="spellEnd"/>
      <w:r w:rsidRPr="00AD0128">
        <w:rPr>
          <w:rFonts w:eastAsiaTheme="minorEastAsia"/>
          <w:vertAlign w:val="subscript"/>
        </w:rPr>
        <w:t xml:space="preserve"> </w:t>
      </w:r>
      <w:r>
        <w:rPr>
          <w:rFonts w:eastAsiaTheme="minorEastAsia"/>
        </w:rPr>
        <w:t>= T</w:t>
      </w:r>
      <w:r w:rsidRPr="00AD0128">
        <w:rPr>
          <w:rFonts w:eastAsiaTheme="minorEastAsia"/>
          <w:vertAlign w:val="subscript"/>
        </w:rPr>
        <w:t>e</w:t>
      </w:r>
      <w:r>
        <w:rPr>
          <w:rFonts w:eastAsiaTheme="minorEastAsia"/>
        </w:rPr>
        <w:t xml:space="preserve"> + </w:t>
      </w:r>
      <w:proofErr w:type="spellStart"/>
      <w:r>
        <w:rPr>
          <w:rFonts w:eastAsiaTheme="minorEastAsia"/>
        </w:rPr>
        <w:t>T</w:t>
      </w:r>
      <w:r w:rsidRPr="00AD0128">
        <w:rPr>
          <w:rFonts w:eastAsiaTheme="minorEastAsia"/>
          <w:vertAlign w:val="subscript"/>
        </w:rPr>
        <w:t>rela</w:t>
      </w:r>
      <w:r>
        <w:rPr>
          <w:rFonts w:eastAsiaTheme="minorEastAsia"/>
          <w:vertAlign w:val="subscript"/>
        </w:rPr>
        <w:t>x</w:t>
      </w:r>
      <w:proofErr w:type="spellEnd"/>
      <w:r>
        <w:rPr>
          <w:rFonts w:eastAsiaTheme="minorEastAsia"/>
          <w:vertAlign w:val="subscript"/>
        </w:rPr>
        <w:t xml:space="preserve">, </w:t>
      </w:r>
      <w:r>
        <w:rPr>
          <w:rFonts w:eastAsiaTheme="minorEastAsia"/>
        </w:rPr>
        <w:t>is the absolute timing error, the receiving system must be prepared to receive one UE with transmit timing error equal to +</w:t>
      </w:r>
      <w:proofErr w:type="spellStart"/>
      <w:r>
        <w:rPr>
          <w:rFonts w:eastAsiaTheme="minorEastAsia"/>
        </w:rPr>
        <w:t>T</w:t>
      </w:r>
      <w:r w:rsidRPr="00826AE0">
        <w:rPr>
          <w:rFonts w:eastAsiaTheme="minorEastAsia"/>
          <w:vertAlign w:val="subscript"/>
        </w:rPr>
        <w:t>e_</w:t>
      </w:r>
      <w:r w:rsidR="00452A97">
        <w:rPr>
          <w:rFonts w:eastAsiaTheme="minorEastAsia"/>
          <w:vertAlign w:val="subscript"/>
        </w:rPr>
        <w:t>ATG</w:t>
      </w:r>
      <w:proofErr w:type="spellEnd"/>
      <w:r>
        <w:rPr>
          <w:rFonts w:eastAsiaTheme="minorEastAsia"/>
        </w:rPr>
        <w:t xml:space="preserve"> and another UE with transmit timing error equal to –</w:t>
      </w:r>
      <w:proofErr w:type="spellStart"/>
      <w:r>
        <w:rPr>
          <w:rFonts w:eastAsiaTheme="minorEastAsia"/>
        </w:rPr>
        <w:t>T</w:t>
      </w:r>
      <w:r w:rsidRPr="00826AE0">
        <w:rPr>
          <w:rFonts w:eastAsiaTheme="minorEastAsia"/>
          <w:vertAlign w:val="subscript"/>
        </w:rPr>
        <w:t>e_</w:t>
      </w:r>
      <w:r w:rsidR="00452A97">
        <w:rPr>
          <w:rFonts w:eastAsiaTheme="minorEastAsia"/>
          <w:vertAlign w:val="subscript"/>
        </w:rPr>
        <w:t>ATG</w:t>
      </w:r>
      <w:proofErr w:type="spellEnd"/>
      <w:r w:rsidRPr="00826AE0">
        <w:rPr>
          <w:rFonts w:eastAsiaTheme="minorEastAsia"/>
        </w:rPr>
        <w:t>.</w:t>
      </w:r>
      <w:r>
        <w:rPr>
          <w:rFonts w:eastAsiaTheme="minorEastAsia"/>
          <w:vertAlign w:val="subscript"/>
        </w:rPr>
        <w:t xml:space="preserve"> </w:t>
      </w:r>
      <w:r>
        <w:rPr>
          <w:rFonts w:eastAsiaTheme="minorEastAsia"/>
        </w:rPr>
        <w:t xml:space="preserve">In other words, the delay budget reserved to absorb the impact of UE transmit timing inaccuracy is twice as large as </w:t>
      </w:r>
      <w:proofErr w:type="spellStart"/>
      <w:r>
        <w:rPr>
          <w:rFonts w:eastAsiaTheme="minorEastAsia"/>
        </w:rPr>
        <w:t>T</w:t>
      </w:r>
      <w:r w:rsidRPr="00AD0128">
        <w:rPr>
          <w:rFonts w:eastAsiaTheme="minorEastAsia"/>
          <w:vertAlign w:val="subscript"/>
        </w:rPr>
        <w:t>e_</w:t>
      </w:r>
      <w:r w:rsidR="00452A97">
        <w:rPr>
          <w:rFonts w:eastAsiaTheme="minorEastAsia"/>
          <w:vertAlign w:val="subscript"/>
        </w:rPr>
        <w:t>ATG</w:t>
      </w:r>
      <w:proofErr w:type="spellEnd"/>
      <w:r w:rsidRPr="00826AE0">
        <w:rPr>
          <w:rFonts w:eastAsiaTheme="minorEastAsia"/>
        </w:rPr>
        <w:t>.</w:t>
      </w:r>
      <w:r>
        <w:rPr>
          <w:rFonts w:eastAsiaTheme="minorEastAsia"/>
        </w:rPr>
        <w:t xml:space="preserve"> This alone would make it </w:t>
      </w:r>
      <w:r w:rsidR="00452A97">
        <w:rPr>
          <w:rFonts w:eastAsiaTheme="minorEastAsia"/>
        </w:rPr>
        <w:t>unfeasible for the operation with 60 kHz</w:t>
      </w:r>
      <w:r w:rsidR="00FD403A">
        <w:rPr>
          <w:rFonts w:eastAsiaTheme="minorEastAsia"/>
        </w:rPr>
        <w:t xml:space="preserve">, as showed </w:t>
      </w:r>
      <w:r>
        <w:rPr>
          <w:rFonts w:eastAsiaTheme="minorEastAsia"/>
        </w:rPr>
        <w:fldChar w:fldCharType="begin"/>
      </w:r>
      <w:r>
        <w:rPr>
          <w:rFonts w:eastAsiaTheme="minorEastAsia"/>
        </w:rPr>
        <w:instrText xml:space="preserve"> REF _Ref129959122 \h </w:instrText>
      </w:r>
      <w:r>
        <w:rPr>
          <w:rFonts w:eastAsiaTheme="minorEastAsia"/>
        </w:rPr>
      </w:r>
      <w:r>
        <w:rPr>
          <w:rFonts w:eastAsiaTheme="minorEastAsia"/>
        </w:rPr>
        <w:fldChar w:fldCharType="separate"/>
      </w:r>
      <w:r>
        <w:t xml:space="preserve">Table </w:t>
      </w:r>
      <w:r>
        <w:rPr>
          <w:noProof/>
        </w:rPr>
        <w:t>1</w:t>
      </w:r>
      <w:r>
        <w:rPr>
          <w:rFonts w:eastAsiaTheme="minorEastAsia"/>
        </w:rPr>
        <w:fldChar w:fldCharType="end"/>
      </w:r>
      <w:r>
        <w:rPr>
          <w:rFonts w:eastAsiaTheme="minorEastAsia"/>
        </w:rPr>
        <w:t>.</w:t>
      </w:r>
      <w:r w:rsidR="00D935DE">
        <w:rPr>
          <w:rFonts w:eastAsiaTheme="minorEastAsia"/>
        </w:rPr>
        <w:t xml:space="preserve"> In special considering that the timing requirement below is valid for the initial transmission, and might s</w:t>
      </w:r>
      <w:r w:rsidR="0004155B">
        <w:rPr>
          <w:rFonts w:eastAsiaTheme="minorEastAsia"/>
        </w:rPr>
        <w:t xml:space="preserve">lightly drift for subsequent transmissions in burst, in special considering the high speed of the ATG UE. The </w:t>
      </w:r>
      <w:r w:rsidR="0004155B">
        <w:t>ATG UE is moving at speeds up to 333m/s, which means a timing advance variation up to 2us/s on the estimated timing advance by the UE</w:t>
      </w:r>
      <w:r w:rsidR="005A3045">
        <w:t xml:space="preserve"> (68</w:t>
      </w:r>
      <w:r w:rsidR="005A3045" w:rsidRPr="005A3045">
        <w:rPr>
          <w:rFonts w:ascii="Cambria Math" w:hAnsi="Cambria Math"/>
          <w:i/>
        </w:rPr>
        <w:t xml:space="preserve"> </w:t>
      </w:r>
      <m:oMath>
        <m:r>
          <w:rPr>
            <w:rFonts w:ascii="Cambria Math" w:hAnsi="Cambria Math"/>
          </w:rPr>
          <m:t>κ</m:t>
        </m:r>
      </m:oMath>
      <w:r w:rsidR="005A3045">
        <w:t>/second)</w:t>
      </w:r>
      <w:r w:rsidR="001D415C">
        <w:t>.</w:t>
      </w:r>
    </w:p>
    <w:p w14:paraId="7AF16C82" w14:textId="77777777" w:rsidR="00DC0F25" w:rsidRDefault="00DC0F25" w:rsidP="00DC0F25">
      <w:pPr>
        <w:pStyle w:val="Caption"/>
        <w:keepNext/>
      </w:pPr>
      <w:bookmarkStart w:id="15" w:name="_Ref129959122"/>
      <w:r>
        <w:t xml:space="preserve">Table </w:t>
      </w:r>
      <w:r>
        <w:fldChar w:fldCharType="begin"/>
      </w:r>
      <w:r>
        <w:instrText xml:space="preserve"> SEQ Table \* ARABIC </w:instrText>
      </w:r>
      <w:r>
        <w:fldChar w:fldCharType="separate"/>
      </w:r>
      <w:r>
        <w:rPr>
          <w:noProof/>
        </w:rPr>
        <w:t>1</w:t>
      </w:r>
      <w:r>
        <w:rPr>
          <w:noProof/>
        </w:rPr>
        <w:fldChar w:fldCharType="end"/>
      </w:r>
      <w:bookmarkEnd w:id="15"/>
      <w:r>
        <w:t>. Impact on the delay budget of the relaxation of transmit timing error requirement</w:t>
      </w:r>
    </w:p>
    <w:tbl>
      <w:tblPr>
        <w:tblStyle w:val="Style1"/>
        <w:tblW w:w="0" w:type="auto"/>
        <w:tblLook w:val="04A0" w:firstRow="1" w:lastRow="0" w:firstColumn="1" w:lastColumn="0" w:noHBand="0" w:noVBand="1"/>
      </w:tblPr>
      <w:tblGrid>
        <w:gridCol w:w="1475"/>
        <w:gridCol w:w="1781"/>
        <w:gridCol w:w="992"/>
        <w:gridCol w:w="142"/>
        <w:gridCol w:w="1701"/>
        <w:gridCol w:w="1134"/>
        <w:gridCol w:w="2392"/>
      </w:tblGrid>
      <w:tr w:rsidR="00DC0F25" w:rsidRPr="00483ECB" w14:paraId="5C393236" w14:textId="77777777" w:rsidTr="006E5289">
        <w:trPr>
          <w:cnfStyle w:val="100000000000" w:firstRow="1" w:lastRow="0" w:firstColumn="0" w:lastColumn="0" w:oddVBand="0" w:evenVBand="0" w:oddHBand="0" w:evenHBand="0" w:firstRowFirstColumn="0" w:firstRowLastColumn="0" w:lastRowFirstColumn="0" w:lastRowLastColumn="0"/>
        </w:trPr>
        <w:tc>
          <w:tcPr>
            <w:tcW w:w="1475" w:type="dxa"/>
          </w:tcPr>
          <w:p w14:paraId="1ADCC43F" w14:textId="77777777" w:rsidR="00DC0F25" w:rsidRDefault="00DC0F25" w:rsidP="006E5289">
            <w:r>
              <w:t>SCS of SSB signals (kHz)</w:t>
            </w:r>
          </w:p>
        </w:tc>
        <w:tc>
          <w:tcPr>
            <w:tcW w:w="1781" w:type="dxa"/>
          </w:tcPr>
          <w:p w14:paraId="226152AC" w14:textId="77777777" w:rsidR="00DC0F25" w:rsidRDefault="00DC0F25" w:rsidP="006E5289">
            <w:r>
              <w:t>SCS of uplink signals (kHz)</w:t>
            </w:r>
          </w:p>
        </w:tc>
        <w:tc>
          <w:tcPr>
            <w:tcW w:w="1134" w:type="dxa"/>
            <w:gridSpan w:val="2"/>
          </w:tcPr>
          <w:p w14:paraId="0AAD434A" w14:textId="77777777" w:rsidR="00DC0F25" w:rsidRPr="007303B4" w:rsidRDefault="00692196" w:rsidP="006E5289">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cp</m:t>
                  </m:r>
                </m:sub>
              </m:sSub>
            </m:oMath>
            <w:r w:rsidR="00DC0F25">
              <w:t xml:space="preserve"> [T</w:t>
            </w:r>
            <w:r w:rsidR="00DC0F25" w:rsidRPr="0014528A">
              <w:rPr>
                <w:vertAlign w:val="subscript"/>
              </w:rPr>
              <w:t>s</w:t>
            </w:r>
            <w:r w:rsidR="00DC0F25">
              <w:t>]</w:t>
            </w:r>
          </w:p>
        </w:tc>
        <w:tc>
          <w:tcPr>
            <w:tcW w:w="1701" w:type="dxa"/>
          </w:tcPr>
          <w:p w14:paraId="33FB2734" w14:textId="77777777" w:rsidR="00DC0F25" w:rsidRPr="007303B4" w:rsidRDefault="00DC0F25" w:rsidP="006E5289">
            <w:pPr>
              <w:rPr>
                <w:rFonts w:ascii="Arial" w:eastAsia="SimSun" w:hAnsi="Arial" w:cs="Times New Roman"/>
              </w:rPr>
            </w:pPr>
            <w:r>
              <w:rPr>
                <w:rFonts w:ascii="Arial" w:eastAsia="SimSun" w:hAnsi="Arial" w:cs="Times New Roman"/>
              </w:rPr>
              <w:t>T</w:t>
            </w:r>
            <w:r w:rsidRPr="007303B4">
              <w:rPr>
                <w:rFonts w:ascii="Arial" w:eastAsia="SimSun" w:hAnsi="Arial" w:cs="Times New Roman"/>
                <w:vertAlign w:val="subscript"/>
              </w:rPr>
              <w:t>e</w:t>
            </w:r>
            <w:r>
              <w:rPr>
                <w:rFonts w:ascii="Arial" w:eastAsia="SimSun" w:hAnsi="Arial" w:cs="Times New Roman"/>
              </w:rPr>
              <w:t xml:space="preserve"> (terrestrial) [T</w:t>
            </w:r>
            <w:r>
              <w:rPr>
                <w:rFonts w:ascii="Arial" w:eastAsia="SimSun" w:hAnsi="Arial" w:cs="Times New Roman"/>
                <w:vertAlign w:val="subscript"/>
              </w:rPr>
              <w:t>s</w:t>
            </w:r>
            <w:r>
              <w:rPr>
                <w:rFonts w:ascii="Arial" w:eastAsia="SimSun" w:hAnsi="Arial" w:cs="Times New Roman"/>
              </w:rPr>
              <w:t>]</w:t>
            </w:r>
          </w:p>
        </w:tc>
        <w:tc>
          <w:tcPr>
            <w:tcW w:w="1134" w:type="dxa"/>
          </w:tcPr>
          <w:p w14:paraId="451BCE02" w14:textId="77777777" w:rsidR="00DC0F25" w:rsidRDefault="00DC0F25" w:rsidP="006E5289">
            <w:proofErr w:type="spellStart"/>
            <w:r>
              <w:rPr>
                <w:rFonts w:ascii="Arial" w:eastAsia="SimSun" w:hAnsi="Arial" w:cs="Times New Roman"/>
              </w:rPr>
              <w:t>T</w:t>
            </w:r>
            <w:r>
              <w:rPr>
                <w:rFonts w:ascii="Arial" w:eastAsia="SimSun" w:hAnsi="Arial" w:cs="Times New Roman"/>
                <w:vertAlign w:val="subscript"/>
              </w:rPr>
              <w:t>relax</w:t>
            </w:r>
            <w:proofErr w:type="spellEnd"/>
            <w:r>
              <w:rPr>
                <w:rFonts w:ascii="Arial" w:eastAsia="SimSun" w:hAnsi="Arial" w:cs="Times New Roman"/>
              </w:rPr>
              <w:t>[T</w:t>
            </w:r>
            <w:r>
              <w:rPr>
                <w:rFonts w:ascii="Arial" w:eastAsia="SimSun" w:hAnsi="Arial" w:cs="Times New Roman"/>
                <w:vertAlign w:val="subscript"/>
              </w:rPr>
              <w:t>s</w:t>
            </w:r>
            <w:r>
              <w:rPr>
                <w:rFonts w:ascii="Arial" w:eastAsia="SimSun" w:hAnsi="Arial" w:cs="Times New Roman"/>
              </w:rPr>
              <w:t>]</w:t>
            </w:r>
          </w:p>
        </w:tc>
        <w:tc>
          <w:tcPr>
            <w:tcW w:w="2392" w:type="dxa"/>
          </w:tcPr>
          <w:p w14:paraId="56BAED94" w14:textId="77777777" w:rsidR="00DC0F25" w:rsidRPr="00483ECB" w:rsidRDefault="00DC0F25" w:rsidP="006E5289">
            <w:pPr>
              <w:rPr>
                <w:rFonts w:ascii="Arial" w:eastAsia="SimSun" w:hAnsi="Arial" w:cs="Times New Roman"/>
              </w:rPr>
            </w:pPr>
            <w:proofErr w:type="spellStart"/>
            <w:r>
              <w:rPr>
                <w:rFonts w:ascii="Arial" w:eastAsia="SimSun" w:hAnsi="Arial" w:cs="Times New Roman"/>
              </w:rPr>
              <w:t>T</w:t>
            </w:r>
            <w:r>
              <w:rPr>
                <w:rFonts w:ascii="Arial" w:eastAsia="SimSun" w:hAnsi="Arial" w:cs="Times New Roman"/>
                <w:vertAlign w:val="subscript"/>
              </w:rPr>
              <w:t>cp</w:t>
            </w:r>
            <w:proofErr w:type="spellEnd"/>
            <w:r>
              <w:rPr>
                <w:rFonts w:ascii="Arial" w:eastAsia="SimSun" w:hAnsi="Arial" w:cs="Times New Roman"/>
              </w:rPr>
              <w:t xml:space="preserve"> –2( T</w:t>
            </w:r>
            <w:r>
              <w:rPr>
                <w:rFonts w:ascii="Arial" w:eastAsia="SimSun" w:hAnsi="Arial" w:cs="Times New Roman"/>
                <w:vertAlign w:val="subscript"/>
              </w:rPr>
              <w:t>e</w:t>
            </w:r>
            <w:r>
              <w:rPr>
                <w:rFonts w:ascii="Arial" w:eastAsia="SimSun" w:hAnsi="Arial" w:cs="Times New Roman"/>
              </w:rPr>
              <w:t xml:space="preserve"> – </w:t>
            </w:r>
            <w:proofErr w:type="spellStart"/>
            <w:r>
              <w:rPr>
                <w:rFonts w:ascii="Arial" w:eastAsia="SimSun" w:hAnsi="Arial" w:cs="Times New Roman"/>
              </w:rPr>
              <w:t>T</w:t>
            </w:r>
            <w:r>
              <w:rPr>
                <w:rFonts w:ascii="Arial" w:eastAsia="SimSun" w:hAnsi="Arial" w:cs="Times New Roman"/>
                <w:vertAlign w:val="subscript"/>
              </w:rPr>
              <w:t>relax</w:t>
            </w:r>
            <w:proofErr w:type="spellEnd"/>
            <w:r>
              <w:rPr>
                <w:rFonts w:ascii="Arial" w:eastAsia="SimSun" w:hAnsi="Arial" w:cs="Times New Roman"/>
                <w:vertAlign w:val="subscript"/>
              </w:rPr>
              <w:t xml:space="preserve"> </w:t>
            </w:r>
            <w:r>
              <w:rPr>
                <w:rFonts w:ascii="Arial" w:eastAsia="SimSun" w:hAnsi="Arial" w:cs="Times New Roman"/>
              </w:rPr>
              <w:t>)[T</w:t>
            </w:r>
            <w:r>
              <w:rPr>
                <w:rFonts w:ascii="Arial" w:eastAsia="SimSun" w:hAnsi="Arial" w:cs="Times New Roman"/>
                <w:vertAlign w:val="subscript"/>
              </w:rPr>
              <w:t>s</w:t>
            </w:r>
            <w:r>
              <w:rPr>
                <w:rFonts w:ascii="Arial" w:eastAsia="SimSun" w:hAnsi="Arial" w:cs="Times New Roman"/>
              </w:rPr>
              <w:t>]</w:t>
            </w:r>
          </w:p>
        </w:tc>
      </w:tr>
      <w:tr w:rsidR="00DC0F25" w:rsidRPr="004A4019" w14:paraId="69EF1F36" w14:textId="77777777" w:rsidTr="006E5289">
        <w:tc>
          <w:tcPr>
            <w:tcW w:w="1475" w:type="dxa"/>
          </w:tcPr>
          <w:p w14:paraId="19482D97" w14:textId="77777777" w:rsidR="00DC0F25" w:rsidRDefault="00DC0F25" w:rsidP="006E5289">
            <w:pPr>
              <w:jc w:val="center"/>
            </w:pPr>
            <w:r>
              <w:t>15</w:t>
            </w:r>
          </w:p>
        </w:tc>
        <w:tc>
          <w:tcPr>
            <w:tcW w:w="1781" w:type="dxa"/>
          </w:tcPr>
          <w:p w14:paraId="0109C9E2" w14:textId="77777777" w:rsidR="00DC0F25" w:rsidRDefault="00DC0F25" w:rsidP="006E5289">
            <w:pPr>
              <w:jc w:val="center"/>
            </w:pPr>
            <w:r>
              <w:t>60</w:t>
            </w:r>
          </w:p>
        </w:tc>
        <w:tc>
          <w:tcPr>
            <w:tcW w:w="992" w:type="dxa"/>
          </w:tcPr>
          <w:p w14:paraId="6F929646" w14:textId="77777777" w:rsidR="00DC0F25" w:rsidRDefault="00DC0F25" w:rsidP="006E5289">
            <w:r w:rsidRPr="009F11C1">
              <w:t>36</w:t>
            </w:r>
          </w:p>
        </w:tc>
        <w:tc>
          <w:tcPr>
            <w:tcW w:w="1843" w:type="dxa"/>
            <w:gridSpan w:val="2"/>
          </w:tcPr>
          <w:p w14:paraId="659BFDF4" w14:textId="77777777" w:rsidR="00DC0F25" w:rsidRDefault="00DC0F25" w:rsidP="006E5289">
            <w:r>
              <w:t>10</w:t>
            </w:r>
          </w:p>
        </w:tc>
        <w:tc>
          <w:tcPr>
            <w:tcW w:w="1134" w:type="dxa"/>
          </w:tcPr>
          <w:p w14:paraId="2C6A6F0E" w14:textId="327C6853" w:rsidR="00DC0F25" w:rsidRDefault="00FD403A" w:rsidP="006E5289">
            <w:r>
              <w:t>6</w:t>
            </w:r>
          </w:p>
        </w:tc>
        <w:tc>
          <w:tcPr>
            <w:tcW w:w="2392" w:type="dxa"/>
          </w:tcPr>
          <w:p w14:paraId="0A3337C4" w14:textId="07B2B343" w:rsidR="00DC0F25" w:rsidRPr="004A4019" w:rsidRDefault="00F232E4" w:rsidP="006E5289">
            <w:pPr>
              <w:rPr>
                <w:rFonts w:ascii="Arial" w:eastAsia="Calibri" w:hAnsi="Arial" w:cs="Arial"/>
                <w:color w:val="FF0000"/>
              </w:rPr>
            </w:pPr>
            <w:r>
              <w:rPr>
                <w:rFonts w:ascii="Arial" w:eastAsia="Calibri" w:hAnsi="Arial" w:cs="Arial"/>
                <w:color w:val="FF0000"/>
              </w:rPr>
              <w:t>4</w:t>
            </w:r>
          </w:p>
        </w:tc>
      </w:tr>
      <w:tr w:rsidR="00DC0F25" w:rsidRPr="004A4019" w14:paraId="21190EB0" w14:textId="77777777" w:rsidTr="006E5289">
        <w:tc>
          <w:tcPr>
            <w:tcW w:w="1475" w:type="dxa"/>
          </w:tcPr>
          <w:p w14:paraId="158D3FA0" w14:textId="77777777" w:rsidR="00DC0F25" w:rsidRDefault="00DC0F25" w:rsidP="006E5289">
            <w:pPr>
              <w:jc w:val="center"/>
            </w:pPr>
            <w:r>
              <w:t>30</w:t>
            </w:r>
          </w:p>
        </w:tc>
        <w:tc>
          <w:tcPr>
            <w:tcW w:w="1781" w:type="dxa"/>
          </w:tcPr>
          <w:p w14:paraId="66CE8AE7" w14:textId="77777777" w:rsidR="00DC0F25" w:rsidRDefault="00DC0F25" w:rsidP="006E5289">
            <w:pPr>
              <w:jc w:val="center"/>
            </w:pPr>
            <w:r>
              <w:t>60</w:t>
            </w:r>
          </w:p>
        </w:tc>
        <w:tc>
          <w:tcPr>
            <w:tcW w:w="992" w:type="dxa"/>
          </w:tcPr>
          <w:p w14:paraId="1CB3BF73" w14:textId="77777777" w:rsidR="00DC0F25" w:rsidRDefault="00DC0F25" w:rsidP="006E5289">
            <w:r w:rsidRPr="009F11C1">
              <w:t>36</w:t>
            </w:r>
          </w:p>
        </w:tc>
        <w:tc>
          <w:tcPr>
            <w:tcW w:w="1843" w:type="dxa"/>
            <w:gridSpan w:val="2"/>
          </w:tcPr>
          <w:p w14:paraId="36C45819" w14:textId="77777777" w:rsidR="00DC0F25" w:rsidRDefault="00DC0F25" w:rsidP="006E5289">
            <w:r>
              <w:t>7</w:t>
            </w:r>
          </w:p>
        </w:tc>
        <w:tc>
          <w:tcPr>
            <w:tcW w:w="1134" w:type="dxa"/>
          </w:tcPr>
          <w:p w14:paraId="25748F33" w14:textId="69BB0567" w:rsidR="00DC0F25" w:rsidRDefault="00DC0F25" w:rsidP="006E5289">
            <w:r w:rsidRPr="003E670F">
              <w:t>6</w:t>
            </w:r>
          </w:p>
        </w:tc>
        <w:tc>
          <w:tcPr>
            <w:tcW w:w="2392" w:type="dxa"/>
          </w:tcPr>
          <w:p w14:paraId="03A66262" w14:textId="71B7641A" w:rsidR="00DC0F25" w:rsidRPr="004A4019" w:rsidRDefault="00FD403A" w:rsidP="006E5289">
            <w:pPr>
              <w:rPr>
                <w:rFonts w:ascii="Arial" w:eastAsia="Calibri" w:hAnsi="Arial" w:cs="Arial"/>
                <w:color w:val="FF0000"/>
              </w:rPr>
            </w:pPr>
            <w:r>
              <w:rPr>
                <w:rFonts w:ascii="Arial" w:eastAsia="Calibri" w:hAnsi="Arial" w:cs="Arial"/>
                <w:color w:val="FF0000"/>
              </w:rPr>
              <w:t>1</w:t>
            </w:r>
            <w:r w:rsidR="00F232E4">
              <w:rPr>
                <w:rFonts w:ascii="Arial" w:eastAsia="Calibri" w:hAnsi="Arial" w:cs="Arial"/>
                <w:color w:val="FF0000"/>
              </w:rPr>
              <w:t>0</w:t>
            </w:r>
          </w:p>
        </w:tc>
      </w:tr>
    </w:tbl>
    <w:p w14:paraId="708F5580" w14:textId="77777777" w:rsidR="00942664" w:rsidRDefault="00942664" w:rsidP="00380E07"/>
    <w:p w14:paraId="0CA514B7" w14:textId="77777777" w:rsidR="00D935DE" w:rsidRDefault="00D935DE" w:rsidP="00380E07"/>
    <w:p w14:paraId="52AC8B8D" w14:textId="6B4A3A5A" w:rsidR="00F232E4" w:rsidRDefault="00F232E4" w:rsidP="00F232E4">
      <w:pPr>
        <w:pStyle w:val="RAN4observation0"/>
      </w:pPr>
      <w:bookmarkStart w:id="16" w:name="_Toc131682170"/>
      <w:bookmarkStart w:id="17" w:name="_Toc131894001"/>
      <w:bookmarkStart w:id="18" w:name="_Toc131982968"/>
      <w:r>
        <w:t xml:space="preserve">The remainder of the Cyclic Prefix when applying the delay budget for the timing pre-compensation of the UE is not sufficient to accommodate for </w:t>
      </w:r>
      <w:r w:rsidR="00213769">
        <w:t>the channel delay spread and other imperfections on the system.</w:t>
      </w:r>
      <w:bookmarkEnd w:id="16"/>
      <w:bookmarkEnd w:id="17"/>
      <w:bookmarkEnd w:id="18"/>
      <w:r w:rsidR="00213769">
        <w:t xml:space="preserve"> </w:t>
      </w:r>
    </w:p>
    <w:p w14:paraId="37F2E6E9" w14:textId="77777777" w:rsidR="009E17E9" w:rsidRPr="009E17E9" w:rsidRDefault="009E17E9" w:rsidP="009E17E9"/>
    <w:p w14:paraId="47DD9788" w14:textId="77777777" w:rsidR="009E17E9" w:rsidRDefault="009E17E9" w:rsidP="009E17E9">
      <w:pPr>
        <w:pStyle w:val="RAN4observation0"/>
      </w:pPr>
      <w:bookmarkStart w:id="19" w:name="_Toc131682171"/>
      <w:bookmarkStart w:id="20" w:name="_Toc131894002"/>
      <w:bookmarkStart w:id="21" w:name="_Toc131982969"/>
      <w:bookmarkStart w:id="22" w:name="_Toc116994711"/>
      <w:bookmarkStart w:id="23" w:name="_Toc116994824"/>
      <w:bookmarkStart w:id="24" w:name="_Toc116994896"/>
      <w:bookmarkStart w:id="25" w:name="_Toc116994910"/>
      <w:bookmarkStart w:id="26" w:name="_Toc116995099"/>
      <w:bookmarkStart w:id="27" w:name="_Toc116995142"/>
      <w:bookmarkStart w:id="28" w:name="_Toc116995898"/>
      <w:bookmarkStart w:id="29" w:name="_Toc116995944"/>
      <w:bookmarkStart w:id="30" w:name="_Toc116996073"/>
      <w:bookmarkStart w:id="31" w:name="_Toc116996132"/>
      <w:bookmarkStart w:id="32" w:name="_Toc116996432"/>
      <w:bookmarkStart w:id="33" w:name="_Toc116996753"/>
      <w:bookmarkStart w:id="34" w:name="_Toc116997066"/>
      <w:r>
        <w:t>In Rel-17, the inclusion of relaxed timing requirements due to GNSS and satellite position inaccuracies led to the exclusion of the 60 kHz of the FR1 operation since it would consume most of the delay budget.</w:t>
      </w:r>
      <w:bookmarkEnd w:id="19"/>
      <w:bookmarkEnd w:id="20"/>
      <w:bookmarkEnd w:id="21"/>
      <w:r>
        <w:t xml:space="preserve"> </w:t>
      </w:r>
    </w:p>
    <w:p w14:paraId="71900F6F" w14:textId="4C17E942" w:rsidR="00E437D2" w:rsidRPr="00E55751" w:rsidRDefault="009E17E9" w:rsidP="00E55751">
      <w:pPr>
        <w:pStyle w:val="RAN4proposal"/>
      </w:pPr>
      <w:bookmarkStart w:id="35" w:name="_Toc131682172"/>
      <w:bookmarkStart w:id="36" w:name="_Toc131894003"/>
      <w:bookmarkStart w:id="37" w:name="_Toc131982970"/>
      <w:bookmarkEnd w:id="22"/>
      <w:bookmarkEnd w:id="23"/>
      <w:bookmarkEnd w:id="24"/>
      <w:bookmarkEnd w:id="25"/>
      <w:bookmarkEnd w:id="26"/>
      <w:bookmarkEnd w:id="27"/>
      <w:bookmarkEnd w:id="28"/>
      <w:bookmarkEnd w:id="29"/>
      <w:bookmarkEnd w:id="30"/>
      <w:bookmarkEnd w:id="31"/>
      <w:bookmarkEnd w:id="32"/>
      <w:bookmarkEnd w:id="33"/>
      <w:bookmarkEnd w:id="34"/>
      <w:r>
        <w:t>Exclude the 60 kHz SCS from the ATG deployments on the scope of this WI.</w:t>
      </w:r>
      <w:bookmarkEnd w:id="35"/>
      <w:bookmarkEnd w:id="36"/>
      <w:bookmarkEnd w:id="37"/>
      <w:r>
        <w:t xml:space="preserve"> </w:t>
      </w:r>
    </w:p>
    <w:p w14:paraId="3EAD0558" w14:textId="77777777" w:rsidR="00110481" w:rsidRDefault="00110481" w:rsidP="005C23A4"/>
    <w:p w14:paraId="0087DD56" w14:textId="77777777" w:rsidR="0060543D" w:rsidRDefault="0060543D" w:rsidP="0060543D"/>
    <w:p w14:paraId="7742CB7C" w14:textId="77777777" w:rsidR="0060543D" w:rsidRPr="0060543D" w:rsidRDefault="0060543D" w:rsidP="0060543D"/>
    <w:p w14:paraId="58854A6F" w14:textId="77777777" w:rsidR="00CD7492" w:rsidRPr="00EF698B" w:rsidRDefault="00CD7492" w:rsidP="00A37002">
      <w:pPr>
        <w:pStyle w:val="RAN4H1"/>
        <w:rPr>
          <w:lang w:val="en-US"/>
        </w:rPr>
      </w:pPr>
      <w:bookmarkStart w:id="38" w:name="_Toc116995848"/>
      <w:r w:rsidRPr="00EF698B">
        <w:rPr>
          <w:lang w:val="en-US"/>
        </w:rPr>
        <w:lastRenderedPageBreak/>
        <w:t>Conclusion</w:t>
      </w:r>
      <w:bookmarkEnd w:id="38"/>
    </w:p>
    <w:p w14:paraId="51A88973" w14:textId="01A48A21" w:rsidR="00E55751" w:rsidRPr="00592A86" w:rsidRDefault="008B0961" w:rsidP="00936159">
      <w:r>
        <w:t>In the paper,</w:t>
      </w:r>
      <w:r w:rsidR="00F16B66">
        <w:t xml:space="preserve"> we analysed some of the open issues for ATG timing requirements. T</w:t>
      </w:r>
      <w:r w:rsidR="005B4801">
        <w:t xml:space="preserve">he </w:t>
      </w:r>
      <w:r w:rsidR="005B4801" w:rsidRPr="00E55751">
        <w:t xml:space="preserve">following Observations </w:t>
      </w:r>
      <w:r w:rsidRPr="00E55751">
        <w:t>and</w:t>
      </w:r>
      <w:r w:rsidR="005B4801">
        <w:t xml:space="preserve"> Proposals were made:</w:t>
      </w:r>
    </w:p>
    <w:p w14:paraId="2E9A2635" w14:textId="77777777" w:rsidR="00D5270B" w:rsidRPr="000D0F93" w:rsidRDefault="00D5270B" w:rsidP="00936159">
      <w:pPr>
        <w:rPr>
          <w:highlight w:val="yellow"/>
        </w:rPr>
      </w:pPr>
    </w:p>
    <w:bookmarkStart w:id="39" w:name="_Toc116995849"/>
    <w:p w14:paraId="3AE8F55B" w14:textId="77777777" w:rsidR="00E739F8" w:rsidRPr="00E739F8" w:rsidRDefault="009F5872">
      <w:pPr>
        <w:pStyle w:val="TOC1"/>
        <w:rPr>
          <w:rFonts w:asciiTheme="minorHAnsi" w:eastAsiaTheme="minorEastAsia" w:hAnsiTheme="minorHAnsi"/>
          <w:b/>
          <w:bCs/>
          <w:i w:val="0"/>
          <w:iCs w:val="0"/>
          <w:sz w:val="22"/>
          <w:u w:val="none"/>
          <w:lang w:eastAsia="en-GB"/>
        </w:rPr>
      </w:pPr>
      <w:r w:rsidRPr="00E739F8">
        <w:rPr>
          <w:b/>
          <w:bCs/>
          <w:i w:val="0"/>
          <w:iCs w:val="0"/>
          <w:u w:val="none"/>
          <w:lang w:val="en-US"/>
        </w:rPr>
        <w:fldChar w:fldCharType="begin"/>
      </w:r>
      <w:r w:rsidRPr="00E739F8">
        <w:rPr>
          <w:b/>
          <w:bCs/>
          <w:i w:val="0"/>
          <w:iCs w:val="0"/>
          <w:u w:val="none"/>
          <w:lang w:val="en-US"/>
        </w:rPr>
        <w:instrText xml:space="preserve"> TOC \n \p " " \t "RAN4 proposal;1;RAN4 observation;1" </w:instrText>
      </w:r>
      <w:r w:rsidRPr="00E739F8">
        <w:rPr>
          <w:b/>
          <w:bCs/>
          <w:i w:val="0"/>
          <w:iCs w:val="0"/>
          <w:u w:val="none"/>
          <w:lang w:val="en-US"/>
        </w:rPr>
        <w:fldChar w:fldCharType="separate"/>
      </w:r>
      <w:r w:rsidR="00E739F8" w:rsidRPr="00E739F8">
        <w:rPr>
          <w:rFonts w:eastAsia="SimSun"/>
          <w:b/>
          <w:bCs/>
          <w:i w:val="0"/>
          <w:iCs w:val="0"/>
          <w:u w:val="none"/>
        </w:rPr>
        <w:t>Observation 1:</w:t>
      </w:r>
      <w:r w:rsidR="00E739F8" w:rsidRPr="00E739F8">
        <w:rPr>
          <w:b/>
          <w:bCs/>
          <w:i w:val="0"/>
          <w:iCs w:val="0"/>
          <w:u w:val="none"/>
        </w:rPr>
        <w:t xml:space="preserve"> In ATG, for cells of 200 kms, the minimum common guard period has to be equal to at least </w:t>
      </w:r>
      <w:r w:rsidR="00E739F8" w:rsidRPr="00E739F8">
        <w:rPr>
          <w:rFonts w:eastAsia="SimSun"/>
          <w:b/>
          <w:bCs/>
          <w:i w:val="0"/>
          <w:iCs w:val="0"/>
          <w:u w:val="none"/>
        </w:rPr>
        <w:t>1.33 ms.</w:t>
      </w:r>
    </w:p>
    <w:p w14:paraId="16198073" w14:textId="77777777" w:rsidR="00E739F8" w:rsidRPr="00E739F8" w:rsidRDefault="00E739F8">
      <w:pPr>
        <w:pStyle w:val="TOC1"/>
        <w:rPr>
          <w:rFonts w:asciiTheme="minorHAnsi" w:eastAsiaTheme="minorEastAsia" w:hAnsiTheme="minorHAnsi"/>
          <w:b/>
          <w:bCs/>
          <w:i w:val="0"/>
          <w:iCs w:val="0"/>
          <w:sz w:val="22"/>
          <w:u w:val="none"/>
          <w:lang w:eastAsia="en-GB"/>
        </w:rPr>
      </w:pPr>
      <w:r w:rsidRPr="00E739F8">
        <w:rPr>
          <w:b/>
          <w:bCs/>
          <w:i w:val="0"/>
          <w:iCs w:val="0"/>
          <w:u w:val="none"/>
        </w:rPr>
        <w:t>Proposal 1: Utilize the LMF function for estimating the position of the aircraft and enable the calculation of the optimum gap period at the network side is preferred in relation to the uplink-TA-reporting.</w:t>
      </w:r>
    </w:p>
    <w:p w14:paraId="6B616DD4" w14:textId="77777777" w:rsidR="00E739F8" w:rsidRPr="00E739F8" w:rsidRDefault="00E739F8">
      <w:pPr>
        <w:pStyle w:val="TOC1"/>
        <w:rPr>
          <w:rFonts w:asciiTheme="minorHAnsi" w:eastAsiaTheme="minorEastAsia" w:hAnsiTheme="minorHAnsi"/>
          <w:b/>
          <w:bCs/>
          <w:i w:val="0"/>
          <w:iCs w:val="0"/>
          <w:sz w:val="22"/>
          <w:u w:val="none"/>
          <w:lang w:eastAsia="en-GB"/>
        </w:rPr>
      </w:pPr>
      <w:r w:rsidRPr="00E739F8">
        <w:rPr>
          <w:b/>
          <w:bCs/>
          <w:i w:val="0"/>
          <w:iCs w:val="0"/>
          <w:u w:val="none"/>
        </w:rPr>
        <w:t>Observation 2: It might be difficult to have a high-precision GNSS information for the ATG UE travelling at speeds close to 1200 km/h.</w:t>
      </w:r>
    </w:p>
    <w:p w14:paraId="13BF44BF" w14:textId="77777777" w:rsidR="00E739F8" w:rsidRPr="00E739F8" w:rsidRDefault="00E739F8">
      <w:pPr>
        <w:pStyle w:val="TOC1"/>
        <w:rPr>
          <w:rFonts w:asciiTheme="minorHAnsi" w:eastAsiaTheme="minorEastAsia" w:hAnsiTheme="minorHAnsi"/>
          <w:b/>
          <w:bCs/>
          <w:i w:val="0"/>
          <w:iCs w:val="0"/>
          <w:sz w:val="22"/>
          <w:u w:val="none"/>
          <w:lang w:eastAsia="en-GB"/>
        </w:rPr>
      </w:pPr>
      <w:r w:rsidRPr="00E739F8">
        <w:rPr>
          <w:b/>
          <w:bCs/>
          <w:i w:val="0"/>
          <w:iCs w:val="0"/>
          <w:u w:val="none"/>
        </w:rPr>
        <w:t>Observation 3: The remainder of the Cyclic Prefix when applying the delay budget for the timing pre-compensation of the UE is not sufficient to accommodate for the channel delay spread and other imperfections on the system.</w:t>
      </w:r>
    </w:p>
    <w:p w14:paraId="2BBD0810" w14:textId="77777777" w:rsidR="00E739F8" w:rsidRPr="00E739F8" w:rsidRDefault="00E739F8">
      <w:pPr>
        <w:pStyle w:val="TOC1"/>
        <w:rPr>
          <w:rFonts w:asciiTheme="minorHAnsi" w:eastAsiaTheme="minorEastAsia" w:hAnsiTheme="minorHAnsi"/>
          <w:b/>
          <w:bCs/>
          <w:i w:val="0"/>
          <w:iCs w:val="0"/>
          <w:sz w:val="22"/>
          <w:u w:val="none"/>
          <w:lang w:eastAsia="en-GB"/>
        </w:rPr>
      </w:pPr>
      <w:r w:rsidRPr="00E739F8">
        <w:rPr>
          <w:b/>
          <w:bCs/>
          <w:i w:val="0"/>
          <w:iCs w:val="0"/>
          <w:u w:val="none"/>
        </w:rPr>
        <w:t>Observation 4: In Rel-17, the inclusion of relaxed timing requirements due to GNSS and satellite position inaccuracies led to the exclusion of the 60 kHz of the FR1 operation since it would consume most of the delay budget.</w:t>
      </w:r>
    </w:p>
    <w:p w14:paraId="0DEB1BE4" w14:textId="77777777" w:rsidR="00E739F8" w:rsidRPr="00E739F8" w:rsidRDefault="00E739F8">
      <w:pPr>
        <w:pStyle w:val="TOC1"/>
        <w:rPr>
          <w:rFonts w:asciiTheme="minorHAnsi" w:eastAsiaTheme="minorEastAsia" w:hAnsiTheme="minorHAnsi"/>
          <w:b/>
          <w:bCs/>
          <w:i w:val="0"/>
          <w:iCs w:val="0"/>
          <w:sz w:val="22"/>
          <w:u w:val="none"/>
          <w:lang w:eastAsia="en-GB"/>
        </w:rPr>
      </w:pPr>
      <w:r w:rsidRPr="00E739F8">
        <w:rPr>
          <w:b/>
          <w:bCs/>
          <w:i w:val="0"/>
          <w:iCs w:val="0"/>
          <w:u w:val="none"/>
        </w:rPr>
        <w:t>Proposal 2: Exclude the 60 kHz SCS from the ATG deployments on the scope of this WI.</w:t>
      </w:r>
    </w:p>
    <w:p w14:paraId="163FF8D0" w14:textId="0F99B7A6" w:rsidR="003B659E" w:rsidRPr="0060543D" w:rsidRDefault="009F5872" w:rsidP="0060543D">
      <w:pPr>
        <w:pStyle w:val="RAN4H1"/>
        <w:numPr>
          <w:ilvl w:val="0"/>
          <w:numId w:val="0"/>
        </w:numPr>
        <w:ind w:left="360" w:hanging="360"/>
      </w:pPr>
      <w:r w:rsidRPr="00E739F8">
        <w:rPr>
          <w:rFonts w:ascii="Times New Roman" w:eastAsiaTheme="minorHAnsi" w:hAnsi="Times New Roman" w:cstheme="minorBidi"/>
          <w:b/>
          <w:bCs/>
          <w:noProof/>
          <w:sz w:val="20"/>
          <w:szCs w:val="22"/>
          <w:lang w:val="en-US"/>
        </w:rPr>
        <w:fldChar w:fldCharType="end"/>
      </w:r>
      <w:r w:rsidR="003B659E" w:rsidRPr="00EF698B">
        <w:t>References</w:t>
      </w:r>
      <w:bookmarkEnd w:id="39"/>
    </w:p>
    <w:p w14:paraId="2F38FBC3" w14:textId="14C1A23C" w:rsidR="00687FA0" w:rsidRPr="003C4FDE" w:rsidRDefault="00935232" w:rsidP="00D66188">
      <w:pPr>
        <w:pStyle w:val="ListParagraph"/>
        <w:numPr>
          <w:ilvl w:val="0"/>
          <w:numId w:val="21"/>
        </w:numPr>
        <w:ind w:right="-22"/>
      </w:pPr>
      <w:bookmarkStart w:id="40" w:name="_Ref114500673"/>
      <w:bookmarkStart w:id="41" w:name="_Ref131674798"/>
      <w:bookmarkEnd w:id="40"/>
      <w:r w:rsidRPr="00935232">
        <w:t>RP-220962</w:t>
      </w:r>
      <w:r w:rsidR="00D40288" w:rsidRPr="003C4FDE">
        <w:t>,</w:t>
      </w:r>
      <w:r w:rsidR="000040DC" w:rsidRPr="003C4FDE">
        <w:t xml:space="preserve"> </w:t>
      </w:r>
      <w:r>
        <w:t>“</w:t>
      </w:r>
      <w:r w:rsidRPr="00935232">
        <w:rPr>
          <w:i/>
          <w:iCs/>
        </w:rPr>
        <w:t>New WID: Air-to-ground network for NR</w:t>
      </w:r>
      <w:r>
        <w:rPr>
          <w:i/>
          <w:iCs/>
        </w:rPr>
        <w:t>”</w:t>
      </w:r>
      <w:r w:rsidR="000040DC" w:rsidRPr="003C4FDE">
        <w:t xml:space="preserve">, </w:t>
      </w:r>
      <w:r w:rsidRPr="00935232">
        <w:t>CMCC</w:t>
      </w:r>
      <w:r w:rsidR="00B408B6" w:rsidRPr="003C4FDE">
        <w:t xml:space="preserve">, </w:t>
      </w:r>
      <w:r w:rsidR="00D40288" w:rsidRPr="003C4FDE">
        <w:t>RAN #</w:t>
      </w:r>
      <w:r>
        <w:t>95-e</w:t>
      </w:r>
      <w:r w:rsidR="00D40288" w:rsidRPr="003C4FDE">
        <w:t xml:space="preserve">, </w:t>
      </w:r>
      <w:r>
        <w:t>March 17 – March 23</w:t>
      </w:r>
      <w:r w:rsidR="00D40288" w:rsidRPr="003C4FDE">
        <w:t>, 2022</w:t>
      </w:r>
      <w:r w:rsidR="000040DC" w:rsidRPr="003C4FDE">
        <w:t>.</w:t>
      </w:r>
      <w:bookmarkEnd w:id="41"/>
      <w:r w:rsidR="000040DC" w:rsidRPr="003C4FDE">
        <w:t xml:space="preserve"> </w:t>
      </w:r>
    </w:p>
    <w:p w14:paraId="28307379" w14:textId="17A29505" w:rsidR="008D142A" w:rsidRDefault="008D142A" w:rsidP="008D142A">
      <w:pPr>
        <w:pStyle w:val="ListParagraph"/>
        <w:numPr>
          <w:ilvl w:val="0"/>
          <w:numId w:val="21"/>
        </w:numPr>
        <w:ind w:right="-22"/>
      </w:pPr>
      <w:bookmarkStart w:id="42" w:name="_Ref131678419"/>
      <w:r w:rsidRPr="00935232">
        <w:t>R</w:t>
      </w:r>
      <w:r>
        <w:t>4</w:t>
      </w:r>
      <w:r w:rsidRPr="00935232">
        <w:t>-</w:t>
      </w:r>
      <w:r w:rsidRPr="008D142A">
        <w:t>2303226</w:t>
      </w:r>
      <w:r w:rsidRPr="003C4FDE">
        <w:t xml:space="preserve">, </w:t>
      </w:r>
      <w:r>
        <w:t>“</w:t>
      </w:r>
      <w:r w:rsidRPr="008D142A">
        <w:rPr>
          <w:i/>
          <w:iCs/>
        </w:rPr>
        <w:t>WF on NR ATG RRM requirements</w:t>
      </w:r>
      <w:r>
        <w:rPr>
          <w:i/>
          <w:iCs/>
        </w:rPr>
        <w:t>”</w:t>
      </w:r>
      <w:r w:rsidRPr="003C4FDE">
        <w:t xml:space="preserve">, </w:t>
      </w:r>
      <w:r w:rsidRPr="00935232">
        <w:t>CMCC</w:t>
      </w:r>
      <w:r w:rsidRPr="003C4FDE">
        <w:t>, RAN</w:t>
      </w:r>
      <w:r>
        <w:t>4</w:t>
      </w:r>
      <w:r w:rsidRPr="003C4FDE">
        <w:t xml:space="preserve"> #</w:t>
      </w:r>
      <w:r>
        <w:t>106</w:t>
      </w:r>
      <w:r w:rsidRPr="003C4FDE">
        <w:t xml:space="preserve">, </w:t>
      </w:r>
      <w:r>
        <w:t>Feb 27 – March 03</w:t>
      </w:r>
      <w:r w:rsidRPr="003C4FDE">
        <w:t>, 202</w:t>
      </w:r>
      <w:r>
        <w:t>3, Athens, Greece</w:t>
      </w:r>
      <w:bookmarkEnd w:id="42"/>
      <w:r w:rsidRPr="003C4FDE">
        <w:t xml:space="preserve"> </w:t>
      </w:r>
    </w:p>
    <w:p w14:paraId="2CFF617C" w14:textId="33E1C33D" w:rsidR="008D142A" w:rsidRPr="008D142A" w:rsidRDefault="008D142A" w:rsidP="008D142A">
      <w:pPr>
        <w:pStyle w:val="ListParagraph"/>
        <w:numPr>
          <w:ilvl w:val="0"/>
          <w:numId w:val="21"/>
        </w:numPr>
      </w:pPr>
      <w:bookmarkStart w:id="43" w:name="_Ref131678783"/>
      <w:r w:rsidRPr="008D142A">
        <w:t>R4-2301900, “On large TDD cells and other timing requirements”, Ericsson, RAN4 #106, Feb 27 – March 03, 2023, Athens, Greece</w:t>
      </w:r>
      <w:bookmarkEnd w:id="43"/>
      <w:r w:rsidRPr="008D142A">
        <w:t xml:space="preserve"> </w:t>
      </w:r>
    </w:p>
    <w:p w14:paraId="533B8EF9" w14:textId="7331597E" w:rsidR="008D142A" w:rsidRPr="003C4FDE" w:rsidRDefault="00D13868" w:rsidP="008D142A">
      <w:pPr>
        <w:pStyle w:val="ListParagraph"/>
        <w:numPr>
          <w:ilvl w:val="0"/>
          <w:numId w:val="21"/>
        </w:numPr>
        <w:ind w:right="-22"/>
      </w:pPr>
      <w:r>
        <w:t xml:space="preserve">TS 38.306, </w:t>
      </w:r>
      <w:r w:rsidR="003672FB">
        <w:t>“</w:t>
      </w:r>
      <w:r>
        <w:t xml:space="preserve"> </w:t>
      </w:r>
      <w:r w:rsidR="003672FB" w:rsidRPr="003672FB">
        <w:rPr>
          <w:i/>
          <w:iCs/>
        </w:rPr>
        <w:t>User Equipment (UE) radio access capabilities</w:t>
      </w:r>
      <w:r w:rsidR="003672FB">
        <w:rPr>
          <w:i/>
          <w:iCs/>
        </w:rPr>
        <w:t>”</w:t>
      </w:r>
      <w:r w:rsidR="003672FB">
        <w:t xml:space="preserve">, </w:t>
      </w:r>
      <w:r w:rsidR="00C7029C">
        <w:t>3GPP, Release 18.0.0</w:t>
      </w:r>
      <w:r w:rsidRPr="003672FB">
        <w:rPr>
          <w:i/>
          <w:iCs/>
        </w:rPr>
        <w:tab/>
      </w:r>
    </w:p>
    <w:p w14:paraId="1DBAF4D7" w14:textId="77777777" w:rsidR="000040DC" w:rsidRDefault="000040DC" w:rsidP="000040DC">
      <w:pPr>
        <w:ind w:right="-22"/>
        <w:rPr>
          <w:highlight w:val="yellow"/>
        </w:rPr>
      </w:pPr>
    </w:p>
    <w:p w14:paraId="284F9B92"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B461E" w14:textId="77777777" w:rsidR="00785BB2" w:rsidRDefault="00785BB2" w:rsidP="00001C9B">
      <w:pPr>
        <w:spacing w:after="0" w:line="240" w:lineRule="auto"/>
      </w:pPr>
      <w:r>
        <w:separator/>
      </w:r>
    </w:p>
  </w:endnote>
  <w:endnote w:type="continuationSeparator" w:id="0">
    <w:p w14:paraId="2FC578DF" w14:textId="77777777" w:rsidR="00785BB2" w:rsidRDefault="00785BB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65FB10" w14:textId="77777777" w:rsidR="00785BB2" w:rsidRDefault="00785BB2" w:rsidP="00001C9B">
      <w:pPr>
        <w:spacing w:after="0" w:line="240" w:lineRule="auto"/>
      </w:pPr>
      <w:r>
        <w:separator/>
      </w:r>
    </w:p>
  </w:footnote>
  <w:footnote w:type="continuationSeparator" w:id="0">
    <w:p w14:paraId="5662B142" w14:textId="77777777" w:rsidR="00785BB2" w:rsidRDefault="00785BB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9A4127"/>
    <w:multiLevelType w:val="hybridMultilevel"/>
    <w:tmpl w:val="C8785362"/>
    <w:lvl w:ilvl="0" w:tplc="98A2EFF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4"/>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5"/>
  </w:num>
  <w:num w:numId="16" w16cid:durableId="516113510">
    <w:abstractNumId w:val="4"/>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2"/>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60541467">
    <w:abstractNumId w:val="3"/>
  </w:num>
  <w:num w:numId="28" w16cid:durableId="19411391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94DFA"/>
    <w:rsid w:val="00001C9B"/>
    <w:rsid w:val="000040DC"/>
    <w:rsid w:val="000151EF"/>
    <w:rsid w:val="000239F5"/>
    <w:rsid w:val="000322BE"/>
    <w:rsid w:val="0004155B"/>
    <w:rsid w:val="0008612A"/>
    <w:rsid w:val="00090E18"/>
    <w:rsid w:val="000A10BC"/>
    <w:rsid w:val="000B0056"/>
    <w:rsid w:val="000C3C7B"/>
    <w:rsid w:val="000D0F93"/>
    <w:rsid w:val="000E761E"/>
    <w:rsid w:val="00106416"/>
    <w:rsid w:val="00110481"/>
    <w:rsid w:val="001127C9"/>
    <w:rsid w:val="00115B88"/>
    <w:rsid w:val="00132F6A"/>
    <w:rsid w:val="00133913"/>
    <w:rsid w:val="00140221"/>
    <w:rsid w:val="00147E19"/>
    <w:rsid w:val="001642FC"/>
    <w:rsid w:val="0016496B"/>
    <w:rsid w:val="001743E2"/>
    <w:rsid w:val="001745F8"/>
    <w:rsid w:val="001838CF"/>
    <w:rsid w:val="001868EE"/>
    <w:rsid w:val="001A3BA4"/>
    <w:rsid w:val="001A6D1F"/>
    <w:rsid w:val="001C4428"/>
    <w:rsid w:val="001D415C"/>
    <w:rsid w:val="001E30F6"/>
    <w:rsid w:val="00213769"/>
    <w:rsid w:val="00217EE5"/>
    <w:rsid w:val="00235F5C"/>
    <w:rsid w:val="00257FA3"/>
    <w:rsid w:val="00277B56"/>
    <w:rsid w:val="002A19F5"/>
    <w:rsid w:val="002B4922"/>
    <w:rsid w:val="002C22C3"/>
    <w:rsid w:val="002C2D19"/>
    <w:rsid w:val="002D10FA"/>
    <w:rsid w:val="002D4C55"/>
    <w:rsid w:val="002E6DED"/>
    <w:rsid w:val="00300956"/>
    <w:rsid w:val="00317187"/>
    <w:rsid w:val="0032499A"/>
    <w:rsid w:val="003341F7"/>
    <w:rsid w:val="003464BC"/>
    <w:rsid w:val="00347FEC"/>
    <w:rsid w:val="00356F45"/>
    <w:rsid w:val="00366B74"/>
    <w:rsid w:val="003672FB"/>
    <w:rsid w:val="00380E07"/>
    <w:rsid w:val="003A710A"/>
    <w:rsid w:val="003B659E"/>
    <w:rsid w:val="003C275E"/>
    <w:rsid w:val="003C4FDE"/>
    <w:rsid w:val="003E58DF"/>
    <w:rsid w:val="00404C4C"/>
    <w:rsid w:val="0041423F"/>
    <w:rsid w:val="00414F81"/>
    <w:rsid w:val="00436A0F"/>
    <w:rsid w:val="00437150"/>
    <w:rsid w:val="0043750A"/>
    <w:rsid w:val="00452A97"/>
    <w:rsid w:val="004732E9"/>
    <w:rsid w:val="004854BB"/>
    <w:rsid w:val="00494493"/>
    <w:rsid w:val="00496606"/>
    <w:rsid w:val="004E5E66"/>
    <w:rsid w:val="004E7ADB"/>
    <w:rsid w:val="00503B4D"/>
    <w:rsid w:val="00504EE9"/>
    <w:rsid w:val="00510CBF"/>
    <w:rsid w:val="00521576"/>
    <w:rsid w:val="005250E6"/>
    <w:rsid w:val="00542D23"/>
    <w:rsid w:val="0054442C"/>
    <w:rsid w:val="00550285"/>
    <w:rsid w:val="00562492"/>
    <w:rsid w:val="00572A20"/>
    <w:rsid w:val="00573EF7"/>
    <w:rsid w:val="005836F8"/>
    <w:rsid w:val="005918FA"/>
    <w:rsid w:val="00592A86"/>
    <w:rsid w:val="005A3045"/>
    <w:rsid w:val="005A6AF6"/>
    <w:rsid w:val="005B4801"/>
    <w:rsid w:val="005C23A4"/>
    <w:rsid w:val="005D1CDF"/>
    <w:rsid w:val="005D2BB7"/>
    <w:rsid w:val="005D4370"/>
    <w:rsid w:val="005E61A8"/>
    <w:rsid w:val="005F6419"/>
    <w:rsid w:val="0060543D"/>
    <w:rsid w:val="006104DD"/>
    <w:rsid w:val="006130B5"/>
    <w:rsid w:val="00617400"/>
    <w:rsid w:val="0063011A"/>
    <w:rsid w:val="00632D29"/>
    <w:rsid w:val="00664950"/>
    <w:rsid w:val="00683220"/>
    <w:rsid w:val="006838BC"/>
    <w:rsid w:val="00687FA0"/>
    <w:rsid w:val="00692196"/>
    <w:rsid w:val="006A3C11"/>
    <w:rsid w:val="006A4951"/>
    <w:rsid w:val="006B7010"/>
    <w:rsid w:val="006C3095"/>
    <w:rsid w:val="006C7F38"/>
    <w:rsid w:val="006E1151"/>
    <w:rsid w:val="006E2BC3"/>
    <w:rsid w:val="006E6311"/>
    <w:rsid w:val="007145FF"/>
    <w:rsid w:val="00715B2A"/>
    <w:rsid w:val="007450F1"/>
    <w:rsid w:val="00751515"/>
    <w:rsid w:val="007626B7"/>
    <w:rsid w:val="0078212B"/>
    <w:rsid w:val="00784DF6"/>
    <w:rsid w:val="00785232"/>
    <w:rsid w:val="00785BB2"/>
    <w:rsid w:val="007B186C"/>
    <w:rsid w:val="007B63C0"/>
    <w:rsid w:val="007C1696"/>
    <w:rsid w:val="007C3ED0"/>
    <w:rsid w:val="007C5971"/>
    <w:rsid w:val="007F54B9"/>
    <w:rsid w:val="00806A76"/>
    <w:rsid w:val="00811C9D"/>
    <w:rsid w:val="00816C80"/>
    <w:rsid w:val="00824F20"/>
    <w:rsid w:val="00841BCD"/>
    <w:rsid w:val="00851A8E"/>
    <w:rsid w:val="0085365B"/>
    <w:rsid w:val="00873C03"/>
    <w:rsid w:val="008826C1"/>
    <w:rsid w:val="00883DFD"/>
    <w:rsid w:val="008A1BF7"/>
    <w:rsid w:val="008A5B0E"/>
    <w:rsid w:val="008B0961"/>
    <w:rsid w:val="008D142A"/>
    <w:rsid w:val="0090091A"/>
    <w:rsid w:val="009042BD"/>
    <w:rsid w:val="00904FE4"/>
    <w:rsid w:val="00935232"/>
    <w:rsid w:val="00936159"/>
    <w:rsid w:val="00942664"/>
    <w:rsid w:val="00977E1D"/>
    <w:rsid w:val="00994DFA"/>
    <w:rsid w:val="009B0573"/>
    <w:rsid w:val="009B7B4B"/>
    <w:rsid w:val="009B7C21"/>
    <w:rsid w:val="009D708F"/>
    <w:rsid w:val="009E17E9"/>
    <w:rsid w:val="009F5872"/>
    <w:rsid w:val="00A04992"/>
    <w:rsid w:val="00A147AA"/>
    <w:rsid w:val="00A21D71"/>
    <w:rsid w:val="00A22B78"/>
    <w:rsid w:val="00A25AE5"/>
    <w:rsid w:val="00A37002"/>
    <w:rsid w:val="00A4355E"/>
    <w:rsid w:val="00A67D2F"/>
    <w:rsid w:val="00A92BCD"/>
    <w:rsid w:val="00AA1B0E"/>
    <w:rsid w:val="00AA47B6"/>
    <w:rsid w:val="00AC163B"/>
    <w:rsid w:val="00AC5CA7"/>
    <w:rsid w:val="00AC6058"/>
    <w:rsid w:val="00AE2BA5"/>
    <w:rsid w:val="00AE56B1"/>
    <w:rsid w:val="00AE5AEF"/>
    <w:rsid w:val="00AE6D09"/>
    <w:rsid w:val="00AF7A7C"/>
    <w:rsid w:val="00B12F4E"/>
    <w:rsid w:val="00B258E5"/>
    <w:rsid w:val="00B408B6"/>
    <w:rsid w:val="00B542DA"/>
    <w:rsid w:val="00B73862"/>
    <w:rsid w:val="00B73F43"/>
    <w:rsid w:val="00BA6B66"/>
    <w:rsid w:val="00BA6E48"/>
    <w:rsid w:val="00BE0AF6"/>
    <w:rsid w:val="00BE1F03"/>
    <w:rsid w:val="00BE58A7"/>
    <w:rsid w:val="00BF2218"/>
    <w:rsid w:val="00C0426B"/>
    <w:rsid w:val="00C045DF"/>
    <w:rsid w:val="00C26D43"/>
    <w:rsid w:val="00C46548"/>
    <w:rsid w:val="00C574D5"/>
    <w:rsid w:val="00C62061"/>
    <w:rsid w:val="00C7029C"/>
    <w:rsid w:val="00C73F32"/>
    <w:rsid w:val="00C84910"/>
    <w:rsid w:val="00C87462"/>
    <w:rsid w:val="00CA180C"/>
    <w:rsid w:val="00CB22B2"/>
    <w:rsid w:val="00CC3EE2"/>
    <w:rsid w:val="00CD7492"/>
    <w:rsid w:val="00CE3A6B"/>
    <w:rsid w:val="00CF3BE2"/>
    <w:rsid w:val="00D00211"/>
    <w:rsid w:val="00D06309"/>
    <w:rsid w:val="00D13868"/>
    <w:rsid w:val="00D351EA"/>
    <w:rsid w:val="00D40288"/>
    <w:rsid w:val="00D43403"/>
    <w:rsid w:val="00D5270B"/>
    <w:rsid w:val="00D62E71"/>
    <w:rsid w:val="00D6430D"/>
    <w:rsid w:val="00D66188"/>
    <w:rsid w:val="00D731F6"/>
    <w:rsid w:val="00D740CA"/>
    <w:rsid w:val="00D85728"/>
    <w:rsid w:val="00D935DE"/>
    <w:rsid w:val="00D95481"/>
    <w:rsid w:val="00DC0F25"/>
    <w:rsid w:val="00DC7A13"/>
    <w:rsid w:val="00DF2997"/>
    <w:rsid w:val="00E10BC4"/>
    <w:rsid w:val="00E1415D"/>
    <w:rsid w:val="00E271B8"/>
    <w:rsid w:val="00E323E9"/>
    <w:rsid w:val="00E34018"/>
    <w:rsid w:val="00E437D2"/>
    <w:rsid w:val="00E55751"/>
    <w:rsid w:val="00E624B2"/>
    <w:rsid w:val="00E739F8"/>
    <w:rsid w:val="00EA2311"/>
    <w:rsid w:val="00EC7BC3"/>
    <w:rsid w:val="00ED7600"/>
    <w:rsid w:val="00EF6073"/>
    <w:rsid w:val="00EF698B"/>
    <w:rsid w:val="00F1362C"/>
    <w:rsid w:val="00F16B66"/>
    <w:rsid w:val="00F232E4"/>
    <w:rsid w:val="00F414F1"/>
    <w:rsid w:val="00F508B8"/>
    <w:rsid w:val="00F72CB1"/>
    <w:rsid w:val="00F73F4C"/>
    <w:rsid w:val="00F8215E"/>
    <w:rsid w:val="00F824F5"/>
    <w:rsid w:val="00F90FAB"/>
    <w:rsid w:val="00F9374D"/>
    <w:rsid w:val="00FC29B9"/>
    <w:rsid w:val="00FC6FD3"/>
    <w:rsid w:val="00FD403A"/>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F4E0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R4_bullets,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link w:val="TAL"/>
    <w:qFormat/>
    <w:locked/>
    <w:rsid w:val="00C84910"/>
    <w:rPr>
      <w:rFonts w:ascii="Arial" w:eastAsia="Times New Roman" w:hAnsi="Arial" w:cs="Arial"/>
      <w:sz w:val="18"/>
    </w:rPr>
  </w:style>
  <w:style w:type="paragraph" w:customStyle="1" w:styleId="TAL">
    <w:name w:val="TAL"/>
    <w:basedOn w:val="Normal"/>
    <w:link w:val="TALCar"/>
    <w:qFormat/>
    <w:rsid w:val="00C84910"/>
    <w:pPr>
      <w:keepNext/>
      <w:keepLines/>
      <w:overflowPunct w:val="0"/>
      <w:autoSpaceDE w:val="0"/>
      <w:autoSpaceDN w:val="0"/>
      <w:adjustRightInd w:val="0"/>
      <w:spacing w:after="0" w:line="240" w:lineRule="auto"/>
    </w:pPr>
    <w:rPr>
      <w:rFonts w:ascii="Arial" w:eastAsia="Times New Roman" w:hAnsi="Arial" w:cs="Arial"/>
      <w:sz w:val="18"/>
      <w:lang w:val="en-US"/>
    </w:rPr>
  </w:style>
  <w:style w:type="paragraph" w:styleId="Header">
    <w:name w:val="header"/>
    <w:basedOn w:val="Normal"/>
    <w:link w:val="HeaderChar"/>
    <w:uiPriority w:val="99"/>
    <w:unhideWhenUsed/>
    <w:rsid w:val="006921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692196"/>
    <w:rPr>
      <w:rFonts w:ascii="Times New Roman" w:hAnsi="Times New Roman"/>
      <w:sz w:val="20"/>
      <w:lang w:val="en-GB"/>
    </w:rPr>
  </w:style>
  <w:style w:type="paragraph" w:styleId="Footer">
    <w:name w:val="footer"/>
    <w:basedOn w:val="Normal"/>
    <w:link w:val="FooterChar"/>
    <w:uiPriority w:val="99"/>
    <w:unhideWhenUsed/>
    <w:rsid w:val="00692196"/>
    <w:pPr>
      <w:tabs>
        <w:tab w:val="center" w:pos="4819"/>
        <w:tab w:val="right" w:pos="9638"/>
      </w:tabs>
      <w:spacing w:after="0" w:line="240" w:lineRule="auto"/>
    </w:pPr>
  </w:style>
  <w:style w:type="character" w:customStyle="1" w:styleId="FooterChar">
    <w:name w:val="Footer Char"/>
    <w:basedOn w:val="DefaultParagraphFont"/>
    <w:link w:val="Footer"/>
    <w:uiPriority w:val="99"/>
    <w:rsid w:val="00692196"/>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8584">
      <w:bodyDiv w:val="1"/>
      <w:marLeft w:val="0"/>
      <w:marRight w:val="0"/>
      <w:marTop w:val="0"/>
      <w:marBottom w:val="0"/>
      <w:divBdr>
        <w:top w:val="none" w:sz="0" w:space="0" w:color="auto"/>
        <w:left w:val="none" w:sz="0" w:space="0" w:color="auto"/>
        <w:bottom w:val="none" w:sz="0" w:space="0" w:color="auto"/>
        <w:right w:val="none" w:sz="0" w:space="0" w:color="auto"/>
      </w:divBdr>
    </w:div>
    <w:div w:id="1327442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1461</Words>
  <Characters>8332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2023-04-10T17:53:00Z</dcterms:created>
  <dcterms:modified xsi:type="dcterms:W3CDTF">2023-04-10T17:53:00Z</dcterms:modified>
</cp:coreProperties>
</file>