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0A3188A6" w:rsidR="00327C36" w:rsidRPr="00B66FBB" w:rsidRDefault="00327C36" w:rsidP="00327C36">
      <w:pPr>
        <w:tabs>
          <w:tab w:val="left" w:pos="1985"/>
        </w:tabs>
        <w:spacing w:after="120"/>
        <w:jc w:val="both"/>
        <w:rPr>
          <w:rFonts w:ascii="Arial" w:hAnsi="Arial" w:cs="Arial"/>
          <w:b/>
          <w:noProof/>
          <w:sz w:val="24"/>
          <w:lang w:val="en-US"/>
        </w:rPr>
      </w:pPr>
      <w:bookmarkStart w:id="0" w:name="Title"/>
      <w:bookmarkEnd w:id="0"/>
      <w:r w:rsidRPr="00B66FBB">
        <w:rPr>
          <w:rFonts w:ascii="Arial" w:hAnsi="Arial" w:cs="Arial"/>
          <w:b/>
          <w:noProof/>
          <w:sz w:val="24"/>
          <w:lang w:val="en-US"/>
        </w:rPr>
        <w:t>3GPP TSG-RAN WG4 Meeting #106</w:t>
      </w:r>
      <w:r w:rsidR="00C96F69" w:rsidRPr="00B66FBB">
        <w:rPr>
          <w:rFonts w:ascii="Arial" w:hAnsi="Arial" w:cs="Arial"/>
          <w:b/>
          <w:noProof/>
          <w:sz w:val="24"/>
          <w:lang w:val="en-US"/>
        </w:rPr>
        <w:t>-bis-e</w:t>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t xml:space="preserve">         </w:t>
      </w:r>
      <w:r w:rsidR="00000F21" w:rsidRPr="00000F21">
        <w:rPr>
          <w:rFonts w:ascii="Arial" w:hAnsi="Arial" w:cs="Arial"/>
          <w:b/>
          <w:noProof/>
          <w:sz w:val="24"/>
          <w:lang w:val="en-US"/>
        </w:rPr>
        <w:t>R4-230429</w:t>
      </w:r>
      <w:r w:rsidR="00000F21">
        <w:rPr>
          <w:rFonts w:ascii="Arial" w:hAnsi="Arial" w:cs="Arial"/>
          <w:b/>
          <w:noProof/>
          <w:sz w:val="24"/>
          <w:lang w:val="en-US"/>
        </w:rPr>
        <w:t>5</w:t>
      </w:r>
    </w:p>
    <w:p w14:paraId="432A5DAE" w14:textId="578E7934" w:rsidR="00327C36" w:rsidRPr="00B66FBB" w:rsidRDefault="00B57BDC" w:rsidP="00327C36">
      <w:pPr>
        <w:tabs>
          <w:tab w:val="left" w:pos="1985"/>
        </w:tabs>
        <w:spacing w:after="120"/>
        <w:jc w:val="both"/>
        <w:rPr>
          <w:rFonts w:ascii="Arial" w:hAnsi="Arial" w:cs="Arial"/>
          <w:b/>
          <w:noProof/>
          <w:sz w:val="24"/>
          <w:lang w:val="en-US"/>
        </w:rPr>
      </w:pPr>
      <w:r w:rsidRPr="00B66FBB">
        <w:rPr>
          <w:rFonts w:ascii="Arial" w:hAnsi="Arial" w:cs="Arial"/>
          <w:b/>
          <w:noProof/>
          <w:sz w:val="24"/>
          <w:lang w:val="en-US"/>
        </w:rPr>
        <w:t>Electronic</w:t>
      </w:r>
      <w:r w:rsidR="00327C36" w:rsidRPr="00B66FBB">
        <w:rPr>
          <w:rFonts w:ascii="Arial" w:hAnsi="Arial" w:cs="Arial"/>
          <w:b/>
          <w:noProof/>
          <w:sz w:val="24"/>
          <w:lang w:val="en-US"/>
        </w:rPr>
        <w:t xml:space="preserve">, </w:t>
      </w:r>
      <w:r w:rsidRPr="00B66FBB">
        <w:rPr>
          <w:rFonts w:ascii="Arial" w:hAnsi="Arial" w:cs="Arial"/>
          <w:b/>
          <w:noProof/>
          <w:sz w:val="24"/>
          <w:lang w:val="en-US"/>
        </w:rPr>
        <w:t>April</w:t>
      </w:r>
      <w:r w:rsidR="00327C36" w:rsidRPr="00B66FBB">
        <w:rPr>
          <w:rFonts w:ascii="Arial" w:hAnsi="Arial" w:cs="Arial"/>
          <w:b/>
          <w:noProof/>
          <w:sz w:val="24"/>
          <w:lang w:val="en-US"/>
        </w:rPr>
        <w:t xml:space="preserve"> </w:t>
      </w:r>
      <w:r w:rsidRPr="00B66FBB">
        <w:rPr>
          <w:rFonts w:ascii="Arial" w:hAnsi="Arial" w:cs="Arial"/>
          <w:b/>
          <w:noProof/>
          <w:sz w:val="24"/>
          <w:lang w:val="en-US"/>
        </w:rPr>
        <w:t>1</w:t>
      </w:r>
      <w:r w:rsidR="00327C36" w:rsidRPr="00B66FBB">
        <w:rPr>
          <w:rFonts w:ascii="Arial" w:hAnsi="Arial" w:cs="Arial"/>
          <w:b/>
          <w:noProof/>
          <w:sz w:val="24"/>
          <w:lang w:val="en-US"/>
        </w:rPr>
        <w:t>7 –</w:t>
      </w:r>
      <w:r w:rsidRPr="00B66FBB">
        <w:rPr>
          <w:rFonts w:ascii="Arial" w:hAnsi="Arial" w:cs="Arial"/>
          <w:b/>
          <w:noProof/>
          <w:sz w:val="24"/>
          <w:lang w:val="en-US"/>
        </w:rPr>
        <w:t xml:space="preserve"> 26</w:t>
      </w:r>
      <w:r w:rsidR="00327C36" w:rsidRPr="00B66FBB">
        <w:rPr>
          <w:rFonts w:ascii="Arial" w:hAnsi="Arial" w:cs="Arial"/>
          <w:b/>
          <w:noProof/>
          <w:sz w:val="24"/>
          <w:lang w:val="en-US"/>
        </w:rPr>
        <w:t>, 2023</w:t>
      </w:r>
    </w:p>
    <w:p w14:paraId="16FC7694" w14:textId="646CD2EA"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265A85" w:rsidRPr="00B66FBB">
        <w:rPr>
          <w:rFonts w:ascii="Arial" w:hAnsi="Arial" w:cs="Arial"/>
          <w:b/>
          <w:sz w:val="22"/>
          <w:szCs w:val="22"/>
          <w:lang w:val="en-US"/>
        </w:rPr>
        <w:t>5.2</w:t>
      </w:r>
      <w:r w:rsidR="00D47464">
        <w:rPr>
          <w:rFonts w:ascii="Arial" w:hAnsi="Arial" w:cs="Arial"/>
          <w:b/>
          <w:sz w:val="22"/>
          <w:szCs w:val="22"/>
          <w:lang w:val="en-US"/>
        </w:rPr>
        <w:t>5</w:t>
      </w:r>
      <w:r w:rsidR="00265A85" w:rsidRPr="00B66FBB">
        <w:rPr>
          <w:rFonts w:ascii="Arial" w:hAnsi="Arial" w:cs="Arial"/>
          <w:b/>
          <w:sz w:val="22"/>
          <w:szCs w:val="22"/>
          <w:lang w:val="en-US"/>
        </w:rPr>
        <w:t>.</w:t>
      </w:r>
      <w:r w:rsidR="00622308">
        <w:rPr>
          <w:rFonts w:ascii="Arial" w:hAnsi="Arial" w:cs="Arial"/>
          <w:b/>
          <w:sz w:val="22"/>
          <w:szCs w:val="22"/>
          <w:lang w:val="en-US"/>
        </w:rPr>
        <w:t>4</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4379F10D"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574CD1" w:rsidRPr="00574CD1">
        <w:rPr>
          <w:rFonts w:ascii="Arial" w:hAnsi="Arial" w:cs="Arial"/>
          <w:b/>
          <w:sz w:val="22"/>
          <w:szCs w:val="22"/>
          <w:lang w:val="en-US"/>
        </w:rPr>
        <w:t>On improvement on FR2 SCell/SCG setup delay</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2E15A621" w14:textId="02E45042" w:rsidR="008E537B" w:rsidRPr="00B66FBB" w:rsidRDefault="00D57EDB" w:rsidP="00CA0B7B">
      <w:pPr>
        <w:rPr>
          <w:lang w:val="en-US"/>
        </w:rPr>
      </w:pPr>
      <w:r>
        <w:rPr>
          <w:lang w:val="en-US"/>
        </w:rPr>
        <w:t>I</w:t>
      </w:r>
      <w:r w:rsidRPr="00D57EDB">
        <w:rPr>
          <w:lang w:val="en-US"/>
        </w:rPr>
        <w:t>mprovement on FR2 SCell/SCG setup delay</w:t>
      </w:r>
      <w:r w:rsidRPr="00D57EDB">
        <w:rPr>
          <w:bCs/>
          <w:lang w:val="en-US"/>
        </w:rPr>
        <w:t xml:space="preserve"> </w:t>
      </w:r>
      <w:r w:rsidR="008E537B" w:rsidRPr="00B66FBB">
        <w:rPr>
          <w:lang w:val="en-US"/>
        </w:rPr>
        <w:t>were widely discussed during the previous RAN4 meetings. The last agreements can be found in [1], in which there are still some open issues. In this contribution, we continue discussing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3CBF4FBC" w14:textId="3C7DF843" w:rsidR="003B6BC9" w:rsidRDefault="00B50950" w:rsidP="005D2AFA">
      <w:pPr>
        <w:rPr>
          <w:lang w:eastAsia="x-none"/>
        </w:rPr>
      </w:pPr>
      <w:r>
        <w:rPr>
          <w:lang w:eastAsia="x-none"/>
        </w:rPr>
        <w:t>In the previous RAN4#106, it was agreed that UE is allowed to use existing measurement or perform addition measurement during RRC setup:</w:t>
      </w:r>
    </w:p>
    <w:p w14:paraId="2B0D91EB" w14:textId="77777777" w:rsidR="00B50950" w:rsidRPr="00820717" w:rsidRDefault="00B50950" w:rsidP="00B50950">
      <w:pPr>
        <w:pStyle w:val="ListParagraph"/>
        <w:widowControl/>
        <w:numPr>
          <w:ilvl w:val="0"/>
          <w:numId w:val="26"/>
        </w:numPr>
        <w:autoSpaceDE/>
        <w:autoSpaceDN/>
        <w:adjustRightInd/>
        <w:spacing w:after="120" w:line="240" w:lineRule="auto"/>
        <w:ind w:left="720" w:firstLineChars="0"/>
        <w:rPr>
          <w:color w:val="000000" w:themeColor="text1"/>
          <w:highlight w:val="green"/>
          <w:u w:val="single"/>
          <w:lang w:val="en-US"/>
        </w:rPr>
      </w:pPr>
      <w:r w:rsidRPr="00820717">
        <w:rPr>
          <w:color w:val="000000" w:themeColor="text1"/>
          <w:highlight w:val="green"/>
          <w:u w:val="single"/>
          <w:lang w:val="en-US"/>
        </w:rPr>
        <w:t>Agreement</w:t>
      </w:r>
    </w:p>
    <w:p w14:paraId="42A3B19F" w14:textId="77777777" w:rsidR="00B50950" w:rsidRPr="00820717" w:rsidRDefault="00B50950" w:rsidP="00B50950">
      <w:pPr>
        <w:pStyle w:val="ListParagraph"/>
        <w:widowControl/>
        <w:numPr>
          <w:ilvl w:val="1"/>
          <w:numId w:val="26"/>
        </w:numPr>
        <w:autoSpaceDE/>
        <w:autoSpaceDN/>
        <w:adjustRightInd/>
        <w:spacing w:after="120" w:line="240" w:lineRule="auto"/>
        <w:ind w:left="1080" w:firstLineChars="0"/>
        <w:rPr>
          <w:color w:val="000000" w:themeColor="text1"/>
          <w:highlight w:val="green"/>
          <w:lang w:val="en-US"/>
        </w:rPr>
      </w:pPr>
      <w:r w:rsidRPr="00820717">
        <w:rPr>
          <w:color w:val="000000" w:themeColor="text1"/>
          <w:highlight w:val="green"/>
          <w:lang w:val="en-US"/>
        </w:rPr>
        <w:t xml:space="preserve">UE is allowed to reuse existing measurement, including legacy measurement for cell re-selection and EMR. </w:t>
      </w:r>
    </w:p>
    <w:p w14:paraId="1CE20505" w14:textId="77777777" w:rsidR="00B50950" w:rsidRPr="00820717" w:rsidRDefault="00B50950" w:rsidP="00B50950">
      <w:pPr>
        <w:pStyle w:val="ListParagraph"/>
        <w:widowControl/>
        <w:numPr>
          <w:ilvl w:val="1"/>
          <w:numId w:val="26"/>
        </w:numPr>
        <w:autoSpaceDE/>
        <w:autoSpaceDN/>
        <w:adjustRightInd/>
        <w:spacing w:after="120" w:line="240" w:lineRule="auto"/>
        <w:ind w:left="1080" w:firstLineChars="0"/>
        <w:rPr>
          <w:color w:val="000000" w:themeColor="text1"/>
          <w:highlight w:val="green"/>
          <w:lang w:val="en-US"/>
        </w:rPr>
      </w:pPr>
      <w:r w:rsidRPr="00820717">
        <w:rPr>
          <w:color w:val="000000" w:themeColor="text1"/>
          <w:highlight w:val="green"/>
          <w:lang w:val="en-US"/>
        </w:rPr>
        <w:t>UE is allowed to perform addition measurement starting from RRC connection setup/resume procedure.</w:t>
      </w:r>
    </w:p>
    <w:p w14:paraId="25E745A5" w14:textId="77777777" w:rsidR="00B50950" w:rsidRPr="00820717" w:rsidRDefault="00B50950" w:rsidP="00B50950">
      <w:pPr>
        <w:pStyle w:val="ListParagraph"/>
        <w:widowControl/>
        <w:numPr>
          <w:ilvl w:val="1"/>
          <w:numId w:val="26"/>
        </w:numPr>
        <w:autoSpaceDE/>
        <w:autoSpaceDN/>
        <w:adjustRightInd/>
        <w:spacing w:after="120" w:line="240" w:lineRule="auto"/>
        <w:ind w:left="1080" w:firstLineChars="0"/>
        <w:rPr>
          <w:color w:val="000000" w:themeColor="text1"/>
          <w:highlight w:val="green"/>
          <w:lang w:val="en-US"/>
        </w:rPr>
      </w:pPr>
      <w:r w:rsidRPr="00820717">
        <w:rPr>
          <w:color w:val="000000" w:themeColor="text1"/>
          <w:highlight w:val="green"/>
          <w:lang w:val="en-US"/>
        </w:rPr>
        <w:t xml:space="preserve">RAN4 can continue discussion on the feasibility of doing additional measurement starting from RRC setup/resume, and requirements shall be defined if feasible solution is agreed. </w:t>
      </w:r>
    </w:p>
    <w:p w14:paraId="1E6604F7" w14:textId="5CCEAF61" w:rsidR="00F61BBF" w:rsidRPr="00F61BBF" w:rsidRDefault="00F61BBF" w:rsidP="00F61BBF">
      <w:pPr>
        <w:pStyle w:val="ListParagraph"/>
        <w:numPr>
          <w:ilvl w:val="0"/>
          <w:numId w:val="45"/>
        </w:numPr>
        <w:ind w:left="284" w:firstLineChars="0"/>
        <w:rPr>
          <w:u w:val="single"/>
        </w:rPr>
      </w:pPr>
      <w:r w:rsidRPr="00F61BBF">
        <w:rPr>
          <w:u w:val="single"/>
          <w:lang w:val="en-US"/>
        </w:rPr>
        <w:t>Approach 1: reuse existing measurement, including legacy measurement for cell re-selection and EMR.</w:t>
      </w:r>
    </w:p>
    <w:p w14:paraId="020A9C11" w14:textId="6BEDD735" w:rsidR="004741B7" w:rsidRDefault="00DA28DC" w:rsidP="004741B7">
      <w:pPr>
        <w:rPr>
          <w:lang w:val="en-US" w:eastAsia="x-none"/>
        </w:rPr>
      </w:pPr>
      <w:r>
        <w:rPr>
          <w:lang w:eastAsia="x-none"/>
        </w:rPr>
        <w:t xml:space="preserve">We don’t see any feasibility issue of reusing </w:t>
      </w:r>
      <w:r w:rsidRPr="00DA28DC">
        <w:rPr>
          <w:lang w:val="en-US" w:eastAsia="x-none"/>
        </w:rPr>
        <w:t>existing measurement, including legacy measurement for cell re-selection and EMR.</w:t>
      </w:r>
      <w:r>
        <w:rPr>
          <w:lang w:val="en-US" w:eastAsia="x-none"/>
        </w:rPr>
        <w:t xml:space="preserve"> The key point is how to make sure the existing measurement is still valid. In other word, whether the existing measurement result can still reflect the channel quality.</w:t>
      </w:r>
      <w:r w:rsidR="004741B7">
        <w:rPr>
          <w:lang w:val="en-US" w:eastAsia="x-none"/>
        </w:rPr>
        <w:t xml:space="preserve"> Usually, it is UE movement which would result in change of RRM measurement results. So that validity of EMR result can somehow be implicitly done by checking UE movement between the timestamp (A) when EMR result is obtained and the timestamp (B) when UE returns to connected mode. In previous meeting some company proposed some non-3GPP based solution. Even though it was not extensively discussed, we think technically it is something doable. For example, based on GNSS UE can know the distance X between the timestamp A and B. With this information UE can know whether previous EMR result can be useful or not.</w:t>
      </w:r>
    </w:p>
    <w:p w14:paraId="6C11E521" w14:textId="77777777" w:rsidR="004741B7" w:rsidRPr="00C612F6" w:rsidRDefault="004741B7" w:rsidP="004741B7">
      <w:pPr>
        <w:jc w:val="center"/>
        <w:rPr>
          <w:lang w:val="en-US" w:eastAsia="x-none"/>
        </w:rPr>
      </w:pPr>
      <w:r w:rsidRPr="00497E8D">
        <w:rPr>
          <w:noProof/>
          <w:lang w:val="en-US" w:eastAsia="x-none"/>
        </w:rPr>
        <w:drawing>
          <wp:inline distT="0" distB="0" distL="0" distR="0" wp14:anchorId="69A2B48C" wp14:editId="21F542E4">
            <wp:extent cx="3943786" cy="14758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65172" cy="1483803"/>
                    </a:xfrm>
                    <a:prstGeom prst="rect">
                      <a:avLst/>
                    </a:prstGeom>
                  </pic:spPr>
                </pic:pic>
              </a:graphicData>
            </a:graphic>
          </wp:inline>
        </w:drawing>
      </w:r>
    </w:p>
    <w:p w14:paraId="05902299" w14:textId="77777777" w:rsidR="004741B7" w:rsidRDefault="004741B7" w:rsidP="004741B7">
      <w:pPr>
        <w:pStyle w:val="Caption"/>
        <w:jc w:val="center"/>
      </w:pPr>
      <w:r>
        <w:t xml:space="preserve">Figure </w:t>
      </w:r>
      <w:r>
        <w:fldChar w:fldCharType="begin"/>
      </w:r>
      <w:r>
        <w:instrText xml:space="preserve"> SEQ Figure \* ARABIC </w:instrText>
      </w:r>
      <w:r>
        <w:fldChar w:fldCharType="separate"/>
      </w:r>
      <w:r>
        <w:rPr>
          <w:noProof/>
        </w:rPr>
        <w:t>1</w:t>
      </w:r>
      <w:r>
        <w:fldChar w:fldCharType="end"/>
      </w:r>
    </w:p>
    <w:p w14:paraId="058BF884" w14:textId="77777777" w:rsidR="004741B7" w:rsidRDefault="004741B7" w:rsidP="004741B7">
      <w:pPr>
        <w:rPr>
          <w:lang w:eastAsia="x-none"/>
        </w:rPr>
      </w:pPr>
      <w:r>
        <w:rPr>
          <w:lang w:eastAsia="x-none"/>
        </w:rPr>
        <w:t xml:space="preserve">Another way is to check measurement results of serving cell. Note that UE may stop EMR measurement after T331 expires. Nevertheless, UE still needs to measure serving cell from time to time in idle/inactive mode. By checking the change of serving cell measurement results, UE may be able to determine whether previous EMR measurement result is reliable or not. Take figure 2 for example, if the variation of serving cell measurement Y is quite small between </w:t>
      </w:r>
      <w:r>
        <w:rPr>
          <w:lang w:eastAsia="x-none"/>
        </w:rPr>
        <w:lastRenderedPageBreak/>
        <w:t>timestamp A and B, UE can consider EMR result which is obtained at A is still reliable when it returns connected mode at B.</w:t>
      </w:r>
    </w:p>
    <w:p w14:paraId="65C98484" w14:textId="77777777" w:rsidR="004741B7" w:rsidRDefault="004741B7" w:rsidP="004741B7">
      <w:pPr>
        <w:jc w:val="center"/>
        <w:rPr>
          <w:lang w:eastAsia="x-none"/>
        </w:rPr>
      </w:pPr>
      <w:r>
        <w:rPr>
          <w:noProof/>
          <w:lang w:eastAsia="x-none"/>
        </w:rPr>
        <w:drawing>
          <wp:inline distT="0" distB="0" distL="0" distR="0" wp14:anchorId="5913EB1C" wp14:editId="6C2F798B">
            <wp:extent cx="4690662" cy="1480826"/>
            <wp:effectExtent l="0" t="0" r="0" b="5080"/>
            <wp:docPr id="4" name="Picture 4" descr="A picture containing text, hanger, lamp, curle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hanger, lamp, curlew&#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25885" cy="1491946"/>
                    </a:xfrm>
                    <a:prstGeom prst="rect">
                      <a:avLst/>
                    </a:prstGeom>
                  </pic:spPr>
                </pic:pic>
              </a:graphicData>
            </a:graphic>
          </wp:inline>
        </w:drawing>
      </w:r>
    </w:p>
    <w:p w14:paraId="7EEDAE5D" w14:textId="77777777" w:rsidR="004741B7" w:rsidRDefault="004741B7" w:rsidP="004741B7">
      <w:pPr>
        <w:pStyle w:val="Caption"/>
        <w:jc w:val="center"/>
      </w:pPr>
      <w:r>
        <w:t xml:space="preserve">Figure </w:t>
      </w:r>
      <w:r>
        <w:fldChar w:fldCharType="begin"/>
      </w:r>
      <w:r>
        <w:instrText xml:space="preserve"> SEQ Figure \* ARABIC </w:instrText>
      </w:r>
      <w:r>
        <w:fldChar w:fldCharType="separate"/>
      </w:r>
      <w:r>
        <w:rPr>
          <w:noProof/>
        </w:rPr>
        <w:t>2</w:t>
      </w:r>
      <w:r>
        <w:fldChar w:fldCharType="end"/>
      </w:r>
    </w:p>
    <w:p w14:paraId="4489033F" w14:textId="3B6B3CFA" w:rsidR="004741B7" w:rsidRDefault="004741B7" w:rsidP="004741B7">
      <w:pPr>
        <w:rPr>
          <w:lang w:eastAsia="x-none"/>
        </w:rPr>
      </w:pPr>
      <w:r>
        <w:rPr>
          <w:lang w:eastAsia="x-none"/>
        </w:rPr>
        <w:t>However, there are still some issues. For the first approach which requires some non-3GPP based solutions, it is very challenging to identify specification impact and to verify performance. For the second approach, i.e. checking serving cell measurement results, it is also very difficult to get a clear point A since it is purely up to UE implementation on how to do the sampling on all the carriers. With different implementations, it is very likely that point A is different for different UE even if they are configured with the same number layers to measure. Therefore, it is very challenging to specify any new requirements for that.</w:t>
      </w:r>
    </w:p>
    <w:p w14:paraId="574E63F9" w14:textId="77777777" w:rsidR="004741B7" w:rsidRDefault="004741B7" w:rsidP="004741B7">
      <w:pPr>
        <w:rPr>
          <w:lang w:val="en-US" w:eastAsia="x-none"/>
        </w:rPr>
      </w:pPr>
      <w:r>
        <w:rPr>
          <w:lang w:eastAsia="x-none"/>
        </w:rPr>
        <w:t xml:space="preserve">One possible solution is to add some new indication in EMR report to inform network that whether the reported EMR results can be considered valid or not. It is up to UE implementation on how to validate EMR results. Note that above analysis also applies for </w:t>
      </w:r>
      <w:r>
        <w:rPr>
          <w:lang w:val="en-US" w:eastAsia="x-none"/>
        </w:rPr>
        <w:t>t</w:t>
      </w:r>
      <w:r w:rsidRPr="00A62C9E">
        <w:rPr>
          <w:lang w:val="en-US" w:eastAsia="x-none"/>
        </w:rPr>
        <w:t>raditional RRM measurement in IDLE/INACTIVE</w:t>
      </w:r>
      <w:r>
        <w:rPr>
          <w:lang w:val="en-US" w:eastAsia="x-none"/>
        </w:rPr>
        <w:t xml:space="preserve"> mode. Even if a UE does not support EMR, it may still need to perform traditional RRM measurement, e.g. on layers with higher priority and other layers when serving cell quality is not good. If UE can make sure those measurement results are still valid when returning to connected mode, it can provide those results to network. This can also help network to configure SCell or SCG. Similarly, UE has freedom in determination of measurement scheme. It is unlikely to precisely verify when the last measurement sample is taken for different neighbor cells on different layers.</w:t>
      </w:r>
    </w:p>
    <w:p w14:paraId="4A184057" w14:textId="7F4733FF" w:rsidR="00DA28DC" w:rsidRDefault="00DA28DC" w:rsidP="004036A3">
      <w:pPr>
        <w:rPr>
          <w:lang w:val="en-US" w:eastAsia="x-none"/>
        </w:rPr>
      </w:pPr>
    </w:p>
    <w:p w14:paraId="05F5A34C" w14:textId="6EF5095B" w:rsidR="00F61BBF" w:rsidRPr="00F61BBF" w:rsidRDefault="00F61BBF" w:rsidP="004036A3">
      <w:pPr>
        <w:pStyle w:val="ListParagraph"/>
        <w:numPr>
          <w:ilvl w:val="0"/>
          <w:numId w:val="45"/>
        </w:numPr>
        <w:ind w:left="284" w:firstLineChars="0"/>
        <w:rPr>
          <w:u w:val="single"/>
        </w:rPr>
      </w:pPr>
      <w:r w:rsidRPr="00F61BBF">
        <w:rPr>
          <w:u w:val="single"/>
          <w:lang w:val="en-US"/>
        </w:rPr>
        <w:t xml:space="preserve">Approach </w:t>
      </w:r>
      <w:r>
        <w:rPr>
          <w:u w:val="single"/>
          <w:lang w:val="en-US"/>
        </w:rPr>
        <w:t>2</w:t>
      </w:r>
      <w:r w:rsidRPr="00F61BBF">
        <w:rPr>
          <w:u w:val="single"/>
          <w:lang w:val="en-US"/>
        </w:rPr>
        <w:t>: perform addition measurement starting from RRC connection setup/resume procedure.</w:t>
      </w:r>
    </w:p>
    <w:p w14:paraId="685AFEAE" w14:textId="4C3E3A86" w:rsidR="007A236E" w:rsidRDefault="007A236E" w:rsidP="004036A3">
      <w:pPr>
        <w:rPr>
          <w:lang w:val="en-US" w:eastAsia="x-none"/>
        </w:rPr>
      </w:pPr>
      <w:r>
        <w:rPr>
          <w:lang w:val="en-US" w:eastAsia="x-none"/>
        </w:rPr>
        <w:t>As for the additional measurement during RRC setup procedure,</w:t>
      </w:r>
      <w:r w:rsidR="00C07ED4">
        <w:rPr>
          <w:lang w:val="en-US" w:eastAsia="x-none"/>
        </w:rPr>
        <w:t xml:space="preserve"> </w:t>
      </w:r>
      <w:r w:rsidR="002A13DF">
        <w:rPr>
          <w:lang w:val="en-US" w:eastAsia="x-none"/>
        </w:rPr>
        <w:t xml:space="preserve">from UE implementation point of view </w:t>
      </w:r>
      <w:r w:rsidR="00C07ED4">
        <w:rPr>
          <w:lang w:val="en-US" w:eastAsia="x-none"/>
        </w:rPr>
        <w:t xml:space="preserve">we believe UE can of course try to do so. However, from standard perspective, we cannot make sure UE can always succeed in such measurement. </w:t>
      </w:r>
      <w:r w:rsidR="002A13DF">
        <w:rPr>
          <w:lang w:val="en-US" w:eastAsia="x-none"/>
        </w:rPr>
        <w:t xml:space="preserve">In previous RAN4 meetings some company proposed to let UE do some quick measurement (1~2 samples) based on short SMTC (e.g. 20ms). </w:t>
      </w:r>
      <w:r w:rsidR="00394A49">
        <w:rPr>
          <w:lang w:val="en-US" w:eastAsia="x-none"/>
        </w:rPr>
        <w:t xml:space="preserve">The feasibility is questionable. </w:t>
      </w:r>
      <w:r w:rsidR="00933359">
        <w:rPr>
          <w:lang w:val="en-US" w:eastAsia="x-none"/>
        </w:rPr>
        <w:t>For instance</w:t>
      </w:r>
      <w:r w:rsidR="00F61BBF">
        <w:rPr>
          <w:lang w:val="en-US" w:eastAsia="x-none"/>
        </w:rPr>
        <w:t>, Rx beam sweeping is still needed unless target cell has just been measured recently. But if the target cell has been measured recently, UE can directly send the report as in approach 1.</w:t>
      </w:r>
      <w:r w:rsidR="00CF7DE7">
        <w:rPr>
          <w:lang w:val="en-US" w:eastAsia="x-none"/>
        </w:rPr>
        <w:t xml:space="preserve"> Hence additional one or two shots measurement during RRC connection setup procedure cannot always give UE valid measurement results.</w:t>
      </w:r>
      <w:r w:rsidR="00D832CB">
        <w:rPr>
          <w:lang w:val="en-US" w:eastAsia="x-none"/>
        </w:rPr>
        <w:t xml:space="preserve"> </w:t>
      </w:r>
    </w:p>
    <w:p w14:paraId="6E12D4BC" w14:textId="28C2C332" w:rsidR="00D457A3" w:rsidRPr="005E2492" w:rsidRDefault="005E2492" w:rsidP="005E2492">
      <w:pPr>
        <w:pStyle w:val="Caption"/>
      </w:pPr>
      <w:bookmarkStart w:id="3" w:name="_Ref131513031"/>
      <w:r>
        <w:t xml:space="preserve">Observation </w:t>
      </w:r>
      <w:r>
        <w:fldChar w:fldCharType="begin"/>
      </w:r>
      <w:r>
        <w:instrText xml:space="preserve"> SEQ Observation \* ARABIC </w:instrText>
      </w:r>
      <w:r>
        <w:fldChar w:fldCharType="separate"/>
      </w:r>
      <w:r>
        <w:rPr>
          <w:noProof/>
        </w:rPr>
        <w:t>1</w:t>
      </w:r>
      <w:r>
        <w:fldChar w:fldCharType="end"/>
      </w:r>
      <w:r>
        <w:t>: feasibility of additional measurement during RRC connection setup is questionable. For instance, Rx beam sweeping is still needed for additional measurement during RRC connection setup unless target cell has been measured recently. However, if target cell has been measured recently before RRC connection setup, UE could directly send that measurement result, instead of doing another round of measurement.</w:t>
      </w:r>
      <w:bookmarkEnd w:id="3"/>
      <w:r>
        <w:t xml:space="preserve"> </w:t>
      </w:r>
    </w:p>
    <w:p w14:paraId="1C9B1139" w14:textId="77777777" w:rsidR="00365E37" w:rsidRDefault="00365E37" w:rsidP="00365E37">
      <w:pPr>
        <w:pStyle w:val="Caption"/>
      </w:pPr>
      <w:bookmarkStart w:id="4" w:name="_Ref127469975"/>
      <w:r>
        <w:t xml:space="preserve">Proposal </w:t>
      </w:r>
      <w:r>
        <w:fldChar w:fldCharType="begin"/>
      </w:r>
      <w:r>
        <w:instrText xml:space="preserve"> SEQ Proposal \* ARABIC </w:instrText>
      </w:r>
      <w:r>
        <w:fldChar w:fldCharType="separate"/>
      </w:r>
      <w:r>
        <w:rPr>
          <w:noProof/>
        </w:rPr>
        <w:t>1</w:t>
      </w:r>
      <w:r>
        <w:fldChar w:fldCharType="end"/>
      </w:r>
      <w:r>
        <w:t>: consider the following approach to improve FR2 SCell/SCG setup delay</w:t>
      </w:r>
      <w:bookmarkEnd w:id="4"/>
    </w:p>
    <w:p w14:paraId="03F07CDF" w14:textId="77777777" w:rsidR="00365E37" w:rsidRPr="007F6490" w:rsidRDefault="00365E37" w:rsidP="00365E37">
      <w:pPr>
        <w:pStyle w:val="ListParagraph"/>
        <w:numPr>
          <w:ilvl w:val="0"/>
          <w:numId w:val="46"/>
        </w:numPr>
        <w:ind w:firstLineChars="0"/>
        <w:rPr>
          <w:b/>
          <w:bCs/>
        </w:rPr>
      </w:pPr>
      <w:r w:rsidRPr="007F6490">
        <w:rPr>
          <w:b/>
          <w:bCs/>
          <w:lang w:val="en-US"/>
        </w:rPr>
        <w:t>For EMR capable UE, introduce a new indication in existing EMR report to allow UE to indicate network whether and which EMR measurement results are valid upon UE returning connected mode.</w:t>
      </w:r>
    </w:p>
    <w:p w14:paraId="3BF31D3A" w14:textId="77777777" w:rsidR="00365E37" w:rsidRPr="007F6490" w:rsidRDefault="00365E37" w:rsidP="00365E37">
      <w:pPr>
        <w:pStyle w:val="ListParagraph"/>
        <w:numPr>
          <w:ilvl w:val="0"/>
          <w:numId w:val="46"/>
        </w:numPr>
        <w:ind w:firstLineChars="0"/>
        <w:rPr>
          <w:b/>
          <w:bCs/>
        </w:rPr>
      </w:pPr>
      <w:r w:rsidRPr="007F6490">
        <w:rPr>
          <w:b/>
          <w:bCs/>
          <w:lang w:val="en-US"/>
        </w:rPr>
        <w:t>For non-EMR capable UE, allow UE to report valid measurement results obtained during idle/inactive mode upon UE returning connected mode.</w:t>
      </w:r>
    </w:p>
    <w:p w14:paraId="25676674" w14:textId="77777777" w:rsidR="00826EAD" w:rsidRPr="00826EAD" w:rsidRDefault="00826EAD" w:rsidP="00826EAD">
      <w:pPr>
        <w:pStyle w:val="ListParagraph"/>
        <w:numPr>
          <w:ilvl w:val="0"/>
          <w:numId w:val="46"/>
        </w:numPr>
        <w:ind w:firstLineChars="0"/>
        <w:rPr>
          <w:b/>
          <w:bCs/>
          <w:lang w:val="en-US"/>
        </w:rPr>
      </w:pPr>
      <w:r w:rsidRPr="00826EAD">
        <w:rPr>
          <w:b/>
          <w:bCs/>
          <w:lang w:val="en-US"/>
        </w:rPr>
        <w:t>Determination of whether measurement results are valid:</w:t>
      </w:r>
    </w:p>
    <w:p w14:paraId="0AD2371A" w14:textId="77777777" w:rsidR="00826EAD" w:rsidRPr="00826EAD" w:rsidRDefault="00826EAD" w:rsidP="00826EAD">
      <w:pPr>
        <w:pStyle w:val="ListParagraph"/>
        <w:numPr>
          <w:ilvl w:val="1"/>
          <w:numId w:val="46"/>
        </w:numPr>
        <w:ind w:firstLineChars="0"/>
        <w:rPr>
          <w:b/>
          <w:bCs/>
          <w:lang w:val="en-US"/>
        </w:rPr>
      </w:pPr>
      <w:r w:rsidRPr="00826EAD">
        <w:rPr>
          <w:b/>
          <w:bCs/>
          <w:lang w:val="en-US"/>
        </w:rPr>
        <w:t>Option 1: up to UE implementation.</w:t>
      </w:r>
    </w:p>
    <w:p w14:paraId="5EB80855" w14:textId="3D989472" w:rsidR="00B50950" w:rsidRPr="00826EAD" w:rsidRDefault="00826EAD" w:rsidP="00826EAD">
      <w:pPr>
        <w:pStyle w:val="ListParagraph"/>
        <w:numPr>
          <w:ilvl w:val="1"/>
          <w:numId w:val="46"/>
        </w:numPr>
        <w:ind w:firstLineChars="0"/>
        <w:rPr>
          <w:b/>
          <w:bCs/>
          <w:lang w:val="en-US"/>
        </w:rPr>
      </w:pPr>
      <w:r w:rsidRPr="00826EAD">
        <w:rPr>
          <w:b/>
          <w:bCs/>
          <w:lang w:val="en-US"/>
        </w:rPr>
        <w:t>Option 2: variation of serving cell quality does not exceed [X] dB.</w:t>
      </w:r>
    </w:p>
    <w:p w14:paraId="73B6AF2B" w14:textId="77777777" w:rsidR="00B50950" w:rsidRPr="00927D0A" w:rsidRDefault="00B50950"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1F18AE07"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3B6BC9">
        <w:rPr>
          <w:lang w:val="en-US"/>
        </w:rPr>
        <w:t>i</w:t>
      </w:r>
      <w:r w:rsidR="003B6BC9" w:rsidRPr="00D57EDB">
        <w:rPr>
          <w:lang w:val="en-US"/>
        </w:rPr>
        <w:t>mprovement on FR2 SCell/SCG setup delay</w:t>
      </w:r>
      <w:r w:rsidR="00780A46" w:rsidRPr="00B66FBB">
        <w:rPr>
          <w:rFonts w:cs="v4.2.0"/>
          <w:lang w:val="en-US" w:eastAsia="zh-CN"/>
        </w:rPr>
        <w:t>. After discussion, the following conclusions are provided:</w:t>
      </w:r>
    </w:p>
    <w:p w14:paraId="29E12CCD" w14:textId="5AB96F8D" w:rsidR="008B5DD7" w:rsidRPr="008B5DD7" w:rsidRDefault="008B5DD7" w:rsidP="005636A6">
      <w:pPr>
        <w:jc w:val="both"/>
        <w:rPr>
          <w:rFonts w:cs="v4.2.0"/>
          <w:b/>
          <w:bCs/>
          <w:lang w:val="en-US" w:eastAsia="zh-CN"/>
        </w:rPr>
      </w:pPr>
      <w:r w:rsidRPr="008B5DD7">
        <w:rPr>
          <w:rFonts w:cs="v4.2.0"/>
          <w:b/>
          <w:bCs/>
          <w:lang w:val="en-US" w:eastAsia="zh-CN"/>
        </w:rPr>
        <w:fldChar w:fldCharType="begin"/>
      </w:r>
      <w:r w:rsidRPr="008B5DD7">
        <w:rPr>
          <w:rFonts w:cs="v4.2.0"/>
          <w:b/>
          <w:bCs/>
          <w:lang w:val="en-US" w:eastAsia="zh-CN"/>
        </w:rPr>
        <w:instrText xml:space="preserve"> REF _Ref131513031 \h </w:instrText>
      </w:r>
      <w:r>
        <w:rPr>
          <w:rFonts w:cs="v4.2.0"/>
          <w:b/>
          <w:bCs/>
          <w:lang w:val="en-US" w:eastAsia="zh-CN"/>
        </w:rPr>
        <w:instrText xml:space="preserve"> \* MERGEFORMAT </w:instrText>
      </w:r>
      <w:r w:rsidRPr="008B5DD7">
        <w:rPr>
          <w:rFonts w:cs="v4.2.0"/>
          <w:b/>
          <w:bCs/>
          <w:lang w:val="en-US" w:eastAsia="zh-CN"/>
        </w:rPr>
      </w:r>
      <w:r w:rsidRPr="008B5DD7">
        <w:rPr>
          <w:rFonts w:cs="v4.2.0"/>
          <w:b/>
          <w:bCs/>
          <w:lang w:val="en-US" w:eastAsia="zh-CN"/>
        </w:rPr>
        <w:fldChar w:fldCharType="separate"/>
      </w:r>
      <w:r w:rsidRPr="008B5DD7">
        <w:rPr>
          <w:b/>
          <w:bCs/>
        </w:rPr>
        <w:t xml:space="preserve">Observation </w:t>
      </w:r>
      <w:r w:rsidRPr="008B5DD7">
        <w:rPr>
          <w:b/>
          <w:bCs/>
          <w:noProof/>
        </w:rPr>
        <w:t>1</w:t>
      </w:r>
      <w:r w:rsidRPr="008B5DD7">
        <w:rPr>
          <w:b/>
          <w:bCs/>
        </w:rPr>
        <w:t>: feasibility of additional measurement during RRC connection setup is questionable. For instance, Rx beam sweeping is still needed for additional measurement during RRC connection setup unless target cell has been measured recently. However, if target cell has been measured recently before RRC connection setup, UE could directly send that measurement result, instead of doing another round of measurement.</w:t>
      </w:r>
      <w:r w:rsidRPr="008B5DD7">
        <w:rPr>
          <w:rFonts w:cs="v4.2.0"/>
          <w:b/>
          <w:bCs/>
          <w:lang w:val="en-US" w:eastAsia="zh-CN"/>
        </w:rPr>
        <w:fldChar w:fldCharType="end"/>
      </w:r>
    </w:p>
    <w:p w14:paraId="71969BA4" w14:textId="16F9509D" w:rsidR="008B5DD7" w:rsidRPr="008B5DD7" w:rsidRDefault="008B5DD7" w:rsidP="005636A6">
      <w:pPr>
        <w:jc w:val="both"/>
        <w:rPr>
          <w:rFonts w:cs="v4.2.0"/>
          <w:b/>
          <w:bCs/>
          <w:lang w:val="en-US" w:eastAsia="zh-CN"/>
        </w:rPr>
      </w:pPr>
      <w:r w:rsidRPr="008B5DD7">
        <w:rPr>
          <w:rFonts w:cs="v4.2.0"/>
          <w:b/>
          <w:bCs/>
          <w:lang w:val="en-US" w:eastAsia="zh-CN"/>
        </w:rPr>
        <w:fldChar w:fldCharType="begin"/>
      </w:r>
      <w:r w:rsidRPr="008B5DD7">
        <w:rPr>
          <w:rFonts w:cs="v4.2.0"/>
          <w:b/>
          <w:bCs/>
          <w:lang w:val="en-US" w:eastAsia="zh-CN"/>
        </w:rPr>
        <w:instrText xml:space="preserve"> REF _Ref127469975 \h </w:instrText>
      </w:r>
      <w:r>
        <w:rPr>
          <w:rFonts w:cs="v4.2.0"/>
          <w:b/>
          <w:bCs/>
          <w:lang w:val="en-US" w:eastAsia="zh-CN"/>
        </w:rPr>
        <w:instrText xml:space="preserve"> \* MERGEFORMAT </w:instrText>
      </w:r>
      <w:r w:rsidRPr="008B5DD7">
        <w:rPr>
          <w:rFonts w:cs="v4.2.0"/>
          <w:b/>
          <w:bCs/>
          <w:lang w:val="en-US" w:eastAsia="zh-CN"/>
        </w:rPr>
      </w:r>
      <w:r w:rsidRPr="008B5DD7">
        <w:rPr>
          <w:rFonts w:cs="v4.2.0"/>
          <w:b/>
          <w:bCs/>
          <w:lang w:val="en-US" w:eastAsia="zh-CN"/>
        </w:rPr>
        <w:fldChar w:fldCharType="separate"/>
      </w:r>
      <w:r w:rsidRPr="008B5DD7">
        <w:rPr>
          <w:b/>
          <w:bCs/>
        </w:rPr>
        <w:t xml:space="preserve">Proposal </w:t>
      </w:r>
      <w:r w:rsidRPr="008B5DD7">
        <w:rPr>
          <w:b/>
          <w:bCs/>
          <w:noProof/>
        </w:rPr>
        <w:t>1</w:t>
      </w:r>
      <w:r w:rsidRPr="008B5DD7">
        <w:rPr>
          <w:b/>
          <w:bCs/>
        </w:rPr>
        <w:t>: consider the following approach to improve FR2 SCell/SCG setup delay</w:t>
      </w:r>
      <w:r w:rsidRPr="008B5DD7">
        <w:rPr>
          <w:rFonts w:cs="v4.2.0"/>
          <w:b/>
          <w:bCs/>
          <w:lang w:val="en-US" w:eastAsia="zh-CN"/>
        </w:rPr>
        <w:fldChar w:fldCharType="end"/>
      </w:r>
    </w:p>
    <w:p w14:paraId="7F66E09D" w14:textId="77777777" w:rsidR="008B5DD7" w:rsidRPr="007F6490" w:rsidRDefault="008B5DD7" w:rsidP="008B5DD7">
      <w:pPr>
        <w:pStyle w:val="ListParagraph"/>
        <w:numPr>
          <w:ilvl w:val="0"/>
          <w:numId w:val="46"/>
        </w:numPr>
        <w:ind w:firstLineChars="0"/>
        <w:rPr>
          <w:b/>
          <w:bCs/>
        </w:rPr>
      </w:pPr>
      <w:r w:rsidRPr="007F6490">
        <w:rPr>
          <w:b/>
          <w:bCs/>
          <w:lang w:val="en-US"/>
        </w:rPr>
        <w:t>For EMR capable UE, introduce a new indication in existing EMR report to allow UE to indicate network whether and which EMR measurement results are valid upon UE returning connected mode.</w:t>
      </w:r>
    </w:p>
    <w:p w14:paraId="28C3EB5C" w14:textId="77777777" w:rsidR="008B5DD7" w:rsidRPr="007F6490" w:rsidRDefault="008B5DD7" w:rsidP="008B5DD7">
      <w:pPr>
        <w:pStyle w:val="ListParagraph"/>
        <w:numPr>
          <w:ilvl w:val="0"/>
          <w:numId w:val="46"/>
        </w:numPr>
        <w:ind w:firstLineChars="0"/>
        <w:rPr>
          <w:b/>
          <w:bCs/>
        </w:rPr>
      </w:pPr>
      <w:r w:rsidRPr="007F6490">
        <w:rPr>
          <w:b/>
          <w:bCs/>
          <w:lang w:val="en-US"/>
        </w:rPr>
        <w:t>For non-EMR capable UE, allow UE to report valid measurement results obtained during idle/inactive mode upon UE returning connected mode.</w:t>
      </w:r>
    </w:p>
    <w:p w14:paraId="05D25A17" w14:textId="77777777" w:rsidR="00826EAD" w:rsidRPr="00826EAD" w:rsidRDefault="00826EAD" w:rsidP="00826EAD">
      <w:pPr>
        <w:pStyle w:val="ListParagraph"/>
        <w:numPr>
          <w:ilvl w:val="0"/>
          <w:numId w:val="46"/>
        </w:numPr>
        <w:ind w:firstLineChars="0"/>
        <w:rPr>
          <w:b/>
          <w:bCs/>
          <w:lang w:val="en-US"/>
        </w:rPr>
      </w:pPr>
      <w:r w:rsidRPr="00826EAD">
        <w:rPr>
          <w:b/>
          <w:bCs/>
          <w:lang w:val="en-US"/>
        </w:rPr>
        <w:t>Determination of whether measurement results are valid:</w:t>
      </w:r>
    </w:p>
    <w:p w14:paraId="71D6D355" w14:textId="77777777" w:rsidR="00826EAD" w:rsidRPr="00826EAD" w:rsidRDefault="00826EAD" w:rsidP="00826EAD">
      <w:pPr>
        <w:pStyle w:val="ListParagraph"/>
        <w:numPr>
          <w:ilvl w:val="1"/>
          <w:numId w:val="46"/>
        </w:numPr>
        <w:ind w:firstLineChars="0"/>
        <w:rPr>
          <w:b/>
          <w:bCs/>
          <w:lang w:val="en-US"/>
        </w:rPr>
      </w:pPr>
      <w:r w:rsidRPr="00826EAD">
        <w:rPr>
          <w:b/>
          <w:bCs/>
          <w:lang w:val="en-US"/>
        </w:rPr>
        <w:t>Option 1: up to UE implementation.</w:t>
      </w:r>
    </w:p>
    <w:p w14:paraId="59765FCF" w14:textId="77777777" w:rsidR="00826EAD" w:rsidRPr="00826EAD" w:rsidRDefault="00826EAD" w:rsidP="00826EAD">
      <w:pPr>
        <w:pStyle w:val="ListParagraph"/>
        <w:numPr>
          <w:ilvl w:val="1"/>
          <w:numId w:val="46"/>
        </w:numPr>
        <w:ind w:firstLineChars="0"/>
        <w:rPr>
          <w:b/>
          <w:bCs/>
          <w:lang w:val="en-US"/>
        </w:rPr>
      </w:pPr>
      <w:r w:rsidRPr="00826EAD">
        <w:rPr>
          <w:b/>
          <w:bCs/>
          <w:lang w:val="en-US"/>
        </w:rPr>
        <w:t>Option 2: variation of serving cell quality does not exceed [X] dB.</w:t>
      </w:r>
    </w:p>
    <w:p w14:paraId="478AF2A2" w14:textId="77777777" w:rsidR="00C90F03" w:rsidRPr="00A65FA8" w:rsidRDefault="00C90F03" w:rsidP="000D3027">
      <w:pPr>
        <w:jc w:val="both"/>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7E23BFEE" w14:textId="693DF4E8" w:rsidR="009A7DAD" w:rsidRPr="002449DB" w:rsidRDefault="009A7DAD" w:rsidP="002449DB">
      <w:pPr>
        <w:pStyle w:val="Reference"/>
        <w:keepLines/>
        <w:numPr>
          <w:ilvl w:val="0"/>
          <w:numId w:val="12"/>
        </w:numPr>
        <w:rPr>
          <w:lang w:val="en-US"/>
        </w:rPr>
      </w:pPr>
      <w:r w:rsidRPr="009A7DAD">
        <w:rPr>
          <w:bCs/>
          <w:lang w:val="en-US" w:eastAsia="zh-CN"/>
        </w:rPr>
        <w:t>R4-2303309</w:t>
      </w:r>
      <w:r>
        <w:rPr>
          <w:bCs/>
          <w:lang w:val="en-US" w:eastAsia="zh-CN"/>
        </w:rPr>
        <w:t xml:space="preserve">, </w:t>
      </w:r>
      <w:r w:rsidRPr="009A7DAD">
        <w:rPr>
          <w:bCs/>
          <w:lang w:val="en-US" w:eastAsia="zh-CN"/>
        </w:rPr>
        <w:t>WF on NR Mobility Enhancements RRM requirements (part 2)</w:t>
      </w:r>
      <w:r>
        <w:rPr>
          <w:bCs/>
          <w:lang w:val="en-US" w:eastAsia="zh-CN"/>
        </w:rPr>
        <w:t>, Apple</w:t>
      </w:r>
    </w:p>
    <w:sectPr w:rsidR="009A7DAD" w:rsidRPr="002449DB"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6E173" w14:textId="77777777" w:rsidR="007A74FA" w:rsidRDefault="007A74FA">
      <w:pPr>
        <w:spacing w:after="0"/>
      </w:pPr>
      <w:r>
        <w:separator/>
      </w:r>
    </w:p>
  </w:endnote>
  <w:endnote w:type="continuationSeparator" w:id="0">
    <w:p w14:paraId="1C6032A9" w14:textId="77777777" w:rsidR="007A74FA" w:rsidRDefault="007A74FA">
      <w:pPr>
        <w:spacing w:after="0"/>
      </w:pPr>
      <w:r>
        <w:continuationSeparator/>
      </w:r>
    </w:p>
  </w:endnote>
  <w:endnote w:type="continuationNotice" w:id="1">
    <w:p w14:paraId="37F78550" w14:textId="77777777" w:rsidR="007A74FA" w:rsidRDefault="007A74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F270F" w14:textId="77777777" w:rsidR="007A74FA" w:rsidRDefault="007A74FA">
      <w:pPr>
        <w:spacing w:after="0"/>
      </w:pPr>
      <w:r>
        <w:separator/>
      </w:r>
    </w:p>
  </w:footnote>
  <w:footnote w:type="continuationSeparator" w:id="0">
    <w:p w14:paraId="3DCE1816" w14:textId="77777777" w:rsidR="007A74FA" w:rsidRDefault="007A74FA">
      <w:pPr>
        <w:spacing w:after="0"/>
      </w:pPr>
      <w:r>
        <w:continuationSeparator/>
      </w:r>
    </w:p>
  </w:footnote>
  <w:footnote w:type="continuationNotice" w:id="1">
    <w:p w14:paraId="6D6CD666" w14:textId="77777777" w:rsidR="007A74FA" w:rsidRDefault="007A74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8"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2"/>
  </w:num>
  <w:num w:numId="5" w16cid:durableId="648827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1"/>
  </w:num>
  <w:num w:numId="8" w16cid:durableId="1925916492">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39"/>
  </w:num>
  <w:num w:numId="12" w16cid:durableId="1175027039">
    <w:abstractNumId w:val="24"/>
  </w:num>
  <w:num w:numId="13" w16cid:durableId="665591870">
    <w:abstractNumId w:val="2"/>
  </w:num>
  <w:num w:numId="14" w16cid:durableId="1820999206">
    <w:abstractNumId w:val="29"/>
  </w:num>
  <w:num w:numId="15" w16cid:durableId="27068971">
    <w:abstractNumId w:val="15"/>
  </w:num>
  <w:num w:numId="16" w16cid:durableId="1673684540">
    <w:abstractNumId w:val="22"/>
  </w:num>
  <w:num w:numId="17" w16cid:durableId="689647860">
    <w:abstractNumId w:val="4"/>
  </w:num>
  <w:num w:numId="18" w16cid:durableId="836766221">
    <w:abstractNumId w:val="12"/>
  </w:num>
  <w:num w:numId="19" w16cid:durableId="2067408291">
    <w:abstractNumId w:val="36"/>
  </w:num>
  <w:num w:numId="20" w16cid:durableId="648173420">
    <w:abstractNumId w:val="26"/>
  </w:num>
  <w:num w:numId="21" w16cid:durableId="864829629">
    <w:abstractNumId w:val="30"/>
  </w:num>
  <w:num w:numId="22" w16cid:durableId="2002073984">
    <w:abstractNumId w:val="32"/>
  </w:num>
  <w:num w:numId="23" w16cid:durableId="1372269391">
    <w:abstractNumId w:val="3"/>
  </w:num>
  <w:num w:numId="24" w16cid:durableId="86540056">
    <w:abstractNumId w:val="25"/>
  </w:num>
  <w:num w:numId="25" w16cid:durableId="1848398925">
    <w:abstractNumId w:val="0"/>
  </w:num>
  <w:num w:numId="26" w16cid:durableId="268200992">
    <w:abstractNumId w:val="34"/>
  </w:num>
  <w:num w:numId="27" w16cid:durableId="1199899444">
    <w:abstractNumId w:val="6"/>
  </w:num>
  <w:num w:numId="28" w16cid:durableId="2124037151">
    <w:abstractNumId w:val="27"/>
  </w:num>
  <w:num w:numId="29" w16cid:durableId="1176505110">
    <w:abstractNumId w:val="37"/>
  </w:num>
  <w:num w:numId="30" w16cid:durableId="1879048688">
    <w:abstractNumId w:val="23"/>
  </w:num>
  <w:num w:numId="31" w16cid:durableId="1398741903">
    <w:abstractNumId w:val="11"/>
  </w:num>
  <w:num w:numId="32" w16cid:durableId="1789276309">
    <w:abstractNumId w:val="21"/>
  </w:num>
  <w:num w:numId="33" w16cid:durableId="193614665">
    <w:abstractNumId w:val="40"/>
  </w:num>
  <w:num w:numId="34" w16cid:durableId="23554501">
    <w:abstractNumId w:val="19"/>
  </w:num>
  <w:num w:numId="35" w16cid:durableId="57362482">
    <w:abstractNumId w:val="33"/>
  </w:num>
  <w:num w:numId="36" w16cid:durableId="747653175">
    <w:abstractNumId w:val="20"/>
  </w:num>
  <w:num w:numId="37" w16cid:durableId="1645423610">
    <w:abstractNumId w:val="41"/>
  </w:num>
  <w:num w:numId="38" w16cid:durableId="228196596">
    <w:abstractNumId w:val="8"/>
  </w:num>
  <w:num w:numId="39" w16cid:durableId="1155074632">
    <w:abstractNumId w:val="17"/>
  </w:num>
  <w:num w:numId="40" w16cid:durableId="599992077">
    <w:abstractNumId w:val="28"/>
  </w:num>
  <w:num w:numId="41" w16cid:durableId="396368277">
    <w:abstractNumId w:val="14"/>
  </w:num>
  <w:num w:numId="42" w16cid:durableId="809516542">
    <w:abstractNumId w:val="7"/>
  </w:num>
  <w:num w:numId="43" w16cid:durableId="1581021789">
    <w:abstractNumId w:val="1"/>
  </w:num>
  <w:num w:numId="44" w16cid:durableId="285502166">
    <w:abstractNumId w:val="13"/>
  </w:num>
  <w:num w:numId="45" w16cid:durableId="1454253243">
    <w:abstractNumId w:val="35"/>
  </w:num>
  <w:num w:numId="46" w16cid:durableId="897590612">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0F21"/>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6F"/>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070"/>
    <w:rsid w:val="0007333C"/>
    <w:rsid w:val="0007352C"/>
    <w:rsid w:val="000740FD"/>
    <w:rsid w:val="0007424B"/>
    <w:rsid w:val="0007431A"/>
    <w:rsid w:val="000743EA"/>
    <w:rsid w:val="00074759"/>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6ED"/>
    <w:rsid w:val="000908F0"/>
    <w:rsid w:val="00090EB1"/>
    <w:rsid w:val="00091301"/>
    <w:rsid w:val="00091476"/>
    <w:rsid w:val="0009154D"/>
    <w:rsid w:val="00091C34"/>
    <w:rsid w:val="00091C42"/>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05B7"/>
    <w:rsid w:val="000D3027"/>
    <w:rsid w:val="000D370C"/>
    <w:rsid w:val="000D3BE4"/>
    <w:rsid w:val="000D45C9"/>
    <w:rsid w:val="000D471A"/>
    <w:rsid w:val="000D5092"/>
    <w:rsid w:val="000D5C69"/>
    <w:rsid w:val="000D5DC6"/>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6B18"/>
    <w:rsid w:val="00127061"/>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3ABA"/>
    <w:rsid w:val="0015416A"/>
    <w:rsid w:val="00154365"/>
    <w:rsid w:val="001543DB"/>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967"/>
    <w:rsid w:val="00270B01"/>
    <w:rsid w:val="002714DF"/>
    <w:rsid w:val="0027274E"/>
    <w:rsid w:val="00272878"/>
    <w:rsid w:val="00272BF3"/>
    <w:rsid w:val="00273259"/>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A49"/>
    <w:rsid w:val="00394C7B"/>
    <w:rsid w:val="00394CE7"/>
    <w:rsid w:val="00395B53"/>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921"/>
    <w:rsid w:val="0045047E"/>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89D"/>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3E69"/>
    <w:rsid w:val="004B4262"/>
    <w:rsid w:val="004B4C8A"/>
    <w:rsid w:val="004B4F5F"/>
    <w:rsid w:val="004B61BF"/>
    <w:rsid w:val="004B686B"/>
    <w:rsid w:val="004B6A36"/>
    <w:rsid w:val="004B6B97"/>
    <w:rsid w:val="004B6BAB"/>
    <w:rsid w:val="004B6DE2"/>
    <w:rsid w:val="004B74F6"/>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2"/>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408E"/>
    <w:rsid w:val="00574CD1"/>
    <w:rsid w:val="00575AA1"/>
    <w:rsid w:val="00575AE7"/>
    <w:rsid w:val="00575B37"/>
    <w:rsid w:val="00575B91"/>
    <w:rsid w:val="00576151"/>
    <w:rsid w:val="00576368"/>
    <w:rsid w:val="005764D2"/>
    <w:rsid w:val="005770E6"/>
    <w:rsid w:val="00577376"/>
    <w:rsid w:val="00577536"/>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6C7B"/>
    <w:rsid w:val="005B718D"/>
    <w:rsid w:val="005B7538"/>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90"/>
    <w:rsid w:val="006A7E35"/>
    <w:rsid w:val="006A7F66"/>
    <w:rsid w:val="006A7F70"/>
    <w:rsid w:val="006B0442"/>
    <w:rsid w:val="006B04EF"/>
    <w:rsid w:val="006B0964"/>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669F"/>
    <w:rsid w:val="006D6F89"/>
    <w:rsid w:val="006D7810"/>
    <w:rsid w:val="006D7B1A"/>
    <w:rsid w:val="006E064C"/>
    <w:rsid w:val="006E0E97"/>
    <w:rsid w:val="006E1452"/>
    <w:rsid w:val="006E16E6"/>
    <w:rsid w:val="006E1ECC"/>
    <w:rsid w:val="006E2086"/>
    <w:rsid w:val="006E2D78"/>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8D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4FA"/>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3E56"/>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116"/>
    <w:rsid w:val="008B2281"/>
    <w:rsid w:val="008B252A"/>
    <w:rsid w:val="008B2DE0"/>
    <w:rsid w:val="008B41B3"/>
    <w:rsid w:val="008B461C"/>
    <w:rsid w:val="008B546D"/>
    <w:rsid w:val="008B595F"/>
    <w:rsid w:val="008B5DA7"/>
    <w:rsid w:val="008B5DD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1E"/>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3E9"/>
    <w:rsid w:val="009A5000"/>
    <w:rsid w:val="009A5102"/>
    <w:rsid w:val="009A7384"/>
    <w:rsid w:val="009A7955"/>
    <w:rsid w:val="009A7DAD"/>
    <w:rsid w:val="009B0FF4"/>
    <w:rsid w:val="009B26C3"/>
    <w:rsid w:val="009B2DCA"/>
    <w:rsid w:val="009B35FB"/>
    <w:rsid w:val="009B37D5"/>
    <w:rsid w:val="009B38D6"/>
    <w:rsid w:val="009B3AE3"/>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1802"/>
    <w:rsid w:val="00C030D9"/>
    <w:rsid w:val="00C03518"/>
    <w:rsid w:val="00C04278"/>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108"/>
    <w:rsid w:val="00CF6171"/>
    <w:rsid w:val="00CF651B"/>
    <w:rsid w:val="00CF7AA2"/>
    <w:rsid w:val="00CF7BE2"/>
    <w:rsid w:val="00CF7DE7"/>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464"/>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30B5"/>
    <w:rsid w:val="00D831DB"/>
    <w:rsid w:val="00D832CB"/>
    <w:rsid w:val="00D83762"/>
    <w:rsid w:val="00D83C5D"/>
    <w:rsid w:val="00D844B8"/>
    <w:rsid w:val="00D84932"/>
    <w:rsid w:val="00D85503"/>
    <w:rsid w:val="00D859E1"/>
    <w:rsid w:val="00D86123"/>
    <w:rsid w:val="00D864C6"/>
    <w:rsid w:val="00D867A0"/>
    <w:rsid w:val="00D8723F"/>
    <w:rsid w:val="00D87F5F"/>
    <w:rsid w:val="00D90AFA"/>
    <w:rsid w:val="00D90D12"/>
    <w:rsid w:val="00D91468"/>
    <w:rsid w:val="00D92503"/>
    <w:rsid w:val="00D927B0"/>
    <w:rsid w:val="00D927FD"/>
    <w:rsid w:val="00D92C8D"/>
    <w:rsid w:val="00D930D1"/>
    <w:rsid w:val="00D934D1"/>
    <w:rsid w:val="00D93843"/>
    <w:rsid w:val="00D93FAC"/>
    <w:rsid w:val="00D94134"/>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638"/>
    <w:rsid w:val="00E60716"/>
    <w:rsid w:val="00E611B8"/>
    <w:rsid w:val="00E61DED"/>
    <w:rsid w:val="00E62127"/>
    <w:rsid w:val="00E62C29"/>
    <w:rsid w:val="00E6384E"/>
    <w:rsid w:val="00E64319"/>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0CB"/>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72"/>
    <w:rsid w:val="00ED3241"/>
    <w:rsid w:val="00ED3DD3"/>
    <w:rsid w:val="00ED41A1"/>
    <w:rsid w:val="00ED4F4A"/>
    <w:rsid w:val="00ED516E"/>
    <w:rsid w:val="00ED54A5"/>
    <w:rsid w:val="00ED7A7B"/>
    <w:rsid w:val="00ED7B39"/>
    <w:rsid w:val="00ED7C3F"/>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CB0"/>
    <w:rsid w:val="00F90260"/>
    <w:rsid w:val="00F906C7"/>
    <w:rsid w:val="00F9188D"/>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6F"/>
    <w:rsid w:val="00FC7C99"/>
    <w:rsid w:val="00FC7D6C"/>
    <w:rsid w:val="00FC7E97"/>
    <w:rsid w:val="00FC7F44"/>
    <w:rsid w:val="00FD152C"/>
    <w:rsid w:val="00FD2C4F"/>
    <w:rsid w:val="00FD4602"/>
    <w:rsid w:val="00FD505E"/>
    <w:rsid w:val="00FD5169"/>
    <w:rsid w:val="00FD7941"/>
    <w:rsid w:val="00FE02C6"/>
    <w:rsid w:val="00FE06EA"/>
    <w:rsid w:val="00FE089D"/>
    <w:rsid w:val="00FE18D0"/>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409</TotalTime>
  <Pages>3</Pages>
  <Words>1103</Words>
  <Characters>6292</Characters>
  <Application>Microsoft Office Word</Application>
  <DocSecurity>0</DocSecurity>
  <Lines>52</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372</cp:revision>
  <cp:lastPrinted>2016-08-05T18:54:00Z</cp:lastPrinted>
  <dcterms:created xsi:type="dcterms:W3CDTF">2023-03-28T04:42:00Z</dcterms:created>
  <dcterms:modified xsi:type="dcterms:W3CDTF">2023-04-10T04:03:00Z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