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B0953" w14:textId="38147A21" w:rsidR="003A6552" w:rsidRPr="003A6552" w:rsidRDefault="003A6552" w:rsidP="003A6552">
      <w:pPr>
        <w:tabs>
          <w:tab w:val="left" w:pos="1980"/>
        </w:tabs>
        <w:spacing w:after="180"/>
        <w:ind w:left="1980" w:hanging="1980"/>
        <w:rPr>
          <w:rFonts w:ascii="Arial" w:eastAsia="MS Mincho" w:hAnsi="Arial" w:cs="Arial"/>
          <w:b/>
          <w:sz w:val="24"/>
          <w:szCs w:val="24"/>
          <w:lang w:eastAsia="en-US"/>
        </w:rPr>
      </w:pPr>
      <w:r w:rsidRPr="003A6552">
        <w:rPr>
          <w:rFonts w:ascii="Arial" w:eastAsia="MS Mincho" w:hAnsi="Arial" w:cs="Arial"/>
          <w:b/>
          <w:sz w:val="24"/>
          <w:szCs w:val="24"/>
          <w:lang w:eastAsia="en-US"/>
        </w:rPr>
        <w:t>3GPP TSG-RAN WG4 Meeting # 106bis-e</w:t>
      </w:r>
      <w:r w:rsidRPr="003A6552">
        <w:rPr>
          <w:rFonts w:ascii="Arial" w:eastAsia="MS Mincho" w:hAnsi="Arial" w:cs="Arial"/>
          <w:b/>
          <w:sz w:val="24"/>
          <w:szCs w:val="24"/>
          <w:lang w:eastAsia="en-US"/>
        </w:rPr>
        <w:tab/>
      </w:r>
      <w:r w:rsidRPr="003A6552">
        <w:rPr>
          <w:rFonts w:ascii="Arial" w:eastAsia="MS Mincho" w:hAnsi="Arial" w:cs="Arial"/>
          <w:b/>
          <w:sz w:val="24"/>
          <w:szCs w:val="24"/>
          <w:lang w:eastAsia="en-US"/>
        </w:rPr>
        <w:tab/>
      </w:r>
      <w:r w:rsidRPr="003A6552">
        <w:rPr>
          <w:rFonts w:ascii="Arial" w:eastAsia="MS Mincho" w:hAnsi="Arial" w:cs="Arial"/>
          <w:b/>
          <w:sz w:val="24"/>
          <w:szCs w:val="24"/>
          <w:lang w:eastAsia="en-US"/>
        </w:rPr>
        <w:tab/>
      </w:r>
      <w:r w:rsidRPr="003A6552">
        <w:rPr>
          <w:rFonts w:ascii="Arial" w:eastAsia="MS Mincho" w:hAnsi="Arial" w:cs="Arial"/>
          <w:b/>
          <w:sz w:val="24"/>
          <w:szCs w:val="24"/>
          <w:lang w:eastAsia="en-US"/>
        </w:rPr>
        <w:tab/>
        <w:t>R4-2304193</w:t>
      </w:r>
    </w:p>
    <w:p w14:paraId="690F8259" w14:textId="67F1AE29" w:rsidR="00ED0604" w:rsidRDefault="003A6552" w:rsidP="003A6552">
      <w:pPr>
        <w:tabs>
          <w:tab w:val="left" w:pos="1980"/>
        </w:tabs>
        <w:spacing w:after="180"/>
        <w:ind w:left="1980" w:hanging="1980"/>
        <w:rPr>
          <w:rFonts w:ascii="Arial" w:eastAsia="MS Mincho" w:hAnsi="Arial" w:cs="Arial"/>
          <w:b/>
          <w:sz w:val="24"/>
          <w:szCs w:val="24"/>
          <w:lang w:eastAsia="en-US"/>
        </w:rPr>
      </w:pPr>
      <w:r w:rsidRPr="003A6552">
        <w:rPr>
          <w:rFonts w:ascii="Arial" w:eastAsia="MS Mincho" w:hAnsi="Arial" w:cs="Arial"/>
          <w:b/>
          <w:sz w:val="24"/>
          <w:szCs w:val="24"/>
          <w:lang w:eastAsia="en-US"/>
        </w:rPr>
        <w:t>Online, April 17 – April 26, 2023</w:t>
      </w:r>
    </w:p>
    <w:p w14:paraId="1962FC04" w14:textId="15196A72"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614213">
        <w:rPr>
          <w:rFonts w:ascii="Arial" w:eastAsia="MS Mincho" w:hAnsi="Arial" w:cs="Arial"/>
          <w:b/>
          <w:sz w:val="24"/>
          <w:szCs w:val="24"/>
          <w:lang w:eastAsia="en-US"/>
        </w:rPr>
        <w:t>5.20</w:t>
      </w:r>
      <w:r w:rsidR="00094CC6">
        <w:rPr>
          <w:rFonts w:ascii="Arial" w:eastAsia="MS Mincho" w:hAnsi="Arial" w:cs="Arial"/>
          <w:b/>
          <w:sz w:val="24"/>
          <w:szCs w:val="24"/>
          <w:lang w:eastAsia="en-US"/>
        </w:rPr>
        <w:t>.2.2.</w:t>
      </w:r>
      <w:r w:rsidR="00614213">
        <w:rPr>
          <w:rFonts w:ascii="Arial" w:eastAsia="MS Mincho" w:hAnsi="Arial" w:cs="Arial"/>
          <w:b/>
          <w:sz w:val="24"/>
          <w:szCs w:val="24"/>
          <w:lang w:eastAsia="en-US"/>
        </w:rPr>
        <w:t>3</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748040E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8746D3">
        <w:rPr>
          <w:rFonts w:ascii="Arial" w:eastAsia="MS Mincho" w:hAnsi="Arial" w:cs="Arial"/>
          <w:b/>
          <w:sz w:val="24"/>
          <w:szCs w:val="24"/>
          <w:lang w:eastAsia="en-US"/>
        </w:rPr>
        <w:t>S</w:t>
      </w:r>
      <w:r w:rsidR="00956066">
        <w:rPr>
          <w:rFonts w:ascii="Arial" w:eastAsia="MS Mincho" w:hAnsi="Arial" w:cs="Arial"/>
          <w:b/>
          <w:sz w:val="24"/>
          <w:szCs w:val="24"/>
          <w:lang w:eastAsia="en-US"/>
        </w:rPr>
        <w:t xml:space="preserve">tudy </w:t>
      </w:r>
      <w:r w:rsidR="00A500E2">
        <w:rPr>
          <w:rFonts w:ascii="Arial" w:eastAsia="MS Mincho" w:hAnsi="Arial" w:cs="Arial"/>
          <w:b/>
          <w:sz w:val="24"/>
          <w:szCs w:val="24"/>
          <w:lang w:eastAsia="en-US"/>
        </w:rPr>
        <w:t>on</w:t>
      </w:r>
      <w:r w:rsidR="00956066">
        <w:rPr>
          <w:rFonts w:ascii="Arial" w:eastAsia="MS Mincho" w:hAnsi="Arial" w:cs="Arial"/>
          <w:b/>
          <w:sz w:val="24"/>
          <w:szCs w:val="24"/>
          <w:lang w:eastAsia="en-US"/>
        </w:rPr>
        <w:t xml:space="preserve"> feasibility </w:t>
      </w:r>
      <w:r w:rsidR="00A500E2">
        <w:rPr>
          <w:rFonts w:ascii="Arial" w:eastAsia="MS Mincho" w:hAnsi="Arial" w:cs="Arial"/>
          <w:b/>
          <w:sz w:val="24"/>
          <w:szCs w:val="24"/>
          <w:lang w:eastAsia="en-US"/>
        </w:rPr>
        <w:t>at</w:t>
      </w:r>
      <w:r w:rsidR="00956066">
        <w:rPr>
          <w:rFonts w:ascii="Arial" w:eastAsia="MS Mincho" w:hAnsi="Arial" w:cs="Arial"/>
          <w:b/>
          <w:sz w:val="24"/>
          <w:szCs w:val="24"/>
          <w:lang w:eastAsia="en-US"/>
        </w:rPr>
        <w:t xml:space="preserve"> </w:t>
      </w:r>
      <w:r w:rsidR="003A6552">
        <w:rPr>
          <w:rFonts w:ascii="Arial" w:eastAsia="MS Mincho" w:hAnsi="Arial" w:cs="Arial"/>
          <w:b/>
          <w:sz w:val="24"/>
          <w:szCs w:val="24"/>
          <w:lang w:eastAsia="en-US"/>
        </w:rPr>
        <w:t xml:space="preserve">FR1 </w:t>
      </w:r>
      <w:r w:rsidR="00956066">
        <w:rPr>
          <w:rFonts w:ascii="Arial" w:eastAsia="MS Mincho" w:hAnsi="Arial" w:cs="Arial"/>
          <w:b/>
          <w:sz w:val="24"/>
          <w:szCs w:val="24"/>
          <w:lang w:eastAsia="en-US"/>
        </w:rPr>
        <w:t xml:space="preserve">UE </w:t>
      </w:r>
      <w:r w:rsidR="00A500E2">
        <w:rPr>
          <w:rFonts w:ascii="Arial" w:eastAsia="MS Mincho" w:hAnsi="Arial" w:cs="Arial"/>
          <w:b/>
          <w:sz w:val="24"/>
          <w:szCs w:val="24"/>
          <w:lang w:eastAsia="en-US"/>
        </w:rPr>
        <w:t>side</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285EAE33" w:rsidR="001F2616" w:rsidRDefault="00324767" w:rsidP="00A928CA">
      <w:pPr>
        <w:spacing w:after="180"/>
        <w:rPr>
          <w:rFonts w:ascii="Times New Roman" w:hAnsi="Times New Roman"/>
          <w:sz w:val="20"/>
        </w:rPr>
      </w:pPr>
      <w:r w:rsidRPr="00324767">
        <w:rPr>
          <w:rFonts w:ascii="Times New Roman" w:hAnsi="Times New Roman"/>
          <w:sz w:val="20"/>
        </w:rPr>
        <w:t>WF on SBFD feasibility study and RF impact</w:t>
      </w:r>
      <w:r>
        <w:rPr>
          <w:rFonts w:ascii="Times New Roman" w:hAnsi="Times New Roman"/>
          <w:sz w:val="20"/>
        </w:rPr>
        <w:t xml:space="preserve"> has been approved in last meeting</w:t>
      </w:r>
      <w:r w:rsidR="00CA4FCD" w:rsidRPr="00CA4FCD">
        <w:rPr>
          <w:rFonts w:ascii="Times New Roman" w:hAnsi="Times New Roman"/>
          <w:sz w:val="20"/>
        </w:rPr>
        <w:t xml:space="preserve"> [1]. In this contribution, we focus on the </w:t>
      </w:r>
      <w:r w:rsidR="003A41FE">
        <w:rPr>
          <w:rFonts w:ascii="Times New Roman" w:hAnsi="Times New Roman"/>
          <w:sz w:val="20"/>
        </w:rPr>
        <w:t>remaining issues at</w:t>
      </w:r>
      <w:r w:rsidR="003A41FE" w:rsidRPr="00107761">
        <w:rPr>
          <w:rFonts w:ascii="Times New Roman" w:hAnsi="Times New Roman"/>
          <w:b/>
          <w:bCs/>
          <w:sz w:val="20"/>
        </w:rPr>
        <w:t xml:space="preserve"> </w:t>
      </w:r>
      <w:r w:rsidR="00107761" w:rsidRPr="00107761">
        <w:rPr>
          <w:rFonts w:ascii="Times New Roman" w:hAnsi="Times New Roman"/>
          <w:b/>
          <w:bCs/>
          <w:sz w:val="20"/>
        </w:rPr>
        <w:t xml:space="preserve">FR1 </w:t>
      </w:r>
      <w:r w:rsidR="003A41FE" w:rsidRPr="00107761">
        <w:rPr>
          <w:rFonts w:ascii="Times New Roman" w:hAnsi="Times New Roman"/>
          <w:b/>
          <w:bCs/>
          <w:sz w:val="20"/>
        </w:rPr>
        <w:t>UE side</w:t>
      </w:r>
      <w:r w:rsidR="00004218">
        <w:rPr>
          <w:rFonts w:ascii="Times New Roman" w:hAnsi="Times New Roman"/>
          <w:sz w:val="20"/>
        </w:rPr>
        <w:t>.</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2EDD05CF" w14:textId="7603392D" w:rsidR="00A028F1" w:rsidRPr="00CB020D" w:rsidRDefault="00A028F1" w:rsidP="00A028F1">
      <w:pPr>
        <w:pStyle w:val="ListParagraph"/>
        <w:numPr>
          <w:ilvl w:val="0"/>
          <w:numId w:val="17"/>
        </w:numPr>
        <w:spacing w:after="180"/>
        <w:ind w:firstLineChars="0"/>
        <w:rPr>
          <w:rFonts w:ascii="Times New Roman" w:hAnsi="Times New Roman"/>
          <w:b/>
          <w:bCs/>
          <w:sz w:val="20"/>
          <w:szCs w:val="21"/>
        </w:rPr>
      </w:pPr>
      <w:r>
        <w:rPr>
          <w:rFonts w:ascii="Times New Roman" w:hAnsi="Times New Roman"/>
          <w:b/>
          <w:bCs/>
          <w:sz w:val="20"/>
          <w:szCs w:val="21"/>
        </w:rPr>
        <w:t>Flat IBE</w:t>
      </w:r>
      <w:r w:rsidRPr="00CB020D">
        <w:rPr>
          <w:rFonts w:ascii="Times New Roman" w:hAnsi="Times New Roman"/>
          <w:b/>
          <w:bCs/>
          <w:sz w:val="20"/>
          <w:szCs w:val="21"/>
        </w:rPr>
        <w:t xml:space="preserve"> assumption</w:t>
      </w:r>
    </w:p>
    <w:p w14:paraId="5E4F9083" w14:textId="47B02BC9" w:rsidR="00690C03" w:rsidRDefault="00690C03" w:rsidP="0037785E">
      <w:pPr>
        <w:spacing w:after="180"/>
        <w:rPr>
          <w:rFonts w:ascii="Times New Roman" w:hAnsi="Times New Roman"/>
          <w:sz w:val="20"/>
          <w:szCs w:val="21"/>
        </w:rPr>
      </w:pPr>
      <w:r>
        <w:rPr>
          <w:rFonts w:ascii="Times New Roman" w:hAnsi="Times New Roman" w:hint="eastAsia"/>
          <w:sz w:val="20"/>
          <w:szCs w:val="21"/>
        </w:rPr>
        <w:t>p</w:t>
      </w:r>
      <w:r>
        <w:rPr>
          <w:rFonts w:ascii="Times New Roman" w:hAnsi="Times New Roman"/>
          <w:sz w:val="20"/>
          <w:szCs w:val="21"/>
        </w:rPr>
        <w:t>revious agreement for DUD configuration is listed as below for RAN1 and RAN4 respectively.</w:t>
      </w:r>
    </w:p>
    <w:tbl>
      <w:tblPr>
        <w:tblStyle w:val="TableGrid"/>
        <w:tblW w:w="0" w:type="auto"/>
        <w:tblLook w:val="04A0" w:firstRow="1" w:lastRow="0" w:firstColumn="1" w:lastColumn="0" w:noHBand="0" w:noVBand="1"/>
      </w:tblPr>
      <w:tblGrid>
        <w:gridCol w:w="9736"/>
      </w:tblGrid>
      <w:tr w:rsidR="00690C03" w14:paraId="684ED6AC" w14:textId="77777777" w:rsidTr="00A7704B">
        <w:tc>
          <w:tcPr>
            <w:tcW w:w="9736" w:type="dxa"/>
          </w:tcPr>
          <w:p w14:paraId="4C6CE478" w14:textId="3C56C897" w:rsidR="00690C03" w:rsidRDefault="00690C03" w:rsidP="00690C03">
            <w:pPr>
              <w:spacing w:before="0"/>
              <w:rPr>
                <w:rFonts w:ascii="Times New Roman" w:hAnsi="Times New Roman"/>
                <w:sz w:val="20"/>
                <w:szCs w:val="21"/>
              </w:rPr>
            </w:pPr>
            <w:r>
              <w:rPr>
                <w:rFonts w:ascii="Times New Roman" w:hAnsi="Times New Roman"/>
                <w:sz w:val="20"/>
                <w:szCs w:val="21"/>
              </w:rPr>
              <w:t>RAN1:</w:t>
            </w:r>
            <w:r w:rsidRPr="00BA3CF4">
              <w:rPr>
                <w:rFonts w:ascii="Times New Roman" w:hAnsi="Times New Roman"/>
                <w:sz w:val="20"/>
                <w:szCs w:val="21"/>
              </w:rPr>
              <w:tab/>
            </w:r>
          </w:p>
          <w:p w14:paraId="4B02CD28" w14:textId="3CD181CA" w:rsidR="00690C03" w:rsidRPr="00BA3CF4" w:rsidRDefault="00690C03" w:rsidP="00690C03">
            <w:pPr>
              <w:rPr>
                <w:rFonts w:ascii="Times New Roman" w:hAnsi="Times New Roman"/>
                <w:sz w:val="20"/>
                <w:szCs w:val="21"/>
              </w:rPr>
            </w:pPr>
            <w:r w:rsidRPr="00BA3CF4">
              <w:rPr>
                <w:rFonts w:ascii="Times New Roman" w:hAnsi="Times New Roman"/>
                <w:sz w:val="20"/>
                <w:szCs w:val="21"/>
              </w:rPr>
              <w:t xml:space="preserve">For FR1 </w:t>
            </w:r>
          </w:p>
          <w:p w14:paraId="45855198" w14:textId="77777777" w:rsidR="00690C03" w:rsidRPr="00BA3CF4" w:rsidRDefault="00690C03" w:rsidP="00690C03">
            <w:pPr>
              <w:rPr>
                <w:rFonts w:ascii="Times New Roman" w:hAnsi="Times New Roman"/>
                <w:sz w:val="20"/>
                <w:szCs w:val="21"/>
              </w:rPr>
            </w:pPr>
            <w:r w:rsidRPr="00BA3CF4">
              <w:rPr>
                <w:rFonts w:ascii="Times New Roman" w:hAnsi="Times New Roman"/>
                <w:sz w:val="20"/>
                <w:szCs w:val="21"/>
              </w:rPr>
              <w:t>-</w:t>
            </w:r>
            <w:r w:rsidRPr="00BA3CF4">
              <w:rPr>
                <w:rFonts w:ascii="Times New Roman" w:hAnsi="Times New Roman"/>
                <w:sz w:val="20"/>
                <w:szCs w:val="21"/>
              </w:rPr>
              <w:tab/>
              <w:t>Baseline: 100MHz channel bandwidth and 30kHz SCS (273 PRB): &lt; ND, NU, NG &gt; = &lt;104, 55, 5&gt;</w:t>
            </w:r>
          </w:p>
          <w:p w14:paraId="5D2B7C5D" w14:textId="2149C088" w:rsidR="00690C03" w:rsidRDefault="00690C03" w:rsidP="00487CAF">
            <w:pPr>
              <w:rPr>
                <w:rFonts w:ascii="Times New Roman" w:hAnsi="Times New Roman"/>
                <w:sz w:val="20"/>
                <w:szCs w:val="21"/>
              </w:rPr>
            </w:pPr>
            <w:r w:rsidRPr="00BA3CF4">
              <w:rPr>
                <w:rFonts w:ascii="Times New Roman" w:hAnsi="Times New Roman"/>
                <w:sz w:val="20"/>
                <w:szCs w:val="21"/>
              </w:rPr>
              <w:t>-</w:t>
            </w:r>
            <w:r w:rsidRPr="00BA3CF4">
              <w:rPr>
                <w:rFonts w:ascii="Times New Roman" w:hAnsi="Times New Roman"/>
                <w:sz w:val="20"/>
                <w:szCs w:val="21"/>
              </w:rPr>
              <w:tab/>
              <w:t>Optional: 100MHz channel bandwidth and 30kHz SCS (273 PRB): &lt; ND, NU, NG &gt; = &lt;106, 51, 5&gt;</w:t>
            </w:r>
          </w:p>
        </w:tc>
      </w:tr>
      <w:tr w:rsidR="00690C03" w14:paraId="5F9E8152" w14:textId="77777777" w:rsidTr="00A7704B">
        <w:tc>
          <w:tcPr>
            <w:tcW w:w="9736" w:type="dxa"/>
          </w:tcPr>
          <w:p w14:paraId="06B9EE8F" w14:textId="77777777" w:rsidR="00690C03" w:rsidRDefault="00690C03" w:rsidP="00690C03">
            <w:pPr>
              <w:rPr>
                <w:rFonts w:ascii="Times New Roman" w:hAnsi="Times New Roman"/>
                <w:sz w:val="20"/>
                <w:szCs w:val="21"/>
                <w:lang w:eastAsia="zh-CN"/>
              </w:rPr>
            </w:pPr>
            <w:r>
              <w:rPr>
                <w:rFonts w:ascii="Times New Roman" w:hAnsi="Times New Roman" w:hint="eastAsia"/>
                <w:sz w:val="20"/>
                <w:szCs w:val="21"/>
                <w:lang w:eastAsia="zh-CN"/>
              </w:rPr>
              <w:t>R</w:t>
            </w:r>
            <w:r>
              <w:rPr>
                <w:rFonts w:ascii="Times New Roman" w:hAnsi="Times New Roman"/>
                <w:sz w:val="20"/>
                <w:szCs w:val="21"/>
                <w:lang w:eastAsia="zh-CN"/>
              </w:rPr>
              <w:t>AN4:</w:t>
            </w:r>
          </w:p>
          <w:p w14:paraId="6BD454EF" w14:textId="16009876" w:rsidR="00690C03" w:rsidRPr="00690C03" w:rsidRDefault="00690C03" w:rsidP="00690C03">
            <w:pPr>
              <w:rPr>
                <w:rFonts w:ascii="Times New Roman" w:hAnsi="Times New Roman"/>
                <w:sz w:val="20"/>
                <w:szCs w:val="21"/>
              </w:rPr>
            </w:pPr>
            <w:r w:rsidRPr="00690C03">
              <w:rPr>
                <w:rFonts w:ascii="Times New Roman" w:hAnsi="Times New Roman"/>
                <w:sz w:val="20"/>
                <w:szCs w:val="21"/>
              </w:rPr>
              <w:t>Companies are encouraged to provide whether and how the guard band assumption is used in simulation</w:t>
            </w:r>
          </w:p>
          <w:p w14:paraId="2FD02815" w14:textId="256BDE06" w:rsidR="00690C03" w:rsidRDefault="00690C03" w:rsidP="00690C03">
            <w:pPr>
              <w:rPr>
                <w:rFonts w:ascii="Times New Roman" w:hAnsi="Times New Roman"/>
                <w:sz w:val="20"/>
                <w:szCs w:val="21"/>
                <w:lang w:eastAsia="zh-CN"/>
              </w:rPr>
            </w:pPr>
            <w:r w:rsidRPr="00690C03">
              <w:rPr>
                <w:rFonts w:ascii="Times New Roman" w:hAnsi="Times New Roman"/>
                <w:sz w:val="20"/>
                <w:szCs w:val="21"/>
              </w:rPr>
              <w:t>Recommended default value: use 5RBs for 100MHz 30KHz SCS in FR1</w:t>
            </w:r>
          </w:p>
        </w:tc>
      </w:tr>
    </w:tbl>
    <w:p w14:paraId="5E307341" w14:textId="363163FF" w:rsidR="00D71AF0" w:rsidRDefault="00D71AF0" w:rsidP="0037785E">
      <w:pPr>
        <w:spacing w:after="180"/>
        <w:rPr>
          <w:rFonts w:ascii="Times New Roman" w:hAnsi="Times New Roman"/>
          <w:sz w:val="20"/>
          <w:szCs w:val="21"/>
        </w:rPr>
      </w:pPr>
      <w:r>
        <w:rPr>
          <w:rFonts w:ascii="Times New Roman" w:hAnsi="Times New Roman"/>
          <w:sz w:val="20"/>
          <w:szCs w:val="21"/>
        </w:rPr>
        <w:t>All following analysis assumes transmit power per RB is the same</w:t>
      </w:r>
      <w:r w:rsidR="00375BFA">
        <w:rPr>
          <w:rFonts w:ascii="Times New Roman" w:hAnsi="Times New Roman"/>
          <w:sz w:val="20"/>
          <w:szCs w:val="21"/>
        </w:rPr>
        <w:t xml:space="preserve"> regardless of the configured LCRB.</w:t>
      </w:r>
    </w:p>
    <w:p w14:paraId="1786F120" w14:textId="33CA8747" w:rsidR="00A028F1" w:rsidRDefault="0037785E" w:rsidP="0037785E">
      <w:pPr>
        <w:spacing w:after="180"/>
        <w:rPr>
          <w:rFonts w:ascii="Times New Roman" w:hAnsi="Times New Roman"/>
          <w:szCs w:val="21"/>
        </w:rPr>
      </w:pPr>
      <w:r w:rsidRPr="00ED552D">
        <w:rPr>
          <w:rFonts w:ascii="Times New Roman" w:hAnsi="Times New Roman"/>
          <w:sz w:val="20"/>
          <w:szCs w:val="21"/>
        </w:rPr>
        <w:t>In last meeting, some companies propose the possibility to model IBE as flat.</w:t>
      </w:r>
      <w:r w:rsidR="00ED552D">
        <w:rPr>
          <w:rFonts w:ascii="Times New Roman" w:hAnsi="Times New Roman"/>
          <w:sz w:val="20"/>
          <w:szCs w:val="21"/>
        </w:rPr>
        <w:t xml:space="preserve"> </w:t>
      </w:r>
      <w:r w:rsidR="006F2074">
        <w:rPr>
          <w:rFonts w:ascii="Times New Roman" w:hAnsi="Times New Roman"/>
          <w:sz w:val="20"/>
          <w:szCs w:val="21"/>
        </w:rPr>
        <w:t xml:space="preserve">for FR1, 100MHz channel bandwidth, 30kHz SCS. </w:t>
      </w:r>
      <w:r w:rsidR="00ED552D">
        <w:rPr>
          <w:rFonts w:ascii="Times New Roman" w:hAnsi="Times New Roman"/>
          <w:sz w:val="20"/>
          <w:szCs w:val="21"/>
        </w:rPr>
        <w:t xml:space="preserve">Following </w:t>
      </w:r>
      <w:r w:rsidR="002B431C">
        <w:rPr>
          <w:rFonts w:ascii="Times New Roman" w:hAnsi="Times New Roman"/>
          <w:sz w:val="20"/>
          <w:szCs w:val="21"/>
        </w:rPr>
        <w:t>fig</w:t>
      </w:r>
      <w:r w:rsidR="00ED552D">
        <w:rPr>
          <w:rFonts w:ascii="Times New Roman" w:hAnsi="Times New Roman"/>
          <w:sz w:val="20"/>
          <w:szCs w:val="21"/>
        </w:rPr>
        <w:t xml:space="preserve"> show</w:t>
      </w:r>
      <w:r w:rsidR="00BB496B">
        <w:rPr>
          <w:rFonts w:ascii="Times New Roman" w:hAnsi="Times New Roman"/>
          <w:sz w:val="20"/>
          <w:szCs w:val="21"/>
        </w:rPr>
        <w:t>s</w:t>
      </w:r>
      <w:r w:rsidR="00ED552D">
        <w:rPr>
          <w:rFonts w:ascii="Times New Roman" w:hAnsi="Times New Roman"/>
          <w:sz w:val="20"/>
          <w:szCs w:val="21"/>
        </w:rPr>
        <w:t xml:space="preserve"> the relationship of </w:t>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ED552D">
        <w:rPr>
          <w:rFonts w:ascii="Times New Roman" w:hAnsi="Times New Roman" w:hint="eastAsia"/>
          <w:szCs w:val="21"/>
        </w:rPr>
        <w:t xml:space="preserve"> </w:t>
      </w:r>
      <w:r w:rsidR="00ED552D">
        <w:rPr>
          <w:rFonts w:ascii="Times New Roman" w:hAnsi="Times New Roman"/>
          <w:szCs w:val="21"/>
        </w:rPr>
        <w:t>to IBE, it shows when the victim RB is near to aggressor RB, the IBE decrease sharply as the</w:t>
      </w:r>
      <w:r w:rsidR="00487CAF">
        <w:rPr>
          <w:rFonts w:ascii="Times New Roman" w:hAnsi="Times New Roman"/>
          <w:sz w:val="20"/>
          <w:szCs w:val="21"/>
        </w:rPr>
        <w:t xml:space="preserve"> </w:t>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487CAF">
        <w:rPr>
          <w:rFonts w:ascii="Times New Roman" w:hAnsi="Times New Roman" w:hint="eastAsia"/>
          <w:szCs w:val="21"/>
        </w:rPr>
        <w:t xml:space="preserve"> </w:t>
      </w:r>
      <w:r w:rsidR="00ED552D">
        <w:rPr>
          <w:rFonts w:ascii="Times New Roman" w:hAnsi="Times New Roman"/>
          <w:szCs w:val="21"/>
        </w:rPr>
        <w:t>increase for all the LCRB case</w:t>
      </w:r>
      <w:r w:rsidR="00487CAF">
        <w:rPr>
          <w:rFonts w:ascii="Times New Roman" w:hAnsi="Times New Roman" w:hint="eastAsia"/>
          <w:szCs w:val="21"/>
        </w:rPr>
        <w:t>s</w:t>
      </w:r>
      <w:r w:rsidR="00ED552D">
        <w:rPr>
          <w:rFonts w:ascii="Times New Roman" w:hAnsi="Times New Roman"/>
          <w:szCs w:val="21"/>
        </w:rPr>
        <w:t xml:space="preserve">. But when isolation RB is larger than certain threshold, the IBE is flat. </w:t>
      </w:r>
      <w:r w:rsidR="00BB496B">
        <w:rPr>
          <w:rFonts w:ascii="Times New Roman" w:hAnsi="Times New Roman"/>
          <w:szCs w:val="21"/>
        </w:rPr>
        <w:t xml:space="preserve">besides, the larger LCRB, the less isolation RB to achieve flat IBE. for example, when the LCRB=1, the isolation RB to achieve flat IBE is </w:t>
      </w:r>
      <w:r w:rsidR="006F2074">
        <w:rPr>
          <w:rFonts w:ascii="Times New Roman" w:hAnsi="Times New Roman"/>
          <w:szCs w:val="21"/>
        </w:rPr>
        <w:t>7</w:t>
      </w:r>
      <w:r w:rsidR="00BB496B">
        <w:rPr>
          <w:rFonts w:ascii="Times New Roman" w:hAnsi="Times New Roman"/>
          <w:szCs w:val="21"/>
        </w:rPr>
        <w:t xml:space="preserve">, </w:t>
      </w:r>
      <w:r w:rsidR="00690C03">
        <w:rPr>
          <w:rFonts w:ascii="Times New Roman" w:hAnsi="Times New Roman"/>
          <w:szCs w:val="21"/>
        </w:rPr>
        <w:t xml:space="preserve">when the LCRB=51/55, the isolation RB to achieve flat IBE is </w:t>
      </w:r>
      <w:r w:rsidR="006F2074">
        <w:rPr>
          <w:rFonts w:ascii="Times New Roman" w:hAnsi="Times New Roman"/>
          <w:szCs w:val="21"/>
        </w:rPr>
        <w:t>4</w:t>
      </w:r>
      <w:r w:rsidR="00690C03">
        <w:rPr>
          <w:rFonts w:ascii="Times New Roman" w:hAnsi="Times New Roman"/>
          <w:szCs w:val="21"/>
        </w:rPr>
        <w:t xml:space="preserve">, </w:t>
      </w:r>
      <w:r w:rsidR="00BB496B">
        <w:rPr>
          <w:rFonts w:ascii="Times New Roman" w:hAnsi="Times New Roman"/>
          <w:szCs w:val="21"/>
        </w:rPr>
        <w:t xml:space="preserve">but when LCRB is 273, the isolation RB to achieve flat IBE is </w:t>
      </w:r>
      <w:r w:rsidR="006F2074">
        <w:rPr>
          <w:rFonts w:ascii="Times New Roman" w:hAnsi="Times New Roman"/>
          <w:szCs w:val="21"/>
        </w:rPr>
        <w:t>3</w:t>
      </w:r>
      <w:r w:rsidR="00BB496B">
        <w:rPr>
          <w:rFonts w:ascii="Times New Roman" w:hAnsi="Times New Roman"/>
          <w:szCs w:val="21"/>
        </w:rPr>
        <w:t>.</w:t>
      </w:r>
      <w:r w:rsidR="00F658DA">
        <w:rPr>
          <w:rFonts w:ascii="Times New Roman" w:hAnsi="Times New Roman"/>
          <w:szCs w:val="21"/>
        </w:rPr>
        <w:t xml:space="preserve"> </w:t>
      </w:r>
    </w:p>
    <w:p w14:paraId="0B55E792" w14:textId="35D271B8" w:rsidR="00F04511" w:rsidRDefault="00F04511" w:rsidP="0037785E">
      <w:pPr>
        <w:spacing w:after="180"/>
        <w:rPr>
          <w:rFonts w:ascii="Times New Roman" w:hAnsi="Times New Roman"/>
          <w:szCs w:val="21"/>
        </w:rPr>
      </w:pPr>
      <w:r>
        <w:rPr>
          <w:rFonts w:ascii="Times New Roman" w:hAnsi="Times New Roman"/>
          <w:szCs w:val="21"/>
        </w:rPr>
        <w:t>It's noted following fig is for QPSK, the higher modulation order, the less isolation RB. so we can only focus on the worst case QPSK analysis.</w:t>
      </w:r>
    </w:p>
    <w:p w14:paraId="799545AE" w14:textId="6AEFF2BA" w:rsidR="00433F11" w:rsidRDefault="00B63053" w:rsidP="00B63053">
      <w:pPr>
        <w:spacing w:after="180"/>
        <w:jc w:val="center"/>
        <w:rPr>
          <w:rFonts w:ascii="Times New Roman" w:hAnsi="Times New Roman"/>
          <w:szCs w:val="21"/>
        </w:rPr>
      </w:pPr>
      <w:r>
        <w:rPr>
          <w:noProof/>
        </w:rPr>
        <w:lastRenderedPageBreak/>
        <w:drawing>
          <wp:inline distT="0" distB="0" distL="0" distR="0" wp14:anchorId="123FB253" wp14:editId="5B510114">
            <wp:extent cx="3456047" cy="2112758"/>
            <wp:effectExtent l="0" t="0" r="11430" b="1905"/>
            <wp:docPr id="1" name="Chart 1">
              <a:extLst xmlns:a="http://schemas.openxmlformats.org/drawingml/2006/main">
                <a:ext uri="{FF2B5EF4-FFF2-40B4-BE49-F238E27FC236}">
                  <a16:creationId xmlns:a16="http://schemas.microsoft.com/office/drawing/2014/main" id="{061E5FC2-E125-F639-66E7-B8A0455C0D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1018F11" w14:textId="2D308918" w:rsidR="00433F11" w:rsidRDefault="00433F11" w:rsidP="00B63053">
      <w:pPr>
        <w:spacing w:after="180"/>
        <w:jc w:val="center"/>
        <w:rPr>
          <w:rFonts w:ascii="Times New Roman" w:hAnsi="Times New Roman"/>
          <w:szCs w:val="21"/>
        </w:rPr>
      </w:pPr>
      <w:r>
        <w:rPr>
          <w:rFonts w:ascii="Times New Roman" w:hAnsi="Times New Roman"/>
          <w:szCs w:val="21"/>
        </w:rPr>
        <w:t>Fig 1: the relationship between IBE and delta RB</w:t>
      </w:r>
      <w:r w:rsidR="00D14DBE">
        <w:rPr>
          <w:rFonts w:ascii="Times New Roman" w:hAnsi="Times New Roman"/>
          <w:szCs w:val="21"/>
        </w:rPr>
        <w:t xml:space="preserve"> for QPSK</w:t>
      </w:r>
      <w:r>
        <w:rPr>
          <w:rFonts w:ascii="Times New Roman" w:hAnsi="Times New Roman"/>
          <w:szCs w:val="21"/>
        </w:rPr>
        <w:t xml:space="preserve"> (noted, </w:t>
      </w:r>
      <w:r w:rsidR="00347D09">
        <w:rPr>
          <w:rFonts w:ascii="Times New Roman" w:hAnsi="Times New Roman"/>
          <w:szCs w:val="21"/>
        </w:rPr>
        <w:t xml:space="preserve">we only list </w:t>
      </w:r>
      <w:r>
        <w:rPr>
          <w:rFonts w:ascii="Times New Roman" w:hAnsi="Times New Roman"/>
          <w:szCs w:val="21"/>
        </w:rPr>
        <w:t xml:space="preserve">delta RB </w:t>
      </w:r>
      <w:r w:rsidR="00347D09">
        <w:rPr>
          <w:rFonts w:ascii="Times New Roman" w:hAnsi="Times New Roman"/>
          <w:szCs w:val="21"/>
        </w:rPr>
        <w:t>up</w:t>
      </w:r>
      <w:r>
        <w:rPr>
          <w:rFonts w:ascii="Times New Roman" w:hAnsi="Times New Roman"/>
          <w:szCs w:val="21"/>
        </w:rPr>
        <w:t xml:space="preserve"> to </w:t>
      </w:r>
      <w:r w:rsidR="00B63053">
        <w:rPr>
          <w:rFonts w:ascii="Times New Roman" w:hAnsi="Times New Roman"/>
          <w:szCs w:val="21"/>
        </w:rPr>
        <w:t>10</w:t>
      </w:r>
      <w:r>
        <w:rPr>
          <w:rFonts w:ascii="Times New Roman" w:hAnsi="Times New Roman"/>
          <w:szCs w:val="21"/>
        </w:rPr>
        <w:t>PRB for simplification</w:t>
      </w:r>
      <w:r w:rsidR="007736A2">
        <w:rPr>
          <w:rFonts w:ascii="Times New Roman" w:hAnsi="Times New Roman"/>
          <w:szCs w:val="21"/>
        </w:rPr>
        <w:t xml:space="preserve"> </w:t>
      </w:r>
      <w:r w:rsidR="00347D09">
        <w:rPr>
          <w:rFonts w:ascii="Times New Roman" w:hAnsi="Times New Roman"/>
          <w:szCs w:val="21"/>
        </w:rPr>
        <w:t>because</w:t>
      </w:r>
      <w:r w:rsidR="007736A2">
        <w:rPr>
          <w:rFonts w:ascii="Times New Roman" w:hAnsi="Times New Roman"/>
          <w:szCs w:val="21"/>
        </w:rPr>
        <w:t xml:space="preserve"> the curve is flat for even larger delta</w:t>
      </w:r>
      <w:r w:rsidR="00B63053">
        <w:rPr>
          <w:rFonts w:ascii="Times New Roman" w:hAnsi="Times New Roman"/>
          <w:szCs w:val="21"/>
        </w:rPr>
        <w:t xml:space="preserve"> RB</w:t>
      </w:r>
      <w:r>
        <w:rPr>
          <w:rFonts w:ascii="Times New Roman" w:hAnsi="Times New Roman"/>
          <w:szCs w:val="21"/>
        </w:rPr>
        <w:t>)</w:t>
      </w:r>
    </w:p>
    <w:p w14:paraId="28C38893" w14:textId="2BD0AE57" w:rsidR="00F658DA" w:rsidRDefault="00D14DBE" w:rsidP="0037785E">
      <w:pPr>
        <w:spacing w:after="180"/>
        <w:rPr>
          <w:rFonts w:ascii="Times New Roman" w:hAnsi="Times New Roman"/>
          <w:szCs w:val="21"/>
        </w:rPr>
      </w:pPr>
      <w:r>
        <w:rPr>
          <w:rFonts w:ascii="Times New Roman" w:hAnsi="Times New Roman"/>
          <w:szCs w:val="21"/>
        </w:rPr>
        <w:t>Based on current assumption, the guard band</w:t>
      </w:r>
      <w:r w:rsidR="00F90C7B">
        <w:rPr>
          <w:rFonts w:ascii="Times New Roman" w:hAnsi="Times New Roman"/>
          <w:szCs w:val="21"/>
        </w:rPr>
        <w:t xml:space="preserve"> (5PRB for FR1)</w:t>
      </w:r>
      <w:r>
        <w:rPr>
          <w:rFonts w:ascii="Times New Roman" w:hAnsi="Times New Roman"/>
          <w:szCs w:val="21"/>
        </w:rPr>
        <w:t xml:space="preserve"> is larger than what is need</w:t>
      </w:r>
      <w:r w:rsidR="001B29FC">
        <w:rPr>
          <w:rFonts w:ascii="Times New Roman" w:hAnsi="Times New Roman"/>
          <w:szCs w:val="21"/>
        </w:rPr>
        <w:t>ed</w:t>
      </w:r>
      <w:r>
        <w:rPr>
          <w:rFonts w:ascii="Times New Roman" w:hAnsi="Times New Roman"/>
          <w:szCs w:val="21"/>
        </w:rPr>
        <w:t xml:space="preserve"> to achieve flat IBE</w:t>
      </w:r>
      <w:r w:rsidR="00810865">
        <w:rPr>
          <w:rFonts w:ascii="Times New Roman" w:hAnsi="Times New Roman"/>
          <w:szCs w:val="21"/>
        </w:rPr>
        <w:t xml:space="preserve"> (3PRB)</w:t>
      </w:r>
      <w:r w:rsidR="00BD5E34">
        <w:rPr>
          <w:rFonts w:ascii="Times New Roman" w:hAnsi="Times New Roman"/>
          <w:szCs w:val="21"/>
        </w:rPr>
        <w:t xml:space="preserve">, </w:t>
      </w:r>
      <w:r>
        <w:rPr>
          <w:rFonts w:ascii="Times New Roman" w:hAnsi="Times New Roman"/>
          <w:szCs w:val="21"/>
        </w:rPr>
        <w:t xml:space="preserve">therefore, </w:t>
      </w:r>
      <w:r w:rsidR="00BD5E34">
        <w:rPr>
          <w:rFonts w:ascii="Times New Roman" w:hAnsi="Times New Roman"/>
          <w:szCs w:val="21"/>
        </w:rPr>
        <w:t xml:space="preserve">IBE could be assumed as flat for the case </w:t>
      </w:r>
      <w:r>
        <w:rPr>
          <w:rFonts w:ascii="Times New Roman" w:hAnsi="Times New Roman"/>
          <w:szCs w:val="21"/>
        </w:rPr>
        <w:t>when</w:t>
      </w:r>
      <w:r w:rsidR="00BD5E34">
        <w:rPr>
          <w:rFonts w:ascii="Times New Roman" w:hAnsi="Times New Roman"/>
          <w:szCs w:val="21"/>
        </w:rPr>
        <w:t xml:space="preserve"> UL </w:t>
      </w:r>
      <w:r w:rsidR="00C132FA">
        <w:rPr>
          <w:rFonts w:ascii="Times New Roman" w:hAnsi="Times New Roman"/>
          <w:szCs w:val="21"/>
        </w:rPr>
        <w:t xml:space="preserve">sub-band bandwidth </w:t>
      </w:r>
      <w:r w:rsidR="00BD5E34">
        <w:rPr>
          <w:rFonts w:ascii="Times New Roman" w:hAnsi="Times New Roman"/>
          <w:szCs w:val="21"/>
        </w:rPr>
        <w:t>approximate 20MHz</w:t>
      </w:r>
      <w:r w:rsidR="003D5350">
        <w:rPr>
          <w:rFonts w:ascii="Times New Roman" w:hAnsi="Times New Roman"/>
          <w:szCs w:val="21"/>
        </w:rPr>
        <w:t xml:space="preserve"> for FR1.</w:t>
      </w:r>
    </w:p>
    <w:p w14:paraId="1A02BBAB" w14:textId="3AD5163D" w:rsidR="00C017B6" w:rsidRDefault="003D5350" w:rsidP="0037785E">
      <w:pPr>
        <w:spacing w:after="180"/>
        <w:rPr>
          <w:rFonts w:ascii="Times New Roman" w:hAnsi="Times New Roman"/>
          <w:b/>
          <w:bCs/>
          <w:szCs w:val="21"/>
        </w:rPr>
      </w:pPr>
      <w:r w:rsidRPr="003E2458">
        <w:rPr>
          <w:rFonts w:ascii="Times New Roman" w:hAnsi="Times New Roman"/>
          <w:b/>
          <w:bCs/>
          <w:szCs w:val="21"/>
        </w:rPr>
        <w:t xml:space="preserve">Observation 1: for FR1, IBE </w:t>
      </w:r>
      <w:r w:rsidR="000B53BF">
        <w:rPr>
          <w:rFonts w:ascii="Times New Roman" w:hAnsi="Times New Roman"/>
          <w:b/>
          <w:bCs/>
          <w:szCs w:val="21"/>
        </w:rPr>
        <w:t>is</w:t>
      </w:r>
      <w:r w:rsidRPr="003E2458">
        <w:rPr>
          <w:rFonts w:ascii="Times New Roman" w:hAnsi="Times New Roman"/>
          <w:b/>
          <w:bCs/>
          <w:szCs w:val="21"/>
        </w:rPr>
        <w:t xml:space="preserve"> frequency flat </w:t>
      </w:r>
      <w:r w:rsidR="00A3451D">
        <w:rPr>
          <w:rFonts w:ascii="Times New Roman" w:hAnsi="Times New Roman"/>
          <w:b/>
          <w:bCs/>
          <w:szCs w:val="21"/>
        </w:rPr>
        <w:t xml:space="preserve">based on current simulation assumption, </w:t>
      </w:r>
      <w:r w:rsidR="00C9778E">
        <w:rPr>
          <w:rFonts w:ascii="Times New Roman" w:hAnsi="Times New Roman"/>
          <w:b/>
          <w:bCs/>
          <w:szCs w:val="21"/>
        </w:rPr>
        <w:t>i.e. IBE level is the same as isolation RB</w:t>
      </w:r>
      <w:r w:rsidR="00C132FA">
        <w:rPr>
          <w:rFonts w:ascii="Times New Roman" w:hAnsi="Times New Roman"/>
          <w:b/>
          <w:bCs/>
          <w:szCs w:val="21"/>
        </w:rPr>
        <w:t xml:space="preserve"> </w:t>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C132FA">
        <w:rPr>
          <w:rFonts w:ascii="Times New Roman" w:hAnsi="Times New Roman" w:hint="eastAsia"/>
          <w:szCs w:val="21"/>
        </w:rPr>
        <w:t xml:space="preserve"> </w:t>
      </w:r>
      <w:r w:rsidR="00C9778E">
        <w:rPr>
          <w:rFonts w:ascii="Times New Roman" w:hAnsi="Times New Roman"/>
          <w:b/>
          <w:bCs/>
          <w:szCs w:val="21"/>
        </w:rPr>
        <w:t>increase</w:t>
      </w:r>
      <w:r w:rsidR="00C132FA">
        <w:rPr>
          <w:rFonts w:ascii="Times New Roman" w:hAnsi="Times New Roman"/>
          <w:b/>
          <w:bCs/>
          <w:szCs w:val="21"/>
        </w:rPr>
        <w:t>s</w:t>
      </w:r>
      <w:r w:rsidR="00C9778E">
        <w:rPr>
          <w:rFonts w:ascii="Times New Roman" w:hAnsi="Times New Roman"/>
          <w:b/>
          <w:bCs/>
          <w:szCs w:val="21"/>
        </w:rPr>
        <w:t xml:space="preserve">. </w:t>
      </w:r>
    </w:p>
    <w:p w14:paraId="2C6D16D6" w14:textId="7B7CED48" w:rsidR="0075678A" w:rsidRPr="00A530F0" w:rsidRDefault="0075678A" w:rsidP="0037785E">
      <w:pPr>
        <w:spacing w:after="180"/>
        <w:rPr>
          <w:rFonts w:ascii="Times New Roman" w:hAnsi="Times New Roman"/>
          <w:szCs w:val="21"/>
        </w:rPr>
      </w:pPr>
      <w:r w:rsidRPr="00A530F0">
        <w:rPr>
          <w:rFonts w:ascii="Times New Roman" w:hAnsi="Times New Roman"/>
          <w:szCs w:val="21"/>
        </w:rPr>
        <w:t>Above observation is only used to have a better understanding of the IBE modeling, we don’t want to update current RAN4 simulation assumption.</w:t>
      </w:r>
    </w:p>
    <w:p w14:paraId="37557566" w14:textId="7DFE1560" w:rsidR="00CC3849" w:rsidRPr="00CB020D" w:rsidRDefault="00641E50" w:rsidP="00CB020D">
      <w:pPr>
        <w:pStyle w:val="ListParagraph"/>
        <w:numPr>
          <w:ilvl w:val="0"/>
          <w:numId w:val="17"/>
        </w:numPr>
        <w:spacing w:after="180"/>
        <w:ind w:firstLineChars="0"/>
        <w:rPr>
          <w:rFonts w:ascii="Times New Roman" w:hAnsi="Times New Roman"/>
          <w:b/>
          <w:bCs/>
        </w:rPr>
      </w:pPr>
      <w:r>
        <w:rPr>
          <w:rFonts w:ascii="Times New Roman" w:hAnsi="Times New Roman"/>
          <w:b/>
          <w:bCs/>
        </w:rPr>
        <w:t xml:space="preserve">Inter sub-band selectivity for legacy UE and SBFD-aware UE </w:t>
      </w:r>
    </w:p>
    <w:p w14:paraId="23E9EF59" w14:textId="62055305" w:rsidR="00FC493E" w:rsidRDefault="00F04921" w:rsidP="00A928CA">
      <w:pPr>
        <w:spacing w:after="180"/>
        <w:rPr>
          <w:rFonts w:ascii="Times New Roman" w:hAnsi="Times New Roman"/>
          <w:sz w:val="20"/>
          <w:szCs w:val="21"/>
        </w:rPr>
      </w:pPr>
      <w:r>
        <w:rPr>
          <w:rFonts w:ascii="Times New Roman" w:hAnsi="Times New Roman"/>
          <w:sz w:val="20"/>
          <w:szCs w:val="21"/>
        </w:rPr>
        <w:t>The agreement for legacy UE performance is listed as below</w:t>
      </w:r>
      <w:r w:rsidR="008E2409">
        <w:rPr>
          <w:rFonts w:ascii="Times New Roman" w:hAnsi="Times New Roman"/>
          <w:sz w:val="20"/>
          <w:szCs w:val="21"/>
        </w:rPr>
        <w:t>.</w:t>
      </w:r>
    </w:p>
    <w:tbl>
      <w:tblPr>
        <w:tblStyle w:val="TableGrid"/>
        <w:tblW w:w="0" w:type="auto"/>
        <w:tblLook w:val="04A0" w:firstRow="1" w:lastRow="0" w:firstColumn="1" w:lastColumn="0" w:noHBand="0" w:noVBand="1"/>
      </w:tblPr>
      <w:tblGrid>
        <w:gridCol w:w="9736"/>
      </w:tblGrid>
      <w:tr w:rsidR="00F04921" w14:paraId="51C11B35" w14:textId="77777777" w:rsidTr="00F04921">
        <w:tc>
          <w:tcPr>
            <w:tcW w:w="9736" w:type="dxa"/>
          </w:tcPr>
          <w:p w14:paraId="52062B89" w14:textId="4D22E9C4" w:rsidR="00F04921" w:rsidRDefault="00F04921" w:rsidP="00A928CA">
            <w:pPr>
              <w:spacing w:after="180"/>
              <w:rPr>
                <w:rFonts w:ascii="Times New Roman" w:hAnsi="Times New Roman"/>
                <w:sz w:val="20"/>
                <w:szCs w:val="21"/>
              </w:rPr>
            </w:pPr>
            <w:r w:rsidRPr="00F04921">
              <w:rPr>
                <w:rFonts w:ascii="Times New Roman" w:hAnsi="Times New Roman"/>
                <w:sz w:val="20"/>
                <w:szCs w:val="21"/>
              </w:rPr>
              <w:t>For FR1 companies are encouraged to further discuss values in the range of [20 to 33 dB] for sub-band/in-channel selectivity with accompanying clarification as how they calculate DL sub</w:t>
            </w:r>
            <w:r w:rsidR="00C017B6">
              <w:rPr>
                <w:rFonts w:ascii="Times New Roman" w:hAnsi="Times New Roman"/>
                <w:sz w:val="20"/>
                <w:szCs w:val="21"/>
              </w:rPr>
              <w:t>-</w:t>
            </w:r>
            <w:r w:rsidRPr="00F04921">
              <w:rPr>
                <w:rFonts w:ascii="Times New Roman" w:hAnsi="Times New Roman"/>
                <w:sz w:val="20"/>
                <w:szCs w:val="21"/>
              </w:rPr>
              <w:t>band interference based on one value from this range and what guard band is assumed.</w:t>
            </w:r>
          </w:p>
        </w:tc>
      </w:tr>
    </w:tbl>
    <w:p w14:paraId="2FB86256" w14:textId="77777777" w:rsidR="00782FE1" w:rsidRDefault="00097CB0" w:rsidP="00A928CA">
      <w:pPr>
        <w:spacing w:after="180"/>
        <w:rPr>
          <w:rFonts w:ascii="Times New Roman" w:hAnsi="Times New Roman"/>
          <w:sz w:val="20"/>
          <w:szCs w:val="21"/>
        </w:rPr>
      </w:pPr>
      <w:r>
        <w:rPr>
          <w:rFonts w:ascii="Times New Roman" w:hAnsi="Times New Roman"/>
          <w:sz w:val="20"/>
          <w:szCs w:val="21"/>
        </w:rPr>
        <w:t xml:space="preserve">The upper bound in above bracket is very similar as current ACS value for UE. </w:t>
      </w:r>
    </w:p>
    <w:p w14:paraId="4550B2F7" w14:textId="6269C309" w:rsidR="003018CF" w:rsidRDefault="005B17D7" w:rsidP="00A928CA">
      <w:pPr>
        <w:spacing w:after="180"/>
        <w:rPr>
          <w:rFonts w:ascii="Times New Roman" w:hAnsi="Times New Roman"/>
          <w:sz w:val="20"/>
          <w:szCs w:val="21"/>
        </w:rPr>
      </w:pPr>
      <w:r>
        <w:rPr>
          <w:rFonts w:ascii="Times New Roman" w:hAnsi="Times New Roman"/>
          <w:sz w:val="20"/>
          <w:szCs w:val="21"/>
        </w:rPr>
        <w:t xml:space="preserve">there are several factors that will impact final sub-band selectivity performance, e.g. IM3, phase noise, side band residual interference </w:t>
      </w:r>
      <w:r w:rsidRPr="005B17D7">
        <w:rPr>
          <w:rFonts w:ascii="Times New Roman" w:hAnsi="Times New Roman"/>
          <w:sz w:val="20"/>
          <w:szCs w:val="21"/>
        </w:rPr>
        <w:t>reciprocal mixing</w:t>
      </w:r>
      <w:r w:rsidR="00782FE1">
        <w:rPr>
          <w:rFonts w:ascii="Times New Roman" w:hAnsi="Times New Roman"/>
          <w:sz w:val="20"/>
          <w:szCs w:val="21"/>
        </w:rPr>
        <w:t>,</w:t>
      </w:r>
      <w:r>
        <w:rPr>
          <w:rFonts w:ascii="Times New Roman" w:hAnsi="Times New Roman"/>
          <w:sz w:val="20"/>
          <w:szCs w:val="21"/>
        </w:rPr>
        <w:t xml:space="preserve"> FFT impact</w:t>
      </w:r>
      <w:r w:rsidR="00782FE1">
        <w:rPr>
          <w:rFonts w:ascii="Times New Roman" w:hAnsi="Times New Roman"/>
          <w:sz w:val="20"/>
          <w:szCs w:val="21"/>
        </w:rPr>
        <w:t xml:space="preserve"> or even sub-band filtering impact for SBFD-aware UE</w:t>
      </w:r>
      <w:r>
        <w:rPr>
          <w:rFonts w:ascii="Times New Roman" w:hAnsi="Times New Roman"/>
          <w:sz w:val="20"/>
          <w:szCs w:val="21"/>
        </w:rPr>
        <w:t>. In [2], it shows t</w:t>
      </w:r>
      <w:r w:rsidRPr="005B17D7">
        <w:rPr>
          <w:rFonts w:ascii="Times New Roman" w:hAnsi="Times New Roman"/>
          <w:sz w:val="20"/>
          <w:szCs w:val="21"/>
        </w:rPr>
        <w:t>he interference mechanisms … thermal noise, residual sideband, reciprocal mixing, phase noise, IM3 … are unaffected by the baseband filtering</w:t>
      </w:r>
      <w:r w:rsidR="00782FE1">
        <w:rPr>
          <w:rFonts w:ascii="Times New Roman" w:hAnsi="Times New Roman"/>
          <w:sz w:val="20"/>
          <w:szCs w:val="21"/>
        </w:rPr>
        <w:t>. For FFT impact or sub-band filtering impact, they could also be assumed as frequency flat with sever</w:t>
      </w:r>
      <w:r w:rsidR="00FA6835">
        <w:rPr>
          <w:rFonts w:ascii="Times New Roman" w:hAnsi="Times New Roman"/>
          <w:sz w:val="20"/>
          <w:szCs w:val="21"/>
        </w:rPr>
        <w:t>a</w:t>
      </w:r>
      <w:r w:rsidR="00782FE1">
        <w:rPr>
          <w:rFonts w:ascii="Times New Roman" w:hAnsi="Times New Roman"/>
          <w:sz w:val="20"/>
          <w:szCs w:val="21"/>
        </w:rPr>
        <w:t>l RB as guard band. T</w:t>
      </w:r>
      <w:r w:rsidRPr="005B17D7">
        <w:rPr>
          <w:rFonts w:ascii="Times New Roman" w:hAnsi="Times New Roman"/>
          <w:sz w:val="20"/>
          <w:szCs w:val="21"/>
        </w:rPr>
        <w:t xml:space="preserve">his means the interference mechanisms for </w:t>
      </w:r>
      <w:r w:rsidR="00FA6835">
        <w:rPr>
          <w:rFonts w:ascii="Times New Roman" w:hAnsi="Times New Roman"/>
          <w:sz w:val="20"/>
          <w:szCs w:val="21"/>
        </w:rPr>
        <w:t>ACS</w:t>
      </w:r>
      <w:r w:rsidRPr="005B17D7">
        <w:rPr>
          <w:rFonts w:ascii="Times New Roman" w:hAnsi="Times New Roman"/>
          <w:sz w:val="20"/>
          <w:szCs w:val="21"/>
        </w:rPr>
        <w:t xml:space="preserve"> are quite similar to </w:t>
      </w:r>
      <w:r w:rsidR="00FA6835">
        <w:rPr>
          <w:rFonts w:ascii="Times New Roman" w:hAnsi="Times New Roman"/>
          <w:sz w:val="20"/>
          <w:szCs w:val="21"/>
        </w:rPr>
        <w:t>inter sub-band selectivity</w:t>
      </w:r>
      <w:r w:rsidRPr="005B17D7">
        <w:rPr>
          <w:rFonts w:ascii="Times New Roman" w:hAnsi="Times New Roman"/>
          <w:sz w:val="20"/>
          <w:szCs w:val="21"/>
        </w:rPr>
        <w:t>.</w:t>
      </w:r>
      <w:r w:rsidR="00782FE1">
        <w:rPr>
          <w:rFonts w:ascii="Times New Roman" w:hAnsi="Times New Roman"/>
          <w:sz w:val="20"/>
          <w:szCs w:val="21"/>
        </w:rPr>
        <w:t xml:space="preserve"> from this point of view, if we assume ACS as frequency flat, it is also OK to assume sub-band selectivity as frequency flat. </w:t>
      </w:r>
    </w:p>
    <w:p w14:paraId="575583A3" w14:textId="3A21F621" w:rsidR="00A028F1" w:rsidRDefault="00FA6835" w:rsidP="00A928CA">
      <w:pPr>
        <w:spacing w:after="180"/>
        <w:rPr>
          <w:rFonts w:ascii="Times New Roman" w:hAnsi="Times New Roman"/>
          <w:sz w:val="20"/>
          <w:szCs w:val="21"/>
        </w:rPr>
      </w:pPr>
      <w:r>
        <w:rPr>
          <w:rFonts w:ascii="Times New Roman" w:hAnsi="Times New Roman"/>
          <w:sz w:val="20"/>
          <w:szCs w:val="21"/>
        </w:rPr>
        <w:t>F</w:t>
      </w:r>
      <w:r w:rsidR="003018CF">
        <w:rPr>
          <w:rFonts w:ascii="Times New Roman" w:hAnsi="Times New Roman" w:hint="eastAsia"/>
          <w:sz w:val="20"/>
          <w:szCs w:val="21"/>
        </w:rPr>
        <w:t>or</w:t>
      </w:r>
      <w:r w:rsidR="003018CF">
        <w:rPr>
          <w:rFonts w:ascii="Times New Roman" w:hAnsi="Times New Roman"/>
          <w:sz w:val="20"/>
          <w:szCs w:val="21"/>
        </w:rPr>
        <w:t xml:space="preserve"> </w:t>
      </w:r>
      <w:r w:rsidR="003018CF">
        <w:rPr>
          <w:rFonts w:ascii="Times New Roman" w:hAnsi="Times New Roman" w:hint="eastAsia"/>
          <w:sz w:val="20"/>
          <w:szCs w:val="21"/>
        </w:rPr>
        <w:t>IBE</w:t>
      </w:r>
      <w:r w:rsidR="003018CF">
        <w:rPr>
          <w:rFonts w:ascii="Times New Roman" w:hAnsi="Times New Roman"/>
          <w:sz w:val="20"/>
          <w:szCs w:val="21"/>
        </w:rPr>
        <w:t xml:space="preserve">, when per RB tx power is large enough, IBE frequency flat level could be in the range from -49dB to -25dB for FR1. </w:t>
      </w:r>
      <w:r w:rsidR="00782FE1">
        <w:rPr>
          <w:rFonts w:ascii="Times New Roman" w:hAnsi="Times New Roman"/>
          <w:sz w:val="20"/>
          <w:szCs w:val="21"/>
        </w:rPr>
        <w:t xml:space="preserve">compared IBE </w:t>
      </w:r>
      <w:r>
        <w:rPr>
          <w:rFonts w:ascii="Times New Roman" w:hAnsi="Times New Roman"/>
          <w:sz w:val="20"/>
          <w:szCs w:val="21"/>
        </w:rPr>
        <w:t xml:space="preserve">value </w:t>
      </w:r>
      <w:r w:rsidR="0055579A">
        <w:rPr>
          <w:rFonts w:ascii="Times New Roman" w:hAnsi="Times New Roman"/>
          <w:sz w:val="20"/>
          <w:szCs w:val="21"/>
        </w:rPr>
        <w:t xml:space="preserve">range </w:t>
      </w:r>
      <w:r>
        <w:rPr>
          <w:rFonts w:ascii="Times New Roman" w:hAnsi="Times New Roman"/>
          <w:sz w:val="20"/>
          <w:szCs w:val="21"/>
        </w:rPr>
        <w:t xml:space="preserve">with </w:t>
      </w:r>
      <w:r w:rsidR="00782FE1">
        <w:rPr>
          <w:rFonts w:ascii="Times New Roman" w:hAnsi="Times New Roman"/>
          <w:sz w:val="20"/>
          <w:szCs w:val="21"/>
        </w:rPr>
        <w:t xml:space="preserve">sub-band selectivity </w:t>
      </w:r>
      <w:r>
        <w:rPr>
          <w:rFonts w:ascii="Times New Roman" w:hAnsi="Times New Roman"/>
          <w:sz w:val="20"/>
          <w:szCs w:val="21"/>
        </w:rPr>
        <w:t>value range</w:t>
      </w:r>
      <w:r w:rsidR="00782FE1">
        <w:rPr>
          <w:rFonts w:ascii="Times New Roman" w:hAnsi="Times New Roman"/>
          <w:sz w:val="20"/>
          <w:szCs w:val="21"/>
        </w:rPr>
        <w:t xml:space="preserve">, it is hard to conclude IBE is dominant </w:t>
      </w:r>
      <w:r w:rsidR="0055579A">
        <w:rPr>
          <w:rFonts w:ascii="Times New Roman" w:hAnsi="Times New Roman"/>
          <w:sz w:val="20"/>
          <w:szCs w:val="21"/>
        </w:rPr>
        <w:t>factor</w:t>
      </w:r>
      <w:r w:rsidR="003018CF">
        <w:rPr>
          <w:rFonts w:ascii="Times New Roman" w:hAnsi="Times New Roman"/>
          <w:sz w:val="20"/>
          <w:szCs w:val="21"/>
        </w:rPr>
        <w:t xml:space="preserve"> for </w:t>
      </w:r>
      <w:r w:rsidR="0055579A">
        <w:rPr>
          <w:rFonts w:ascii="Times New Roman" w:hAnsi="Times New Roman"/>
          <w:sz w:val="20"/>
          <w:szCs w:val="21"/>
        </w:rPr>
        <w:t>all</w:t>
      </w:r>
      <w:r w:rsidR="003018CF">
        <w:rPr>
          <w:rFonts w:ascii="Times New Roman" w:hAnsi="Times New Roman"/>
          <w:sz w:val="20"/>
          <w:szCs w:val="21"/>
        </w:rPr>
        <w:t xml:space="preserve"> case</w:t>
      </w:r>
      <w:r w:rsidR="0055579A">
        <w:rPr>
          <w:rFonts w:ascii="Times New Roman" w:hAnsi="Times New Roman"/>
          <w:sz w:val="20"/>
          <w:szCs w:val="21"/>
        </w:rPr>
        <w:t>s</w:t>
      </w:r>
      <w:r w:rsidR="003018CF">
        <w:rPr>
          <w:rFonts w:ascii="Times New Roman" w:hAnsi="Times New Roman"/>
          <w:sz w:val="20"/>
          <w:szCs w:val="21"/>
        </w:rPr>
        <w:t>.</w:t>
      </w:r>
    </w:p>
    <w:p w14:paraId="77C9C214" w14:textId="69143E04" w:rsidR="00782FE1" w:rsidRPr="00294C7E" w:rsidRDefault="00FC1437" w:rsidP="00A928CA">
      <w:pPr>
        <w:spacing w:after="180"/>
        <w:rPr>
          <w:rFonts w:ascii="Times New Roman" w:hAnsi="Times New Roman"/>
          <w:b/>
          <w:bCs/>
          <w:sz w:val="20"/>
          <w:szCs w:val="21"/>
        </w:rPr>
      </w:pPr>
      <w:r>
        <w:rPr>
          <w:rFonts w:ascii="Times New Roman" w:hAnsi="Times New Roman"/>
          <w:b/>
          <w:bCs/>
          <w:sz w:val="20"/>
          <w:szCs w:val="21"/>
        </w:rPr>
        <w:t>O</w:t>
      </w:r>
      <w:r w:rsidR="00782FE1" w:rsidRPr="00294C7E">
        <w:rPr>
          <w:rFonts w:ascii="Times New Roman" w:hAnsi="Times New Roman"/>
          <w:b/>
          <w:bCs/>
          <w:sz w:val="20"/>
          <w:szCs w:val="21"/>
        </w:rPr>
        <w:t>bservation</w:t>
      </w:r>
      <w:r w:rsidR="00317E1F">
        <w:rPr>
          <w:rFonts w:ascii="Times New Roman" w:hAnsi="Times New Roman"/>
          <w:b/>
          <w:bCs/>
          <w:sz w:val="20"/>
          <w:szCs w:val="21"/>
        </w:rPr>
        <w:t xml:space="preserve"> 2</w:t>
      </w:r>
      <w:r w:rsidR="00782FE1" w:rsidRPr="00294C7E">
        <w:rPr>
          <w:rFonts w:ascii="Times New Roman" w:hAnsi="Times New Roman"/>
          <w:b/>
          <w:bCs/>
          <w:sz w:val="20"/>
          <w:szCs w:val="21"/>
        </w:rPr>
        <w:t xml:space="preserve">: </w:t>
      </w:r>
      <w:r w:rsidR="00107761">
        <w:rPr>
          <w:rFonts w:ascii="Times New Roman" w:hAnsi="Times New Roman"/>
          <w:b/>
          <w:bCs/>
          <w:sz w:val="20"/>
          <w:szCs w:val="21"/>
        </w:rPr>
        <w:t>since</w:t>
      </w:r>
      <w:r w:rsidR="00782FE1" w:rsidRPr="00294C7E">
        <w:rPr>
          <w:rFonts w:ascii="Times New Roman" w:hAnsi="Times New Roman"/>
          <w:b/>
          <w:bCs/>
          <w:sz w:val="20"/>
          <w:szCs w:val="21"/>
        </w:rPr>
        <w:t xml:space="preserve"> we assume ACS as frequency flat, it’s also reasonable to assume sub-band selectivity as frequency flat. </w:t>
      </w:r>
    </w:p>
    <w:p w14:paraId="1B1CA3E9" w14:textId="3E921FB9" w:rsidR="00CB020D" w:rsidRPr="00CB020D" w:rsidRDefault="00CB020D" w:rsidP="00CB020D">
      <w:pPr>
        <w:pStyle w:val="ListParagraph"/>
        <w:numPr>
          <w:ilvl w:val="0"/>
          <w:numId w:val="18"/>
        </w:numPr>
        <w:spacing w:after="180"/>
        <w:ind w:firstLineChars="0"/>
        <w:rPr>
          <w:rFonts w:ascii="Times New Roman" w:hAnsi="Times New Roman"/>
          <w:b/>
          <w:bCs/>
          <w:sz w:val="20"/>
          <w:szCs w:val="21"/>
        </w:rPr>
      </w:pPr>
      <w:r w:rsidRPr="00CB020D">
        <w:rPr>
          <w:rFonts w:ascii="Times New Roman" w:hAnsi="Times New Roman" w:hint="eastAsia"/>
          <w:b/>
          <w:bCs/>
          <w:sz w:val="20"/>
          <w:szCs w:val="21"/>
        </w:rPr>
        <w:t>N</w:t>
      </w:r>
      <w:r w:rsidRPr="00CB020D">
        <w:rPr>
          <w:rFonts w:ascii="Times New Roman" w:hAnsi="Times New Roman"/>
          <w:b/>
          <w:bCs/>
          <w:sz w:val="20"/>
          <w:szCs w:val="21"/>
        </w:rPr>
        <w:t>F assumption</w:t>
      </w:r>
    </w:p>
    <w:p w14:paraId="4004362D" w14:textId="591D4EEB" w:rsidR="008343CC" w:rsidRDefault="008343CC" w:rsidP="00A928CA">
      <w:pPr>
        <w:spacing w:after="180"/>
        <w:rPr>
          <w:rFonts w:ascii="Times New Roman" w:hAnsi="Times New Roman"/>
          <w:sz w:val="20"/>
          <w:szCs w:val="21"/>
        </w:rPr>
      </w:pPr>
      <w:r>
        <w:rPr>
          <w:rFonts w:ascii="Times New Roman" w:hAnsi="Times New Roman"/>
          <w:sz w:val="20"/>
          <w:szCs w:val="21"/>
        </w:rPr>
        <w:lastRenderedPageBreak/>
        <w:t>In last meeting, the agreement of NF assumption is listed as below</w:t>
      </w:r>
    </w:p>
    <w:tbl>
      <w:tblPr>
        <w:tblStyle w:val="TableGrid"/>
        <w:tblW w:w="0" w:type="auto"/>
        <w:tblLook w:val="04A0" w:firstRow="1" w:lastRow="0" w:firstColumn="1" w:lastColumn="0" w:noHBand="0" w:noVBand="1"/>
      </w:tblPr>
      <w:tblGrid>
        <w:gridCol w:w="9736"/>
      </w:tblGrid>
      <w:tr w:rsidR="008343CC" w14:paraId="4FD98554" w14:textId="77777777" w:rsidTr="008343CC">
        <w:tc>
          <w:tcPr>
            <w:tcW w:w="9736" w:type="dxa"/>
          </w:tcPr>
          <w:p w14:paraId="4884D409" w14:textId="77777777" w:rsidR="008343CC" w:rsidRPr="008343CC" w:rsidRDefault="008343CC" w:rsidP="00782FE1">
            <w:pPr>
              <w:spacing w:before="0"/>
              <w:rPr>
                <w:rFonts w:ascii="Times New Roman" w:hAnsi="Times New Roman"/>
                <w:sz w:val="20"/>
                <w:szCs w:val="21"/>
              </w:rPr>
            </w:pPr>
            <w:r w:rsidRPr="008343CC">
              <w:rPr>
                <w:rFonts w:ascii="Times New Roman" w:hAnsi="Times New Roman"/>
                <w:sz w:val="20"/>
                <w:szCs w:val="21"/>
              </w:rPr>
              <w:t>Agreement:</w:t>
            </w:r>
          </w:p>
          <w:p w14:paraId="2AC731DD" w14:textId="77777777" w:rsidR="008343CC" w:rsidRPr="008343CC" w:rsidRDefault="008343CC" w:rsidP="00782FE1">
            <w:pPr>
              <w:spacing w:before="0"/>
              <w:rPr>
                <w:rFonts w:ascii="Times New Roman" w:hAnsi="Times New Roman"/>
                <w:sz w:val="20"/>
                <w:szCs w:val="21"/>
              </w:rPr>
            </w:pPr>
            <w:r w:rsidRPr="008343CC">
              <w:rPr>
                <w:rFonts w:ascii="Times New Roman" w:hAnsi="Times New Roman"/>
                <w:sz w:val="20"/>
                <w:szCs w:val="21"/>
              </w:rPr>
              <w:t>1.</w:t>
            </w:r>
            <w:r w:rsidRPr="008343CC">
              <w:rPr>
                <w:rFonts w:ascii="Times New Roman" w:hAnsi="Times New Roman"/>
                <w:sz w:val="20"/>
                <w:szCs w:val="21"/>
              </w:rPr>
              <w:tab/>
              <w:t>Use a fixed value noise figure model for the purpose of system level simulation for SBFD</w:t>
            </w:r>
          </w:p>
          <w:p w14:paraId="36D0C7E6" w14:textId="77777777" w:rsidR="008343CC" w:rsidRPr="008343CC" w:rsidRDefault="008343CC" w:rsidP="00782FE1">
            <w:pPr>
              <w:spacing w:before="0"/>
              <w:rPr>
                <w:rFonts w:ascii="Times New Roman" w:hAnsi="Times New Roman"/>
                <w:sz w:val="20"/>
                <w:szCs w:val="21"/>
              </w:rPr>
            </w:pPr>
            <w:r w:rsidRPr="008343CC">
              <w:rPr>
                <w:rFonts w:ascii="Times New Roman" w:hAnsi="Times New Roman"/>
                <w:sz w:val="20"/>
                <w:szCs w:val="21"/>
              </w:rPr>
              <w:t>2.</w:t>
            </w:r>
            <w:r w:rsidRPr="008343CC">
              <w:rPr>
                <w:rFonts w:ascii="Times New Roman" w:hAnsi="Times New Roman"/>
                <w:sz w:val="20"/>
                <w:szCs w:val="21"/>
              </w:rPr>
              <w:tab/>
              <w:t>FR1 noise figure value in the range [7 to 9 dB]</w:t>
            </w:r>
          </w:p>
          <w:p w14:paraId="1F1A5271" w14:textId="02918984" w:rsidR="008343CC" w:rsidRDefault="008343CC" w:rsidP="00782FE1">
            <w:pPr>
              <w:spacing w:before="0"/>
              <w:rPr>
                <w:rFonts w:ascii="Times New Roman" w:hAnsi="Times New Roman"/>
                <w:sz w:val="20"/>
                <w:szCs w:val="21"/>
              </w:rPr>
            </w:pPr>
            <w:r w:rsidRPr="008343CC">
              <w:rPr>
                <w:rFonts w:ascii="Times New Roman" w:hAnsi="Times New Roman"/>
                <w:sz w:val="20"/>
                <w:szCs w:val="21"/>
              </w:rPr>
              <w:t>3.</w:t>
            </w:r>
            <w:r w:rsidRPr="008343CC">
              <w:rPr>
                <w:rFonts w:ascii="Times New Roman" w:hAnsi="Times New Roman"/>
                <w:sz w:val="20"/>
                <w:szCs w:val="21"/>
              </w:rPr>
              <w:tab/>
              <w:t>FR2-1 noise figure value in the range [7.5 to 10 dB]</w:t>
            </w:r>
          </w:p>
        </w:tc>
      </w:tr>
    </w:tbl>
    <w:p w14:paraId="3839046E" w14:textId="24D4C926" w:rsidR="002D20BB" w:rsidRDefault="008343CC" w:rsidP="00A928CA">
      <w:pPr>
        <w:spacing w:after="180"/>
        <w:rPr>
          <w:rFonts w:ascii="Times New Roman" w:hAnsi="Times New Roman"/>
          <w:sz w:val="20"/>
          <w:szCs w:val="21"/>
        </w:rPr>
      </w:pPr>
      <w:r>
        <w:rPr>
          <w:rFonts w:ascii="Times New Roman" w:hAnsi="Times New Roman"/>
          <w:sz w:val="20"/>
          <w:szCs w:val="21"/>
        </w:rPr>
        <w:t xml:space="preserve">According to our experience, commercial UE’s performance is much better than 3GPP requirements. for example, commercial UE </w:t>
      </w:r>
      <w:r w:rsidR="00317E1F">
        <w:rPr>
          <w:rFonts w:ascii="Times New Roman" w:hAnsi="Times New Roman"/>
          <w:sz w:val="20"/>
          <w:szCs w:val="21"/>
        </w:rPr>
        <w:t xml:space="preserve">with 2Rx </w:t>
      </w:r>
      <w:r>
        <w:rPr>
          <w:rFonts w:ascii="Times New Roman" w:hAnsi="Times New Roman"/>
          <w:sz w:val="20"/>
          <w:szCs w:val="21"/>
        </w:rPr>
        <w:t xml:space="preserve">could achieve better </w:t>
      </w:r>
      <w:r w:rsidR="00C54ACD">
        <w:rPr>
          <w:rFonts w:ascii="Times New Roman" w:hAnsi="Times New Roman"/>
          <w:sz w:val="20"/>
          <w:szCs w:val="21"/>
        </w:rPr>
        <w:t xml:space="preserve">REFSENSE </w:t>
      </w:r>
      <w:r>
        <w:rPr>
          <w:rFonts w:ascii="Times New Roman" w:hAnsi="Times New Roman"/>
          <w:sz w:val="20"/>
          <w:szCs w:val="21"/>
        </w:rPr>
        <w:t xml:space="preserve">performance than </w:t>
      </w:r>
      <w:r w:rsidR="00317E1F">
        <w:rPr>
          <w:rFonts w:ascii="Times New Roman" w:hAnsi="Times New Roman"/>
          <w:sz w:val="20"/>
          <w:szCs w:val="21"/>
        </w:rPr>
        <w:t xml:space="preserve">4Rx </w:t>
      </w:r>
      <w:r w:rsidR="00C54ACD">
        <w:rPr>
          <w:rFonts w:ascii="Times New Roman" w:hAnsi="Times New Roman"/>
          <w:sz w:val="20"/>
          <w:szCs w:val="21"/>
        </w:rPr>
        <w:t>3GPP requirements. therefore, if we use commercial NF value in simulation, the best value 7dB for FR1 and 7.5dB for FR2 is suggested. Besides, NF is very important factor for simulation which should be aligned between RAN1 and RAN4. The new approved UE NF should be sent to RAN1 for alignment.</w:t>
      </w:r>
    </w:p>
    <w:p w14:paraId="37205767" w14:textId="7E686D4F" w:rsidR="002241B6" w:rsidRDefault="002D20BB" w:rsidP="00A928CA">
      <w:pPr>
        <w:spacing w:after="180"/>
        <w:rPr>
          <w:rFonts w:ascii="Times New Roman" w:hAnsi="Times New Roman"/>
          <w:b/>
          <w:bCs/>
          <w:sz w:val="20"/>
          <w:szCs w:val="21"/>
        </w:rPr>
      </w:pPr>
      <w:r w:rsidRPr="002241B6">
        <w:rPr>
          <w:rFonts w:ascii="Times New Roman" w:hAnsi="Times New Roman"/>
          <w:b/>
          <w:bCs/>
          <w:sz w:val="20"/>
          <w:szCs w:val="21"/>
        </w:rPr>
        <w:t xml:space="preserve">Proposal </w:t>
      </w:r>
      <w:r w:rsidR="00317E1F">
        <w:rPr>
          <w:rFonts w:ascii="Times New Roman" w:hAnsi="Times New Roman"/>
          <w:b/>
          <w:bCs/>
          <w:sz w:val="20"/>
          <w:szCs w:val="21"/>
        </w:rPr>
        <w:t>1</w:t>
      </w:r>
      <w:r w:rsidRPr="002241B6">
        <w:rPr>
          <w:rFonts w:ascii="Times New Roman" w:hAnsi="Times New Roman"/>
          <w:b/>
          <w:bCs/>
          <w:sz w:val="20"/>
          <w:szCs w:val="21"/>
        </w:rPr>
        <w:t xml:space="preserve">: </w:t>
      </w:r>
      <w:r w:rsidR="002241B6" w:rsidRPr="002241B6">
        <w:rPr>
          <w:rFonts w:ascii="Times New Roman" w:hAnsi="Times New Roman"/>
          <w:b/>
          <w:bCs/>
          <w:sz w:val="20"/>
          <w:szCs w:val="21"/>
        </w:rPr>
        <w:t xml:space="preserve">commercial UE could have much better NF than used in 3GPP requirement definition, e.g. 3dB better. So best 7dB NF performance </w:t>
      </w:r>
      <w:r w:rsidR="00317E1F">
        <w:rPr>
          <w:rFonts w:ascii="Times New Roman" w:hAnsi="Times New Roman"/>
          <w:b/>
          <w:bCs/>
          <w:sz w:val="20"/>
          <w:szCs w:val="21"/>
        </w:rPr>
        <w:t>is</w:t>
      </w:r>
      <w:r w:rsidR="002241B6" w:rsidRPr="002241B6">
        <w:rPr>
          <w:rFonts w:ascii="Times New Roman" w:hAnsi="Times New Roman"/>
          <w:b/>
          <w:bCs/>
          <w:sz w:val="20"/>
          <w:szCs w:val="21"/>
        </w:rPr>
        <w:t xml:space="preserve"> suggested for FR1.</w:t>
      </w:r>
    </w:p>
    <w:p w14:paraId="5A1D64A9" w14:textId="60405E6A" w:rsidR="002D7D49" w:rsidRDefault="002241B6" w:rsidP="00A928CA">
      <w:pPr>
        <w:spacing w:after="180"/>
        <w:rPr>
          <w:rFonts w:ascii="Times New Roman" w:hAnsi="Times New Roman"/>
          <w:b/>
          <w:bCs/>
          <w:sz w:val="20"/>
          <w:szCs w:val="21"/>
        </w:rPr>
      </w:pPr>
      <w:r>
        <w:rPr>
          <w:rFonts w:ascii="Times New Roman" w:hAnsi="Times New Roman"/>
          <w:b/>
          <w:bCs/>
          <w:sz w:val="20"/>
          <w:szCs w:val="21"/>
        </w:rPr>
        <w:t xml:space="preserve">Proposal </w:t>
      </w:r>
      <w:r w:rsidR="00317E1F">
        <w:rPr>
          <w:rFonts w:ascii="Times New Roman" w:hAnsi="Times New Roman"/>
          <w:b/>
          <w:bCs/>
          <w:sz w:val="20"/>
          <w:szCs w:val="21"/>
        </w:rPr>
        <w:t>2</w:t>
      </w:r>
      <w:r>
        <w:rPr>
          <w:rFonts w:ascii="Times New Roman" w:hAnsi="Times New Roman" w:hint="eastAsia"/>
          <w:b/>
          <w:bCs/>
          <w:sz w:val="20"/>
          <w:szCs w:val="21"/>
        </w:rPr>
        <w:t>:</w:t>
      </w:r>
      <w:r>
        <w:rPr>
          <w:rFonts w:ascii="Times New Roman" w:hAnsi="Times New Roman"/>
          <w:b/>
          <w:bCs/>
          <w:sz w:val="20"/>
          <w:szCs w:val="21"/>
        </w:rPr>
        <w:t xml:space="preserve"> </w:t>
      </w:r>
      <w:r w:rsidR="007F6568">
        <w:rPr>
          <w:rFonts w:ascii="Times New Roman" w:hAnsi="Times New Roman"/>
          <w:b/>
          <w:bCs/>
          <w:sz w:val="20"/>
          <w:szCs w:val="21"/>
        </w:rPr>
        <w:t>T</w:t>
      </w:r>
      <w:r>
        <w:rPr>
          <w:rFonts w:ascii="Times New Roman" w:hAnsi="Times New Roman"/>
          <w:b/>
          <w:bCs/>
          <w:sz w:val="20"/>
          <w:szCs w:val="21"/>
        </w:rPr>
        <w:t>o align RAN1 and RAN4’s NF assumption, it’s better to send the NF assumption to RAN1.</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0F5C20B6"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96648F">
        <w:rPr>
          <w:rFonts w:ascii="Times New Roman" w:hAnsi="Times New Roman"/>
          <w:sz w:val="20"/>
          <w:szCs w:val="20"/>
        </w:rPr>
        <w:t>UE feasibility</w:t>
      </w:r>
      <w:r>
        <w:rPr>
          <w:rFonts w:ascii="Times New Roman" w:hAnsi="Times New Roman"/>
          <w:sz w:val="20"/>
          <w:szCs w:val="20"/>
        </w:rPr>
        <w:t xml:space="preserve"> </w:t>
      </w:r>
      <w:r w:rsidR="00F95356">
        <w:rPr>
          <w:rFonts w:ascii="Times New Roman" w:hAnsi="Times New Roman"/>
          <w:sz w:val="20"/>
          <w:szCs w:val="20"/>
        </w:rPr>
        <w:t>is</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330DADAA" w14:textId="77777777" w:rsidR="007B1B40" w:rsidRDefault="007B1B40" w:rsidP="007B1B40">
      <w:pPr>
        <w:spacing w:after="180"/>
        <w:rPr>
          <w:rFonts w:ascii="Times New Roman" w:hAnsi="Times New Roman"/>
          <w:b/>
          <w:bCs/>
          <w:szCs w:val="21"/>
        </w:rPr>
      </w:pPr>
      <w:r w:rsidRPr="003E2458">
        <w:rPr>
          <w:rFonts w:ascii="Times New Roman" w:hAnsi="Times New Roman"/>
          <w:b/>
          <w:bCs/>
          <w:szCs w:val="21"/>
        </w:rPr>
        <w:t xml:space="preserve">Observation 1: for FR1, IBE </w:t>
      </w:r>
      <w:r>
        <w:rPr>
          <w:rFonts w:ascii="Times New Roman" w:hAnsi="Times New Roman"/>
          <w:b/>
          <w:bCs/>
          <w:szCs w:val="21"/>
        </w:rPr>
        <w:t>is</w:t>
      </w:r>
      <w:r w:rsidRPr="003E2458">
        <w:rPr>
          <w:rFonts w:ascii="Times New Roman" w:hAnsi="Times New Roman"/>
          <w:b/>
          <w:bCs/>
          <w:szCs w:val="21"/>
        </w:rPr>
        <w:t xml:space="preserve"> frequency flat </w:t>
      </w:r>
      <w:r>
        <w:rPr>
          <w:rFonts w:ascii="Times New Roman" w:hAnsi="Times New Roman"/>
          <w:b/>
          <w:bCs/>
          <w:szCs w:val="21"/>
        </w:rPr>
        <w:t xml:space="preserve">based on current simulation assumption, i.e. IBE level is the same as isolation RB </w:t>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Pr>
          <w:rFonts w:ascii="Times New Roman" w:hAnsi="Times New Roman" w:hint="eastAsia"/>
          <w:szCs w:val="21"/>
        </w:rPr>
        <w:t xml:space="preserve"> </w:t>
      </w:r>
      <w:r>
        <w:rPr>
          <w:rFonts w:ascii="Times New Roman" w:hAnsi="Times New Roman"/>
          <w:b/>
          <w:bCs/>
          <w:szCs w:val="21"/>
        </w:rPr>
        <w:t xml:space="preserve">increases. </w:t>
      </w:r>
    </w:p>
    <w:p w14:paraId="7D55440B" w14:textId="07A52472" w:rsidR="0096648F" w:rsidRDefault="007B1B40" w:rsidP="00132647">
      <w:pPr>
        <w:spacing w:afterLines="50" w:after="156"/>
        <w:rPr>
          <w:rFonts w:ascii="Times New Roman" w:hAnsi="Times New Roman"/>
          <w:b/>
          <w:bCs/>
          <w:sz w:val="20"/>
          <w:szCs w:val="20"/>
        </w:rPr>
      </w:pPr>
      <w:r w:rsidRPr="007B1B40">
        <w:rPr>
          <w:rFonts w:ascii="Times New Roman" w:hAnsi="Times New Roman"/>
          <w:b/>
          <w:bCs/>
          <w:sz w:val="20"/>
          <w:szCs w:val="20"/>
        </w:rPr>
        <w:t xml:space="preserve">Observation 2: </w:t>
      </w:r>
      <w:r w:rsidR="00213AB6">
        <w:rPr>
          <w:rFonts w:ascii="Times New Roman" w:hAnsi="Times New Roman"/>
          <w:b/>
          <w:bCs/>
          <w:sz w:val="20"/>
          <w:szCs w:val="20"/>
        </w:rPr>
        <w:t>since</w:t>
      </w:r>
      <w:r w:rsidR="00C31836">
        <w:rPr>
          <w:rFonts w:ascii="Times New Roman" w:hAnsi="Times New Roman"/>
          <w:b/>
          <w:bCs/>
          <w:sz w:val="20"/>
          <w:szCs w:val="20"/>
        </w:rPr>
        <w:t xml:space="preserve"> </w:t>
      </w:r>
      <w:r w:rsidRPr="007B1B40">
        <w:rPr>
          <w:rFonts w:ascii="Times New Roman" w:hAnsi="Times New Roman"/>
          <w:b/>
          <w:bCs/>
          <w:sz w:val="20"/>
          <w:szCs w:val="20"/>
        </w:rPr>
        <w:t>we assume ACS as frequency flat, it’s also reasonable to assume sub-band selectivity as frequency flat.</w:t>
      </w:r>
    </w:p>
    <w:p w14:paraId="536B0319" w14:textId="77777777" w:rsidR="007B1B40" w:rsidRPr="007B1B40" w:rsidRDefault="007B1B40" w:rsidP="007B1B40">
      <w:pPr>
        <w:spacing w:afterLines="50" w:after="156"/>
        <w:rPr>
          <w:rFonts w:ascii="Times New Roman" w:hAnsi="Times New Roman"/>
          <w:b/>
          <w:bCs/>
          <w:sz w:val="20"/>
          <w:szCs w:val="20"/>
        </w:rPr>
      </w:pPr>
      <w:r w:rsidRPr="007B1B40">
        <w:rPr>
          <w:rFonts w:ascii="Times New Roman" w:hAnsi="Times New Roman"/>
          <w:b/>
          <w:bCs/>
          <w:sz w:val="20"/>
          <w:szCs w:val="20"/>
        </w:rPr>
        <w:t>Proposal 1: commercial UE could have much better NF than used in 3GPP requirement definition, e.g. 3dB better. So best 7dB NF performance is suggested for FR1.</w:t>
      </w:r>
    </w:p>
    <w:p w14:paraId="7E7A3DD6" w14:textId="4B62C0EE" w:rsidR="007B1B40" w:rsidRPr="0001033C" w:rsidRDefault="007B1B40" w:rsidP="007B1B40">
      <w:pPr>
        <w:spacing w:afterLines="50" w:after="156"/>
        <w:rPr>
          <w:rFonts w:ascii="Times New Roman" w:hAnsi="Times New Roman"/>
          <w:b/>
          <w:bCs/>
          <w:sz w:val="20"/>
          <w:szCs w:val="20"/>
        </w:rPr>
      </w:pPr>
      <w:r w:rsidRPr="007B1B40">
        <w:rPr>
          <w:rFonts w:ascii="Times New Roman" w:hAnsi="Times New Roman"/>
          <w:b/>
          <w:bCs/>
          <w:sz w:val="20"/>
          <w:szCs w:val="20"/>
        </w:rPr>
        <w:t>Proposal 2: To align RAN1 and RAN4’s NF assumption, it’s better to send the NF assumption to RAN1.</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3B7F5C2B"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294FC3" w:rsidRPr="00294FC3">
        <w:rPr>
          <w:rFonts w:ascii="Times New Roman" w:hAnsi="Times New Roman"/>
          <w:sz w:val="20"/>
          <w:szCs w:val="20"/>
        </w:rPr>
        <w:t>R4-2217513</w:t>
      </w:r>
      <w:r w:rsidR="0010268F">
        <w:rPr>
          <w:rFonts w:ascii="Times New Roman" w:hAnsi="Times New Roman"/>
          <w:sz w:val="20"/>
          <w:szCs w:val="20"/>
        </w:rPr>
        <w:t xml:space="preserve">, </w:t>
      </w:r>
      <w:r w:rsidR="00294FC3" w:rsidRPr="00294FC3">
        <w:rPr>
          <w:rFonts w:ascii="Times New Roman" w:hAnsi="Times New Roman"/>
          <w:sz w:val="20"/>
          <w:szCs w:val="20"/>
        </w:rPr>
        <w:t>WF on SBFD feasibility study and RF impact: UE aspects</w:t>
      </w:r>
      <w:r w:rsidR="00883082">
        <w:rPr>
          <w:rFonts w:ascii="Times New Roman" w:hAnsi="Times New Roman"/>
          <w:sz w:val="20"/>
          <w:szCs w:val="20"/>
        </w:rPr>
        <w:t>,</w:t>
      </w:r>
      <w:r w:rsidR="0053600E">
        <w:rPr>
          <w:rFonts w:ascii="Times New Roman" w:hAnsi="Times New Roman"/>
          <w:sz w:val="20"/>
          <w:szCs w:val="20"/>
        </w:rPr>
        <w:t xml:space="preserve"> </w:t>
      </w:r>
      <w:r w:rsidR="00AE1AD8" w:rsidRPr="00AE1AD8">
        <w:rPr>
          <w:rFonts w:ascii="Times New Roman" w:hAnsi="Times New Roman"/>
          <w:sz w:val="20"/>
          <w:szCs w:val="20"/>
        </w:rPr>
        <w:t>Qualcomm Inc</w:t>
      </w:r>
      <w:r w:rsidR="0053600E">
        <w:rPr>
          <w:rFonts w:ascii="Times New Roman" w:hAnsi="Times New Roman"/>
          <w:sz w:val="20"/>
          <w:szCs w:val="20"/>
        </w:rPr>
        <w:t>.</w:t>
      </w:r>
    </w:p>
    <w:p w14:paraId="1FFFBDD5" w14:textId="08C7D079" w:rsidR="005B17D7" w:rsidRDefault="005B17D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Pr="005B17D7">
        <w:rPr>
          <w:rFonts w:ascii="Times New Roman" w:hAnsi="Times New Roman"/>
          <w:sz w:val="20"/>
          <w:szCs w:val="20"/>
        </w:rPr>
        <w:t>R4-2302434</w:t>
      </w:r>
      <w:r>
        <w:rPr>
          <w:rFonts w:ascii="Times New Roman" w:hAnsi="Times New Roman"/>
          <w:sz w:val="20"/>
          <w:szCs w:val="20"/>
        </w:rPr>
        <w:t xml:space="preserve">, </w:t>
      </w:r>
      <w:r w:rsidRPr="005B17D7">
        <w:rPr>
          <w:rFonts w:ascii="Times New Roman" w:hAnsi="Times New Roman"/>
          <w:sz w:val="20"/>
          <w:szCs w:val="20"/>
        </w:rPr>
        <w:t>Modelling UE-UE cross-link interference for SBFD system study</w:t>
      </w:r>
      <w:r>
        <w:rPr>
          <w:rFonts w:ascii="Times New Roman" w:hAnsi="Times New Roman"/>
          <w:sz w:val="20"/>
          <w:szCs w:val="20"/>
        </w:rPr>
        <w:t xml:space="preserve">, </w:t>
      </w:r>
      <w:r w:rsidRPr="005B17D7">
        <w:rPr>
          <w:rFonts w:ascii="Times New Roman" w:hAnsi="Times New Roman"/>
          <w:sz w:val="20"/>
          <w:szCs w:val="20"/>
        </w:rPr>
        <w:t>Qualcomm Inc</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A17B" w14:textId="77777777" w:rsidR="006A313A" w:rsidRDefault="006A313A">
      <w:r>
        <w:separator/>
      </w:r>
    </w:p>
  </w:endnote>
  <w:endnote w:type="continuationSeparator" w:id="0">
    <w:p w14:paraId="6A1B924E" w14:textId="77777777" w:rsidR="006A313A" w:rsidRDefault="006A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893CD" w14:textId="77777777" w:rsidR="006A313A" w:rsidRDefault="006A313A">
      <w:r>
        <w:separator/>
      </w:r>
    </w:p>
  </w:footnote>
  <w:footnote w:type="continuationSeparator" w:id="0">
    <w:p w14:paraId="5385D4DC" w14:textId="77777777" w:rsidR="006A313A" w:rsidRDefault="006A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B4A49F0"/>
    <w:multiLevelType w:val="hybridMultilevel"/>
    <w:tmpl w:val="A052FC6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BE3436"/>
    <w:multiLevelType w:val="hybridMultilevel"/>
    <w:tmpl w:val="5D7CC9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1B6AD1"/>
    <w:multiLevelType w:val="hybridMultilevel"/>
    <w:tmpl w:val="356A8AC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DF17C8"/>
    <w:multiLevelType w:val="hybridMultilevel"/>
    <w:tmpl w:val="A0B6023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16"/>
  </w:num>
  <w:num w:numId="3" w16cid:durableId="766271796">
    <w:abstractNumId w:val="11"/>
  </w:num>
  <w:num w:numId="4" w16cid:durableId="794757771">
    <w:abstractNumId w:val="4"/>
  </w:num>
  <w:num w:numId="5" w16cid:durableId="491604757">
    <w:abstractNumId w:val="9"/>
  </w:num>
  <w:num w:numId="6" w16cid:durableId="410663615">
    <w:abstractNumId w:val="2"/>
  </w:num>
  <w:num w:numId="7" w16cid:durableId="810758056">
    <w:abstractNumId w:val="18"/>
  </w:num>
  <w:num w:numId="8" w16cid:durableId="131022400">
    <w:abstractNumId w:val="17"/>
  </w:num>
  <w:num w:numId="9" w16cid:durableId="1395203366">
    <w:abstractNumId w:val="14"/>
  </w:num>
  <w:num w:numId="10" w16cid:durableId="4290336">
    <w:abstractNumId w:val="10"/>
  </w:num>
  <w:num w:numId="11" w16cid:durableId="1875574972">
    <w:abstractNumId w:val="12"/>
  </w:num>
  <w:num w:numId="12" w16cid:durableId="1564948441">
    <w:abstractNumId w:val="8"/>
  </w:num>
  <w:num w:numId="13" w16cid:durableId="123811046">
    <w:abstractNumId w:val="3"/>
  </w:num>
  <w:num w:numId="14" w16cid:durableId="1430353952">
    <w:abstractNumId w:val="13"/>
  </w:num>
  <w:num w:numId="15" w16cid:durableId="591012712">
    <w:abstractNumId w:val="6"/>
  </w:num>
  <w:num w:numId="16" w16cid:durableId="545261172">
    <w:abstractNumId w:val="7"/>
  </w:num>
  <w:num w:numId="17" w16cid:durableId="787893700">
    <w:abstractNumId w:val="5"/>
  </w:num>
  <w:num w:numId="18" w16cid:durableId="1802190570">
    <w:abstractNumId w:val="15"/>
  </w:num>
  <w:num w:numId="19" w16cid:durableId="257833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3992"/>
    <w:rsid w:val="000041CA"/>
    <w:rsid w:val="00004218"/>
    <w:rsid w:val="0000477F"/>
    <w:rsid w:val="00005E84"/>
    <w:rsid w:val="00006174"/>
    <w:rsid w:val="00006196"/>
    <w:rsid w:val="0001033C"/>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729"/>
    <w:rsid w:val="00051925"/>
    <w:rsid w:val="00052830"/>
    <w:rsid w:val="00052CB8"/>
    <w:rsid w:val="00052E16"/>
    <w:rsid w:val="00053583"/>
    <w:rsid w:val="00053BCE"/>
    <w:rsid w:val="000547BA"/>
    <w:rsid w:val="0005511F"/>
    <w:rsid w:val="0005591D"/>
    <w:rsid w:val="00055B1F"/>
    <w:rsid w:val="00057657"/>
    <w:rsid w:val="00057B7E"/>
    <w:rsid w:val="000606D3"/>
    <w:rsid w:val="00062456"/>
    <w:rsid w:val="000635FD"/>
    <w:rsid w:val="00064965"/>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2C18"/>
    <w:rsid w:val="00093923"/>
    <w:rsid w:val="00094958"/>
    <w:rsid w:val="00094CC6"/>
    <w:rsid w:val="00095D91"/>
    <w:rsid w:val="000965F7"/>
    <w:rsid w:val="00096FF5"/>
    <w:rsid w:val="00097CB0"/>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3BF"/>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D19"/>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761"/>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DB"/>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5020"/>
    <w:rsid w:val="0016673D"/>
    <w:rsid w:val="00166F72"/>
    <w:rsid w:val="00167D5F"/>
    <w:rsid w:val="00170533"/>
    <w:rsid w:val="001710DA"/>
    <w:rsid w:val="00172290"/>
    <w:rsid w:val="001725F0"/>
    <w:rsid w:val="00173CED"/>
    <w:rsid w:val="001741D3"/>
    <w:rsid w:val="00176F93"/>
    <w:rsid w:val="001775D3"/>
    <w:rsid w:val="00180138"/>
    <w:rsid w:val="00180913"/>
    <w:rsid w:val="00181052"/>
    <w:rsid w:val="00182088"/>
    <w:rsid w:val="00182911"/>
    <w:rsid w:val="00182F03"/>
    <w:rsid w:val="001834E1"/>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7E26"/>
    <w:rsid w:val="001A7F9A"/>
    <w:rsid w:val="001B29FC"/>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616"/>
    <w:rsid w:val="001F2ABF"/>
    <w:rsid w:val="001F2FBC"/>
    <w:rsid w:val="001F4212"/>
    <w:rsid w:val="001F461F"/>
    <w:rsid w:val="001F6320"/>
    <w:rsid w:val="001F6630"/>
    <w:rsid w:val="00200E98"/>
    <w:rsid w:val="0020138B"/>
    <w:rsid w:val="00202428"/>
    <w:rsid w:val="0020301F"/>
    <w:rsid w:val="00203046"/>
    <w:rsid w:val="00203DEC"/>
    <w:rsid w:val="0020494F"/>
    <w:rsid w:val="00205008"/>
    <w:rsid w:val="002064BA"/>
    <w:rsid w:val="002068E6"/>
    <w:rsid w:val="00211040"/>
    <w:rsid w:val="00211F9F"/>
    <w:rsid w:val="00212427"/>
    <w:rsid w:val="002131E0"/>
    <w:rsid w:val="00213A14"/>
    <w:rsid w:val="00213AB6"/>
    <w:rsid w:val="00214B90"/>
    <w:rsid w:val="00214D42"/>
    <w:rsid w:val="00215703"/>
    <w:rsid w:val="002159B3"/>
    <w:rsid w:val="00216EAA"/>
    <w:rsid w:val="00217A20"/>
    <w:rsid w:val="002210C0"/>
    <w:rsid w:val="002211D8"/>
    <w:rsid w:val="00221E24"/>
    <w:rsid w:val="00221F31"/>
    <w:rsid w:val="00222116"/>
    <w:rsid w:val="00222860"/>
    <w:rsid w:val="00222A08"/>
    <w:rsid w:val="0022300D"/>
    <w:rsid w:val="00223A14"/>
    <w:rsid w:val="002241B6"/>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AC2"/>
    <w:rsid w:val="002534C2"/>
    <w:rsid w:val="00253AF9"/>
    <w:rsid w:val="0025420E"/>
    <w:rsid w:val="00255035"/>
    <w:rsid w:val="002564E9"/>
    <w:rsid w:val="00256E91"/>
    <w:rsid w:val="00257CD7"/>
    <w:rsid w:val="00261D51"/>
    <w:rsid w:val="002628DD"/>
    <w:rsid w:val="00262B4C"/>
    <w:rsid w:val="002630BE"/>
    <w:rsid w:val="00263E14"/>
    <w:rsid w:val="0026417D"/>
    <w:rsid w:val="002643F2"/>
    <w:rsid w:val="00264A81"/>
    <w:rsid w:val="00265211"/>
    <w:rsid w:val="00266120"/>
    <w:rsid w:val="0026774E"/>
    <w:rsid w:val="0027051B"/>
    <w:rsid w:val="00270E88"/>
    <w:rsid w:val="00273C26"/>
    <w:rsid w:val="00273D06"/>
    <w:rsid w:val="00274A57"/>
    <w:rsid w:val="00275F0D"/>
    <w:rsid w:val="00276210"/>
    <w:rsid w:val="002773E8"/>
    <w:rsid w:val="00277AE1"/>
    <w:rsid w:val="0028013D"/>
    <w:rsid w:val="00280536"/>
    <w:rsid w:val="0028164D"/>
    <w:rsid w:val="00281720"/>
    <w:rsid w:val="002817F4"/>
    <w:rsid w:val="00281BFF"/>
    <w:rsid w:val="00281D58"/>
    <w:rsid w:val="00282717"/>
    <w:rsid w:val="002833A3"/>
    <w:rsid w:val="00284C47"/>
    <w:rsid w:val="00284E14"/>
    <w:rsid w:val="00285780"/>
    <w:rsid w:val="00285BF7"/>
    <w:rsid w:val="00285E77"/>
    <w:rsid w:val="002868C1"/>
    <w:rsid w:val="0029022F"/>
    <w:rsid w:val="002922BF"/>
    <w:rsid w:val="00292FC0"/>
    <w:rsid w:val="002932E6"/>
    <w:rsid w:val="002946D1"/>
    <w:rsid w:val="00294A39"/>
    <w:rsid w:val="00294C7E"/>
    <w:rsid w:val="00294FC3"/>
    <w:rsid w:val="00296039"/>
    <w:rsid w:val="002967E4"/>
    <w:rsid w:val="002A0026"/>
    <w:rsid w:val="002A0945"/>
    <w:rsid w:val="002A09B6"/>
    <w:rsid w:val="002A317E"/>
    <w:rsid w:val="002A44FF"/>
    <w:rsid w:val="002A584D"/>
    <w:rsid w:val="002A62D7"/>
    <w:rsid w:val="002A733D"/>
    <w:rsid w:val="002A75A5"/>
    <w:rsid w:val="002A7ED3"/>
    <w:rsid w:val="002B0EF7"/>
    <w:rsid w:val="002B1386"/>
    <w:rsid w:val="002B1981"/>
    <w:rsid w:val="002B241D"/>
    <w:rsid w:val="002B2707"/>
    <w:rsid w:val="002B2F56"/>
    <w:rsid w:val="002B320C"/>
    <w:rsid w:val="002B3F1E"/>
    <w:rsid w:val="002B431C"/>
    <w:rsid w:val="002B5B3F"/>
    <w:rsid w:val="002B715D"/>
    <w:rsid w:val="002B7CF6"/>
    <w:rsid w:val="002C098A"/>
    <w:rsid w:val="002C29FD"/>
    <w:rsid w:val="002C2CDA"/>
    <w:rsid w:val="002C4583"/>
    <w:rsid w:val="002C4601"/>
    <w:rsid w:val="002C59C0"/>
    <w:rsid w:val="002C6A8B"/>
    <w:rsid w:val="002C6F34"/>
    <w:rsid w:val="002D009B"/>
    <w:rsid w:val="002D12B5"/>
    <w:rsid w:val="002D20BB"/>
    <w:rsid w:val="002D2108"/>
    <w:rsid w:val="002D2388"/>
    <w:rsid w:val="002D289B"/>
    <w:rsid w:val="002D3F71"/>
    <w:rsid w:val="002D54B2"/>
    <w:rsid w:val="002D6388"/>
    <w:rsid w:val="002D6479"/>
    <w:rsid w:val="002D6937"/>
    <w:rsid w:val="002D6D05"/>
    <w:rsid w:val="002D6F2A"/>
    <w:rsid w:val="002D706F"/>
    <w:rsid w:val="002D726E"/>
    <w:rsid w:val="002D75B8"/>
    <w:rsid w:val="002D7D49"/>
    <w:rsid w:val="002D7DEE"/>
    <w:rsid w:val="002E0CA4"/>
    <w:rsid w:val="002E1212"/>
    <w:rsid w:val="002E23B9"/>
    <w:rsid w:val="002E389B"/>
    <w:rsid w:val="002E4D43"/>
    <w:rsid w:val="002E5905"/>
    <w:rsid w:val="002E5D85"/>
    <w:rsid w:val="002E5F86"/>
    <w:rsid w:val="002E767C"/>
    <w:rsid w:val="002F0378"/>
    <w:rsid w:val="002F0C66"/>
    <w:rsid w:val="002F0E6F"/>
    <w:rsid w:val="002F1412"/>
    <w:rsid w:val="002F3427"/>
    <w:rsid w:val="002F363D"/>
    <w:rsid w:val="002F4775"/>
    <w:rsid w:val="002F4B9F"/>
    <w:rsid w:val="002F52C9"/>
    <w:rsid w:val="002F6EBC"/>
    <w:rsid w:val="002F7E7F"/>
    <w:rsid w:val="00300EB2"/>
    <w:rsid w:val="003018CF"/>
    <w:rsid w:val="00301B1D"/>
    <w:rsid w:val="00301E73"/>
    <w:rsid w:val="00302114"/>
    <w:rsid w:val="00302C9A"/>
    <w:rsid w:val="0030423B"/>
    <w:rsid w:val="003042F7"/>
    <w:rsid w:val="0030517F"/>
    <w:rsid w:val="003052A2"/>
    <w:rsid w:val="0030539A"/>
    <w:rsid w:val="00305566"/>
    <w:rsid w:val="00306853"/>
    <w:rsid w:val="00310A06"/>
    <w:rsid w:val="00310B4B"/>
    <w:rsid w:val="003118A2"/>
    <w:rsid w:val="003119B8"/>
    <w:rsid w:val="003130A1"/>
    <w:rsid w:val="00314888"/>
    <w:rsid w:val="00314999"/>
    <w:rsid w:val="00314CAB"/>
    <w:rsid w:val="0031509D"/>
    <w:rsid w:val="003159FD"/>
    <w:rsid w:val="00316C05"/>
    <w:rsid w:val="00316DAE"/>
    <w:rsid w:val="00316FE6"/>
    <w:rsid w:val="00317E1F"/>
    <w:rsid w:val="003202FD"/>
    <w:rsid w:val="00321265"/>
    <w:rsid w:val="003212EF"/>
    <w:rsid w:val="0032140F"/>
    <w:rsid w:val="0032226D"/>
    <w:rsid w:val="003228F5"/>
    <w:rsid w:val="003237D2"/>
    <w:rsid w:val="00324767"/>
    <w:rsid w:val="00325EB5"/>
    <w:rsid w:val="0032603C"/>
    <w:rsid w:val="00326BD2"/>
    <w:rsid w:val="003300C5"/>
    <w:rsid w:val="00330D7C"/>
    <w:rsid w:val="00330FBB"/>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47D09"/>
    <w:rsid w:val="00350D07"/>
    <w:rsid w:val="003512E8"/>
    <w:rsid w:val="0035206D"/>
    <w:rsid w:val="00352B4D"/>
    <w:rsid w:val="003532FA"/>
    <w:rsid w:val="00354080"/>
    <w:rsid w:val="003542AC"/>
    <w:rsid w:val="00354D4B"/>
    <w:rsid w:val="0035618E"/>
    <w:rsid w:val="003567C0"/>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3F02"/>
    <w:rsid w:val="003741FD"/>
    <w:rsid w:val="00374AF0"/>
    <w:rsid w:val="00375BFA"/>
    <w:rsid w:val="00375D11"/>
    <w:rsid w:val="00376121"/>
    <w:rsid w:val="0037785E"/>
    <w:rsid w:val="003779F7"/>
    <w:rsid w:val="00377AB0"/>
    <w:rsid w:val="003805A0"/>
    <w:rsid w:val="003820B9"/>
    <w:rsid w:val="00382D05"/>
    <w:rsid w:val="00383660"/>
    <w:rsid w:val="003836CF"/>
    <w:rsid w:val="00383798"/>
    <w:rsid w:val="00383A45"/>
    <w:rsid w:val="00384DEC"/>
    <w:rsid w:val="00387DE0"/>
    <w:rsid w:val="0039099D"/>
    <w:rsid w:val="003916B5"/>
    <w:rsid w:val="00392BAD"/>
    <w:rsid w:val="003934F2"/>
    <w:rsid w:val="00393BA6"/>
    <w:rsid w:val="00394CDD"/>
    <w:rsid w:val="00395100"/>
    <w:rsid w:val="00395B8C"/>
    <w:rsid w:val="00396D76"/>
    <w:rsid w:val="003971FA"/>
    <w:rsid w:val="00397BAF"/>
    <w:rsid w:val="003A07B8"/>
    <w:rsid w:val="003A30AB"/>
    <w:rsid w:val="003A3B4E"/>
    <w:rsid w:val="003A41FE"/>
    <w:rsid w:val="003A4245"/>
    <w:rsid w:val="003A49DF"/>
    <w:rsid w:val="003A6552"/>
    <w:rsid w:val="003A67AA"/>
    <w:rsid w:val="003A709C"/>
    <w:rsid w:val="003A79C0"/>
    <w:rsid w:val="003B1CDF"/>
    <w:rsid w:val="003B1FA7"/>
    <w:rsid w:val="003B231E"/>
    <w:rsid w:val="003B2374"/>
    <w:rsid w:val="003B3DC5"/>
    <w:rsid w:val="003B43D8"/>
    <w:rsid w:val="003B4B56"/>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D5350"/>
    <w:rsid w:val="003E0160"/>
    <w:rsid w:val="003E10D8"/>
    <w:rsid w:val="003E17AD"/>
    <w:rsid w:val="003E1E7C"/>
    <w:rsid w:val="003E2458"/>
    <w:rsid w:val="003E277F"/>
    <w:rsid w:val="003E309D"/>
    <w:rsid w:val="003E4359"/>
    <w:rsid w:val="003E5A30"/>
    <w:rsid w:val="003E5EF2"/>
    <w:rsid w:val="003E7BAA"/>
    <w:rsid w:val="003E7F0E"/>
    <w:rsid w:val="003F00D7"/>
    <w:rsid w:val="003F1C84"/>
    <w:rsid w:val="003F2035"/>
    <w:rsid w:val="003F2587"/>
    <w:rsid w:val="003F42A4"/>
    <w:rsid w:val="003F51E3"/>
    <w:rsid w:val="003F560A"/>
    <w:rsid w:val="003F74D5"/>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5A3"/>
    <w:rsid w:val="00417A3F"/>
    <w:rsid w:val="00417DB5"/>
    <w:rsid w:val="00417F52"/>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F11"/>
    <w:rsid w:val="00434694"/>
    <w:rsid w:val="00434E36"/>
    <w:rsid w:val="004354E1"/>
    <w:rsid w:val="00437BD1"/>
    <w:rsid w:val="00440184"/>
    <w:rsid w:val="0044165B"/>
    <w:rsid w:val="0044191B"/>
    <w:rsid w:val="00441B32"/>
    <w:rsid w:val="00442F38"/>
    <w:rsid w:val="0044386A"/>
    <w:rsid w:val="00443A0D"/>
    <w:rsid w:val="00443A65"/>
    <w:rsid w:val="00443AA8"/>
    <w:rsid w:val="0044454A"/>
    <w:rsid w:val="00444D85"/>
    <w:rsid w:val="00445856"/>
    <w:rsid w:val="004504FB"/>
    <w:rsid w:val="00450AB2"/>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06F"/>
    <w:rsid w:val="0047423D"/>
    <w:rsid w:val="00475009"/>
    <w:rsid w:val="00475182"/>
    <w:rsid w:val="0047689D"/>
    <w:rsid w:val="00477316"/>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7CA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2782"/>
    <w:rsid w:val="004E2887"/>
    <w:rsid w:val="004E31F6"/>
    <w:rsid w:val="004E3836"/>
    <w:rsid w:val="004E3A93"/>
    <w:rsid w:val="004E3B73"/>
    <w:rsid w:val="004E6011"/>
    <w:rsid w:val="004E64DB"/>
    <w:rsid w:val="004E7582"/>
    <w:rsid w:val="004E7B3E"/>
    <w:rsid w:val="004F0B06"/>
    <w:rsid w:val="004F0FC0"/>
    <w:rsid w:val="004F125E"/>
    <w:rsid w:val="004F5464"/>
    <w:rsid w:val="004F5F34"/>
    <w:rsid w:val="004F5F6B"/>
    <w:rsid w:val="004F7DEF"/>
    <w:rsid w:val="0050075F"/>
    <w:rsid w:val="005008DD"/>
    <w:rsid w:val="00500DD8"/>
    <w:rsid w:val="0050164F"/>
    <w:rsid w:val="00503695"/>
    <w:rsid w:val="00503C75"/>
    <w:rsid w:val="00503CC1"/>
    <w:rsid w:val="00504054"/>
    <w:rsid w:val="00505085"/>
    <w:rsid w:val="00505325"/>
    <w:rsid w:val="0050558D"/>
    <w:rsid w:val="0050587B"/>
    <w:rsid w:val="00505AC8"/>
    <w:rsid w:val="0050631F"/>
    <w:rsid w:val="00506A53"/>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3968"/>
    <w:rsid w:val="00534AAF"/>
    <w:rsid w:val="005353CD"/>
    <w:rsid w:val="005359F9"/>
    <w:rsid w:val="0053600E"/>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C3D"/>
    <w:rsid w:val="00546DF1"/>
    <w:rsid w:val="005507CB"/>
    <w:rsid w:val="00551058"/>
    <w:rsid w:val="00552CDB"/>
    <w:rsid w:val="005532DF"/>
    <w:rsid w:val="00553635"/>
    <w:rsid w:val="0055449C"/>
    <w:rsid w:val="00554C50"/>
    <w:rsid w:val="00554E1D"/>
    <w:rsid w:val="0055537F"/>
    <w:rsid w:val="00555542"/>
    <w:rsid w:val="0055579A"/>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271"/>
    <w:rsid w:val="0058142F"/>
    <w:rsid w:val="005815B1"/>
    <w:rsid w:val="005826E8"/>
    <w:rsid w:val="00582FB6"/>
    <w:rsid w:val="00583A1F"/>
    <w:rsid w:val="0058515D"/>
    <w:rsid w:val="0058676E"/>
    <w:rsid w:val="00587E7B"/>
    <w:rsid w:val="00591008"/>
    <w:rsid w:val="00592106"/>
    <w:rsid w:val="005922E0"/>
    <w:rsid w:val="00592AD8"/>
    <w:rsid w:val="00592B00"/>
    <w:rsid w:val="00593391"/>
    <w:rsid w:val="00594C77"/>
    <w:rsid w:val="005957E0"/>
    <w:rsid w:val="00596300"/>
    <w:rsid w:val="00597A68"/>
    <w:rsid w:val="005A2F9D"/>
    <w:rsid w:val="005A407F"/>
    <w:rsid w:val="005A52B5"/>
    <w:rsid w:val="005A64C4"/>
    <w:rsid w:val="005A6668"/>
    <w:rsid w:val="005A7C55"/>
    <w:rsid w:val="005B10D7"/>
    <w:rsid w:val="005B17D7"/>
    <w:rsid w:val="005B1AA8"/>
    <w:rsid w:val="005B233F"/>
    <w:rsid w:val="005B2A74"/>
    <w:rsid w:val="005B32AA"/>
    <w:rsid w:val="005B368A"/>
    <w:rsid w:val="005B45AB"/>
    <w:rsid w:val="005B4A79"/>
    <w:rsid w:val="005B7524"/>
    <w:rsid w:val="005B7DE2"/>
    <w:rsid w:val="005C0DC7"/>
    <w:rsid w:val="005C55E9"/>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3F8D"/>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993"/>
    <w:rsid w:val="005F3B84"/>
    <w:rsid w:val="005F4056"/>
    <w:rsid w:val="005F5651"/>
    <w:rsid w:val="005F5A22"/>
    <w:rsid w:val="005F745A"/>
    <w:rsid w:val="00601076"/>
    <w:rsid w:val="006012DA"/>
    <w:rsid w:val="00601A2F"/>
    <w:rsid w:val="006033C7"/>
    <w:rsid w:val="00603624"/>
    <w:rsid w:val="006042B8"/>
    <w:rsid w:val="006044E9"/>
    <w:rsid w:val="00606402"/>
    <w:rsid w:val="00606644"/>
    <w:rsid w:val="00606F5F"/>
    <w:rsid w:val="00607FD5"/>
    <w:rsid w:val="0061007F"/>
    <w:rsid w:val="006116A1"/>
    <w:rsid w:val="00612000"/>
    <w:rsid w:val="00612375"/>
    <w:rsid w:val="00614160"/>
    <w:rsid w:val="00614213"/>
    <w:rsid w:val="00614CC8"/>
    <w:rsid w:val="00614CFA"/>
    <w:rsid w:val="00616292"/>
    <w:rsid w:val="006179F5"/>
    <w:rsid w:val="006207CA"/>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5913"/>
    <w:rsid w:val="00635C2B"/>
    <w:rsid w:val="006402FA"/>
    <w:rsid w:val="006407FC"/>
    <w:rsid w:val="00640AE4"/>
    <w:rsid w:val="00640FF0"/>
    <w:rsid w:val="0064113E"/>
    <w:rsid w:val="00641E50"/>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5745A"/>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01D2"/>
    <w:rsid w:val="006813C6"/>
    <w:rsid w:val="006819D7"/>
    <w:rsid w:val="00682788"/>
    <w:rsid w:val="0068317C"/>
    <w:rsid w:val="00684ADA"/>
    <w:rsid w:val="00685378"/>
    <w:rsid w:val="00685C56"/>
    <w:rsid w:val="00685C81"/>
    <w:rsid w:val="0068642A"/>
    <w:rsid w:val="00686437"/>
    <w:rsid w:val="00686CBD"/>
    <w:rsid w:val="00687FBA"/>
    <w:rsid w:val="00690C03"/>
    <w:rsid w:val="00691B85"/>
    <w:rsid w:val="0069227D"/>
    <w:rsid w:val="00693539"/>
    <w:rsid w:val="006941CA"/>
    <w:rsid w:val="00695570"/>
    <w:rsid w:val="0069575E"/>
    <w:rsid w:val="00695DA0"/>
    <w:rsid w:val="00695DDB"/>
    <w:rsid w:val="00696996"/>
    <w:rsid w:val="006A0A07"/>
    <w:rsid w:val="006A0D75"/>
    <w:rsid w:val="006A2E24"/>
    <w:rsid w:val="006A313A"/>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7518"/>
    <w:rsid w:val="006D0155"/>
    <w:rsid w:val="006D037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B77"/>
    <w:rsid w:val="006F01F0"/>
    <w:rsid w:val="006F0917"/>
    <w:rsid w:val="006F0C64"/>
    <w:rsid w:val="006F1C31"/>
    <w:rsid w:val="006F2074"/>
    <w:rsid w:val="006F2E59"/>
    <w:rsid w:val="006F385A"/>
    <w:rsid w:val="006F410A"/>
    <w:rsid w:val="006F49E6"/>
    <w:rsid w:val="006F4FDF"/>
    <w:rsid w:val="006F551A"/>
    <w:rsid w:val="007021D8"/>
    <w:rsid w:val="00702A9F"/>
    <w:rsid w:val="007032BB"/>
    <w:rsid w:val="00704004"/>
    <w:rsid w:val="007048D3"/>
    <w:rsid w:val="007069AC"/>
    <w:rsid w:val="00710904"/>
    <w:rsid w:val="00711223"/>
    <w:rsid w:val="007123C7"/>
    <w:rsid w:val="007125BA"/>
    <w:rsid w:val="00712DB0"/>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5679"/>
    <w:rsid w:val="00740339"/>
    <w:rsid w:val="00742665"/>
    <w:rsid w:val="00742930"/>
    <w:rsid w:val="00743202"/>
    <w:rsid w:val="00743F77"/>
    <w:rsid w:val="0074547A"/>
    <w:rsid w:val="0074649D"/>
    <w:rsid w:val="00753269"/>
    <w:rsid w:val="007533D9"/>
    <w:rsid w:val="007535A2"/>
    <w:rsid w:val="0075394A"/>
    <w:rsid w:val="00754328"/>
    <w:rsid w:val="0075463E"/>
    <w:rsid w:val="007554A1"/>
    <w:rsid w:val="00755C00"/>
    <w:rsid w:val="00755C18"/>
    <w:rsid w:val="007561D1"/>
    <w:rsid w:val="0075678A"/>
    <w:rsid w:val="00756CD6"/>
    <w:rsid w:val="00757359"/>
    <w:rsid w:val="00757BB7"/>
    <w:rsid w:val="00757D2F"/>
    <w:rsid w:val="00757DB1"/>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675"/>
    <w:rsid w:val="007727DA"/>
    <w:rsid w:val="007736A2"/>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2FE1"/>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3CC2"/>
    <w:rsid w:val="00793D8E"/>
    <w:rsid w:val="007940D7"/>
    <w:rsid w:val="00795B9A"/>
    <w:rsid w:val="00797203"/>
    <w:rsid w:val="007A0FF1"/>
    <w:rsid w:val="007A109A"/>
    <w:rsid w:val="007A1DC1"/>
    <w:rsid w:val="007A22E6"/>
    <w:rsid w:val="007A246D"/>
    <w:rsid w:val="007A2714"/>
    <w:rsid w:val="007A3193"/>
    <w:rsid w:val="007A3D70"/>
    <w:rsid w:val="007A41E0"/>
    <w:rsid w:val="007A5322"/>
    <w:rsid w:val="007A58E2"/>
    <w:rsid w:val="007A6BD0"/>
    <w:rsid w:val="007A6CF2"/>
    <w:rsid w:val="007A7156"/>
    <w:rsid w:val="007A73CF"/>
    <w:rsid w:val="007A7617"/>
    <w:rsid w:val="007B1AEA"/>
    <w:rsid w:val="007B1B40"/>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378D"/>
    <w:rsid w:val="007D4462"/>
    <w:rsid w:val="007D4B4F"/>
    <w:rsid w:val="007D6A53"/>
    <w:rsid w:val="007D7BFA"/>
    <w:rsid w:val="007E3AD6"/>
    <w:rsid w:val="007E43BA"/>
    <w:rsid w:val="007E44CC"/>
    <w:rsid w:val="007E5162"/>
    <w:rsid w:val="007E555D"/>
    <w:rsid w:val="007E63C9"/>
    <w:rsid w:val="007E6785"/>
    <w:rsid w:val="007E76F8"/>
    <w:rsid w:val="007E78E7"/>
    <w:rsid w:val="007E7D46"/>
    <w:rsid w:val="007F1B38"/>
    <w:rsid w:val="007F1BFD"/>
    <w:rsid w:val="007F1E29"/>
    <w:rsid w:val="007F2265"/>
    <w:rsid w:val="007F2AA5"/>
    <w:rsid w:val="007F39E8"/>
    <w:rsid w:val="007F4113"/>
    <w:rsid w:val="007F4FE8"/>
    <w:rsid w:val="007F5D49"/>
    <w:rsid w:val="007F6568"/>
    <w:rsid w:val="007F69A1"/>
    <w:rsid w:val="007F6ADD"/>
    <w:rsid w:val="007F6EDB"/>
    <w:rsid w:val="007F7D61"/>
    <w:rsid w:val="008013C3"/>
    <w:rsid w:val="00803306"/>
    <w:rsid w:val="00803DC4"/>
    <w:rsid w:val="0080470B"/>
    <w:rsid w:val="00804ED9"/>
    <w:rsid w:val="0080605A"/>
    <w:rsid w:val="0080629B"/>
    <w:rsid w:val="00806730"/>
    <w:rsid w:val="00807677"/>
    <w:rsid w:val="00807DA0"/>
    <w:rsid w:val="008103EA"/>
    <w:rsid w:val="00810598"/>
    <w:rsid w:val="00810865"/>
    <w:rsid w:val="00811CC5"/>
    <w:rsid w:val="00812A06"/>
    <w:rsid w:val="00812D5B"/>
    <w:rsid w:val="00813619"/>
    <w:rsid w:val="00813834"/>
    <w:rsid w:val="00814CD5"/>
    <w:rsid w:val="0081515D"/>
    <w:rsid w:val="0081591F"/>
    <w:rsid w:val="0081643F"/>
    <w:rsid w:val="00817449"/>
    <w:rsid w:val="008179E7"/>
    <w:rsid w:val="00817B5D"/>
    <w:rsid w:val="00817F8C"/>
    <w:rsid w:val="00820630"/>
    <w:rsid w:val="00820CC2"/>
    <w:rsid w:val="008224E6"/>
    <w:rsid w:val="00822593"/>
    <w:rsid w:val="008227A6"/>
    <w:rsid w:val="00824080"/>
    <w:rsid w:val="00824152"/>
    <w:rsid w:val="00825207"/>
    <w:rsid w:val="00826711"/>
    <w:rsid w:val="00830A5F"/>
    <w:rsid w:val="008319F7"/>
    <w:rsid w:val="0083337E"/>
    <w:rsid w:val="008343CC"/>
    <w:rsid w:val="00834A55"/>
    <w:rsid w:val="00834B97"/>
    <w:rsid w:val="0083511F"/>
    <w:rsid w:val="008355B0"/>
    <w:rsid w:val="00836369"/>
    <w:rsid w:val="00836ADE"/>
    <w:rsid w:val="008371AB"/>
    <w:rsid w:val="008374B8"/>
    <w:rsid w:val="00837A80"/>
    <w:rsid w:val="00840184"/>
    <w:rsid w:val="00840819"/>
    <w:rsid w:val="00840F95"/>
    <w:rsid w:val="00841618"/>
    <w:rsid w:val="00842B46"/>
    <w:rsid w:val="00842C6B"/>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DA4"/>
    <w:rsid w:val="0086612E"/>
    <w:rsid w:val="0086676B"/>
    <w:rsid w:val="008669D3"/>
    <w:rsid w:val="00872F12"/>
    <w:rsid w:val="00873799"/>
    <w:rsid w:val="0087419F"/>
    <w:rsid w:val="008746D3"/>
    <w:rsid w:val="00874CD1"/>
    <w:rsid w:val="00875A53"/>
    <w:rsid w:val="0087668A"/>
    <w:rsid w:val="00876BF1"/>
    <w:rsid w:val="00877494"/>
    <w:rsid w:val="00877612"/>
    <w:rsid w:val="0087762C"/>
    <w:rsid w:val="00880666"/>
    <w:rsid w:val="008811D7"/>
    <w:rsid w:val="0088218A"/>
    <w:rsid w:val="00883082"/>
    <w:rsid w:val="00884341"/>
    <w:rsid w:val="00884D26"/>
    <w:rsid w:val="008863A6"/>
    <w:rsid w:val="008863D9"/>
    <w:rsid w:val="00887F82"/>
    <w:rsid w:val="008911A1"/>
    <w:rsid w:val="00891D3D"/>
    <w:rsid w:val="008937F8"/>
    <w:rsid w:val="00893DD5"/>
    <w:rsid w:val="00895047"/>
    <w:rsid w:val="00895331"/>
    <w:rsid w:val="0089606D"/>
    <w:rsid w:val="00896BAB"/>
    <w:rsid w:val="00896BFA"/>
    <w:rsid w:val="008975D1"/>
    <w:rsid w:val="008A0A4A"/>
    <w:rsid w:val="008A0FC1"/>
    <w:rsid w:val="008A1D77"/>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6C80"/>
    <w:rsid w:val="008B7337"/>
    <w:rsid w:val="008C0AFC"/>
    <w:rsid w:val="008C2ADE"/>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DEF"/>
    <w:rsid w:val="008E005A"/>
    <w:rsid w:val="008E0ED1"/>
    <w:rsid w:val="008E1075"/>
    <w:rsid w:val="008E2274"/>
    <w:rsid w:val="008E2363"/>
    <w:rsid w:val="008E2409"/>
    <w:rsid w:val="008E2A97"/>
    <w:rsid w:val="008E2C48"/>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374C"/>
    <w:rsid w:val="00903842"/>
    <w:rsid w:val="00904951"/>
    <w:rsid w:val="009051AA"/>
    <w:rsid w:val="0090604C"/>
    <w:rsid w:val="00906ACD"/>
    <w:rsid w:val="00907127"/>
    <w:rsid w:val="009077D2"/>
    <w:rsid w:val="00910214"/>
    <w:rsid w:val="0091086C"/>
    <w:rsid w:val="00910D98"/>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3D12"/>
    <w:rsid w:val="00924167"/>
    <w:rsid w:val="009269CA"/>
    <w:rsid w:val="00926D09"/>
    <w:rsid w:val="00927081"/>
    <w:rsid w:val="00927AA5"/>
    <w:rsid w:val="0093016E"/>
    <w:rsid w:val="00931FE0"/>
    <w:rsid w:val="0093223F"/>
    <w:rsid w:val="00932F45"/>
    <w:rsid w:val="00933126"/>
    <w:rsid w:val="00934A45"/>
    <w:rsid w:val="00934C2C"/>
    <w:rsid w:val="009352E1"/>
    <w:rsid w:val="00935C4C"/>
    <w:rsid w:val="00936AFE"/>
    <w:rsid w:val="0093748D"/>
    <w:rsid w:val="009410C1"/>
    <w:rsid w:val="009430B2"/>
    <w:rsid w:val="00943230"/>
    <w:rsid w:val="00944882"/>
    <w:rsid w:val="00945965"/>
    <w:rsid w:val="00945F2D"/>
    <w:rsid w:val="009472A6"/>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622C"/>
    <w:rsid w:val="0096648F"/>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9B"/>
    <w:rsid w:val="009841F0"/>
    <w:rsid w:val="00984DB5"/>
    <w:rsid w:val="00985745"/>
    <w:rsid w:val="0098611E"/>
    <w:rsid w:val="00986C35"/>
    <w:rsid w:val="009870E1"/>
    <w:rsid w:val="00987D82"/>
    <w:rsid w:val="00987E61"/>
    <w:rsid w:val="00990867"/>
    <w:rsid w:val="00991586"/>
    <w:rsid w:val="00991F86"/>
    <w:rsid w:val="009933E2"/>
    <w:rsid w:val="009945F0"/>
    <w:rsid w:val="00995764"/>
    <w:rsid w:val="00995A7C"/>
    <w:rsid w:val="009962DF"/>
    <w:rsid w:val="00996B36"/>
    <w:rsid w:val="00996CCF"/>
    <w:rsid w:val="00997189"/>
    <w:rsid w:val="009A0F15"/>
    <w:rsid w:val="009A1FDC"/>
    <w:rsid w:val="009A293D"/>
    <w:rsid w:val="009A2F0E"/>
    <w:rsid w:val="009A3118"/>
    <w:rsid w:val="009A35F1"/>
    <w:rsid w:val="009A4B46"/>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4162"/>
    <w:rsid w:val="009E4C09"/>
    <w:rsid w:val="009E5CE7"/>
    <w:rsid w:val="009E5DF4"/>
    <w:rsid w:val="009E6064"/>
    <w:rsid w:val="009E75B5"/>
    <w:rsid w:val="009E7D05"/>
    <w:rsid w:val="009F0C3A"/>
    <w:rsid w:val="009F143F"/>
    <w:rsid w:val="009F152E"/>
    <w:rsid w:val="009F1FCB"/>
    <w:rsid w:val="009F2894"/>
    <w:rsid w:val="009F3277"/>
    <w:rsid w:val="009F3D66"/>
    <w:rsid w:val="009F3F3B"/>
    <w:rsid w:val="009F5C07"/>
    <w:rsid w:val="009F5C4A"/>
    <w:rsid w:val="009F649D"/>
    <w:rsid w:val="009F6F3E"/>
    <w:rsid w:val="009F7435"/>
    <w:rsid w:val="009F761F"/>
    <w:rsid w:val="009F7C13"/>
    <w:rsid w:val="00A01397"/>
    <w:rsid w:val="00A02067"/>
    <w:rsid w:val="00A028F1"/>
    <w:rsid w:val="00A0299A"/>
    <w:rsid w:val="00A04464"/>
    <w:rsid w:val="00A07772"/>
    <w:rsid w:val="00A07F01"/>
    <w:rsid w:val="00A104FF"/>
    <w:rsid w:val="00A106F7"/>
    <w:rsid w:val="00A109DF"/>
    <w:rsid w:val="00A10BFD"/>
    <w:rsid w:val="00A11224"/>
    <w:rsid w:val="00A11BF7"/>
    <w:rsid w:val="00A12F53"/>
    <w:rsid w:val="00A13062"/>
    <w:rsid w:val="00A13C9E"/>
    <w:rsid w:val="00A1407A"/>
    <w:rsid w:val="00A164D7"/>
    <w:rsid w:val="00A1660C"/>
    <w:rsid w:val="00A1685E"/>
    <w:rsid w:val="00A178D0"/>
    <w:rsid w:val="00A24C2D"/>
    <w:rsid w:val="00A24E75"/>
    <w:rsid w:val="00A25102"/>
    <w:rsid w:val="00A275C7"/>
    <w:rsid w:val="00A27728"/>
    <w:rsid w:val="00A27A2C"/>
    <w:rsid w:val="00A301E4"/>
    <w:rsid w:val="00A302B3"/>
    <w:rsid w:val="00A306FA"/>
    <w:rsid w:val="00A318DD"/>
    <w:rsid w:val="00A31EC4"/>
    <w:rsid w:val="00A321D3"/>
    <w:rsid w:val="00A324B9"/>
    <w:rsid w:val="00A32DA4"/>
    <w:rsid w:val="00A334FE"/>
    <w:rsid w:val="00A33A97"/>
    <w:rsid w:val="00A34346"/>
    <w:rsid w:val="00A3451D"/>
    <w:rsid w:val="00A34CCB"/>
    <w:rsid w:val="00A3653C"/>
    <w:rsid w:val="00A3780F"/>
    <w:rsid w:val="00A37E3F"/>
    <w:rsid w:val="00A4009E"/>
    <w:rsid w:val="00A40346"/>
    <w:rsid w:val="00A41A8D"/>
    <w:rsid w:val="00A42CA4"/>
    <w:rsid w:val="00A4314D"/>
    <w:rsid w:val="00A4361E"/>
    <w:rsid w:val="00A44BEA"/>
    <w:rsid w:val="00A4728D"/>
    <w:rsid w:val="00A5007F"/>
    <w:rsid w:val="00A500E2"/>
    <w:rsid w:val="00A51424"/>
    <w:rsid w:val="00A52035"/>
    <w:rsid w:val="00A52122"/>
    <w:rsid w:val="00A522AE"/>
    <w:rsid w:val="00A52E98"/>
    <w:rsid w:val="00A530F0"/>
    <w:rsid w:val="00A53151"/>
    <w:rsid w:val="00A5364D"/>
    <w:rsid w:val="00A542D6"/>
    <w:rsid w:val="00A5459F"/>
    <w:rsid w:val="00A54B2D"/>
    <w:rsid w:val="00A55B66"/>
    <w:rsid w:val="00A56572"/>
    <w:rsid w:val="00A6003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21F"/>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F0A"/>
    <w:rsid w:val="00A95C6E"/>
    <w:rsid w:val="00A95E18"/>
    <w:rsid w:val="00A96319"/>
    <w:rsid w:val="00A9632A"/>
    <w:rsid w:val="00A96555"/>
    <w:rsid w:val="00AA1108"/>
    <w:rsid w:val="00AA2A02"/>
    <w:rsid w:val="00AA307C"/>
    <w:rsid w:val="00AA3782"/>
    <w:rsid w:val="00AA5C3E"/>
    <w:rsid w:val="00AA6BF3"/>
    <w:rsid w:val="00AA727D"/>
    <w:rsid w:val="00AA7C27"/>
    <w:rsid w:val="00AB1972"/>
    <w:rsid w:val="00AB19C7"/>
    <w:rsid w:val="00AB2A0E"/>
    <w:rsid w:val="00AB3997"/>
    <w:rsid w:val="00AB3C44"/>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C7DC0"/>
    <w:rsid w:val="00AD1321"/>
    <w:rsid w:val="00AD1852"/>
    <w:rsid w:val="00AD18D6"/>
    <w:rsid w:val="00AD1C8F"/>
    <w:rsid w:val="00AD1DE4"/>
    <w:rsid w:val="00AD355C"/>
    <w:rsid w:val="00AD3988"/>
    <w:rsid w:val="00AD3B14"/>
    <w:rsid w:val="00AD4BEA"/>
    <w:rsid w:val="00AD7DE9"/>
    <w:rsid w:val="00AE057C"/>
    <w:rsid w:val="00AE0D56"/>
    <w:rsid w:val="00AE12C0"/>
    <w:rsid w:val="00AE1AD8"/>
    <w:rsid w:val="00AE2CD8"/>
    <w:rsid w:val="00AE2D8D"/>
    <w:rsid w:val="00AE2E55"/>
    <w:rsid w:val="00AE3031"/>
    <w:rsid w:val="00AE3A35"/>
    <w:rsid w:val="00AE4849"/>
    <w:rsid w:val="00AE4BF1"/>
    <w:rsid w:val="00AE4CCB"/>
    <w:rsid w:val="00AE5335"/>
    <w:rsid w:val="00AE6511"/>
    <w:rsid w:val="00AE6994"/>
    <w:rsid w:val="00AE6A80"/>
    <w:rsid w:val="00AE72DB"/>
    <w:rsid w:val="00AE730D"/>
    <w:rsid w:val="00AE7326"/>
    <w:rsid w:val="00AF050F"/>
    <w:rsid w:val="00AF08DE"/>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900"/>
    <w:rsid w:val="00B13E3F"/>
    <w:rsid w:val="00B14EBC"/>
    <w:rsid w:val="00B15D42"/>
    <w:rsid w:val="00B2067F"/>
    <w:rsid w:val="00B23C21"/>
    <w:rsid w:val="00B23EDC"/>
    <w:rsid w:val="00B243F0"/>
    <w:rsid w:val="00B2463B"/>
    <w:rsid w:val="00B24975"/>
    <w:rsid w:val="00B24DE4"/>
    <w:rsid w:val="00B252F7"/>
    <w:rsid w:val="00B26232"/>
    <w:rsid w:val="00B2755B"/>
    <w:rsid w:val="00B27BE3"/>
    <w:rsid w:val="00B31EAB"/>
    <w:rsid w:val="00B338DE"/>
    <w:rsid w:val="00B35354"/>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BFB"/>
    <w:rsid w:val="00B5655E"/>
    <w:rsid w:val="00B570C0"/>
    <w:rsid w:val="00B57983"/>
    <w:rsid w:val="00B6148D"/>
    <w:rsid w:val="00B61B8B"/>
    <w:rsid w:val="00B61BB4"/>
    <w:rsid w:val="00B62881"/>
    <w:rsid w:val="00B62BB8"/>
    <w:rsid w:val="00B63053"/>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3304"/>
    <w:rsid w:val="00BA3CF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96B"/>
    <w:rsid w:val="00BB5BF1"/>
    <w:rsid w:val="00BB6619"/>
    <w:rsid w:val="00BB6F22"/>
    <w:rsid w:val="00BB7221"/>
    <w:rsid w:val="00BB72CE"/>
    <w:rsid w:val="00BB74FF"/>
    <w:rsid w:val="00BB7F2B"/>
    <w:rsid w:val="00BC05A5"/>
    <w:rsid w:val="00BC21E1"/>
    <w:rsid w:val="00BC320D"/>
    <w:rsid w:val="00BC4161"/>
    <w:rsid w:val="00BC5AC5"/>
    <w:rsid w:val="00BC71D8"/>
    <w:rsid w:val="00BD0394"/>
    <w:rsid w:val="00BD1B05"/>
    <w:rsid w:val="00BD28BC"/>
    <w:rsid w:val="00BD30C7"/>
    <w:rsid w:val="00BD3874"/>
    <w:rsid w:val="00BD49A8"/>
    <w:rsid w:val="00BD5E34"/>
    <w:rsid w:val="00BD7072"/>
    <w:rsid w:val="00BD790A"/>
    <w:rsid w:val="00BD7DD0"/>
    <w:rsid w:val="00BE03DC"/>
    <w:rsid w:val="00BE09C2"/>
    <w:rsid w:val="00BE138C"/>
    <w:rsid w:val="00BE1DA0"/>
    <w:rsid w:val="00BE230E"/>
    <w:rsid w:val="00BE2C95"/>
    <w:rsid w:val="00BE5F2E"/>
    <w:rsid w:val="00BE6193"/>
    <w:rsid w:val="00BE73A0"/>
    <w:rsid w:val="00BE746D"/>
    <w:rsid w:val="00BE79B7"/>
    <w:rsid w:val="00BF02B8"/>
    <w:rsid w:val="00BF03DC"/>
    <w:rsid w:val="00BF0FCB"/>
    <w:rsid w:val="00BF345A"/>
    <w:rsid w:val="00BF5A85"/>
    <w:rsid w:val="00BF6796"/>
    <w:rsid w:val="00BF718A"/>
    <w:rsid w:val="00BF7B74"/>
    <w:rsid w:val="00C00B46"/>
    <w:rsid w:val="00C01291"/>
    <w:rsid w:val="00C017B6"/>
    <w:rsid w:val="00C01B87"/>
    <w:rsid w:val="00C01F24"/>
    <w:rsid w:val="00C02428"/>
    <w:rsid w:val="00C030D7"/>
    <w:rsid w:val="00C034CE"/>
    <w:rsid w:val="00C03B4C"/>
    <w:rsid w:val="00C0421A"/>
    <w:rsid w:val="00C05033"/>
    <w:rsid w:val="00C05A3E"/>
    <w:rsid w:val="00C05FF9"/>
    <w:rsid w:val="00C06094"/>
    <w:rsid w:val="00C0617E"/>
    <w:rsid w:val="00C062FC"/>
    <w:rsid w:val="00C06B7E"/>
    <w:rsid w:val="00C105FF"/>
    <w:rsid w:val="00C1061D"/>
    <w:rsid w:val="00C10797"/>
    <w:rsid w:val="00C10C29"/>
    <w:rsid w:val="00C132FA"/>
    <w:rsid w:val="00C14D53"/>
    <w:rsid w:val="00C15B2F"/>
    <w:rsid w:val="00C15D66"/>
    <w:rsid w:val="00C16AEC"/>
    <w:rsid w:val="00C17984"/>
    <w:rsid w:val="00C20161"/>
    <w:rsid w:val="00C2034A"/>
    <w:rsid w:val="00C21451"/>
    <w:rsid w:val="00C21853"/>
    <w:rsid w:val="00C22238"/>
    <w:rsid w:val="00C24C9D"/>
    <w:rsid w:val="00C24D7D"/>
    <w:rsid w:val="00C24DA1"/>
    <w:rsid w:val="00C27070"/>
    <w:rsid w:val="00C270E9"/>
    <w:rsid w:val="00C273E3"/>
    <w:rsid w:val="00C279FE"/>
    <w:rsid w:val="00C3036A"/>
    <w:rsid w:val="00C3036C"/>
    <w:rsid w:val="00C3096D"/>
    <w:rsid w:val="00C31836"/>
    <w:rsid w:val="00C3233C"/>
    <w:rsid w:val="00C339EF"/>
    <w:rsid w:val="00C33BD2"/>
    <w:rsid w:val="00C35037"/>
    <w:rsid w:val="00C351A2"/>
    <w:rsid w:val="00C37A93"/>
    <w:rsid w:val="00C406DC"/>
    <w:rsid w:val="00C412C3"/>
    <w:rsid w:val="00C41873"/>
    <w:rsid w:val="00C418E8"/>
    <w:rsid w:val="00C42308"/>
    <w:rsid w:val="00C446D7"/>
    <w:rsid w:val="00C5059D"/>
    <w:rsid w:val="00C51587"/>
    <w:rsid w:val="00C52A47"/>
    <w:rsid w:val="00C5325C"/>
    <w:rsid w:val="00C5342B"/>
    <w:rsid w:val="00C53434"/>
    <w:rsid w:val="00C54A4F"/>
    <w:rsid w:val="00C54ACD"/>
    <w:rsid w:val="00C54DAD"/>
    <w:rsid w:val="00C54E91"/>
    <w:rsid w:val="00C55813"/>
    <w:rsid w:val="00C558FE"/>
    <w:rsid w:val="00C57B25"/>
    <w:rsid w:val="00C612FA"/>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7786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68C3"/>
    <w:rsid w:val="00C970DC"/>
    <w:rsid w:val="00C97103"/>
    <w:rsid w:val="00C9778E"/>
    <w:rsid w:val="00C97E18"/>
    <w:rsid w:val="00CA07FE"/>
    <w:rsid w:val="00CA09D3"/>
    <w:rsid w:val="00CA1788"/>
    <w:rsid w:val="00CA1E69"/>
    <w:rsid w:val="00CA2A8B"/>
    <w:rsid w:val="00CA2C7A"/>
    <w:rsid w:val="00CA2DFD"/>
    <w:rsid w:val="00CA3D6F"/>
    <w:rsid w:val="00CA3DAE"/>
    <w:rsid w:val="00CA4FCD"/>
    <w:rsid w:val="00CA5C9B"/>
    <w:rsid w:val="00CA6209"/>
    <w:rsid w:val="00CA7347"/>
    <w:rsid w:val="00CB020D"/>
    <w:rsid w:val="00CB112F"/>
    <w:rsid w:val="00CB14F6"/>
    <w:rsid w:val="00CB1CF1"/>
    <w:rsid w:val="00CB1E9A"/>
    <w:rsid w:val="00CB28EA"/>
    <w:rsid w:val="00CB40C4"/>
    <w:rsid w:val="00CB547E"/>
    <w:rsid w:val="00CB6C52"/>
    <w:rsid w:val="00CB6CF9"/>
    <w:rsid w:val="00CB6DD9"/>
    <w:rsid w:val="00CB7B20"/>
    <w:rsid w:val="00CB7C62"/>
    <w:rsid w:val="00CC0CB4"/>
    <w:rsid w:val="00CC200D"/>
    <w:rsid w:val="00CC3849"/>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155D"/>
    <w:rsid w:val="00CE3767"/>
    <w:rsid w:val="00CE4474"/>
    <w:rsid w:val="00CE7379"/>
    <w:rsid w:val="00CF0EDF"/>
    <w:rsid w:val="00CF12B7"/>
    <w:rsid w:val="00CF3694"/>
    <w:rsid w:val="00CF4B90"/>
    <w:rsid w:val="00CF52A2"/>
    <w:rsid w:val="00CF5D49"/>
    <w:rsid w:val="00CF7148"/>
    <w:rsid w:val="00D01B04"/>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BE"/>
    <w:rsid w:val="00D14DEC"/>
    <w:rsid w:val="00D156D6"/>
    <w:rsid w:val="00D15975"/>
    <w:rsid w:val="00D16BD0"/>
    <w:rsid w:val="00D21173"/>
    <w:rsid w:val="00D213B6"/>
    <w:rsid w:val="00D213E7"/>
    <w:rsid w:val="00D2151E"/>
    <w:rsid w:val="00D23A2D"/>
    <w:rsid w:val="00D241FE"/>
    <w:rsid w:val="00D25C7F"/>
    <w:rsid w:val="00D25E40"/>
    <w:rsid w:val="00D26737"/>
    <w:rsid w:val="00D26E4C"/>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5BB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1AF0"/>
    <w:rsid w:val="00D727E3"/>
    <w:rsid w:val="00D72B83"/>
    <w:rsid w:val="00D731AC"/>
    <w:rsid w:val="00D74CE9"/>
    <w:rsid w:val="00D74DA9"/>
    <w:rsid w:val="00D74F9A"/>
    <w:rsid w:val="00D752B5"/>
    <w:rsid w:val="00D754AF"/>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853"/>
    <w:rsid w:val="00D87A91"/>
    <w:rsid w:val="00D87F67"/>
    <w:rsid w:val="00D87FD3"/>
    <w:rsid w:val="00D909D1"/>
    <w:rsid w:val="00D916B4"/>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48A"/>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E0658"/>
    <w:rsid w:val="00DE106C"/>
    <w:rsid w:val="00DE2706"/>
    <w:rsid w:val="00DE3F0D"/>
    <w:rsid w:val="00DE44D0"/>
    <w:rsid w:val="00DE5070"/>
    <w:rsid w:val="00DE5345"/>
    <w:rsid w:val="00DE610B"/>
    <w:rsid w:val="00DE64F6"/>
    <w:rsid w:val="00DE6CB8"/>
    <w:rsid w:val="00DE7C88"/>
    <w:rsid w:val="00DE7E7B"/>
    <w:rsid w:val="00DE7E84"/>
    <w:rsid w:val="00DF11C6"/>
    <w:rsid w:val="00DF1742"/>
    <w:rsid w:val="00DF2226"/>
    <w:rsid w:val="00DF23F3"/>
    <w:rsid w:val="00DF2520"/>
    <w:rsid w:val="00DF3952"/>
    <w:rsid w:val="00DF3ED6"/>
    <w:rsid w:val="00DF5774"/>
    <w:rsid w:val="00DF5ADF"/>
    <w:rsid w:val="00DF6BCF"/>
    <w:rsid w:val="00E0038F"/>
    <w:rsid w:val="00E00658"/>
    <w:rsid w:val="00E00BA8"/>
    <w:rsid w:val="00E01421"/>
    <w:rsid w:val="00E0452F"/>
    <w:rsid w:val="00E05302"/>
    <w:rsid w:val="00E0799A"/>
    <w:rsid w:val="00E1001F"/>
    <w:rsid w:val="00E10DA8"/>
    <w:rsid w:val="00E118C2"/>
    <w:rsid w:val="00E11E75"/>
    <w:rsid w:val="00E13FBB"/>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76CD"/>
    <w:rsid w:val="00E679F0"/>
    <w:rsid w:val="00E67DD5"/>
    <w:rsid w:val="00E70B82"/>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5D55"/>
    <w:rsid w:val="00E86EA3"/>
    <w:rsid w:val="00E87009"/>
    <w:rsid w:val="00E9087D"/>
    <w:rsid w:val="00E90C46"/>
    <w:rsid w:val="00E92937"/>
    <w:rsid w:val="00E931C3"/>
    <w:rsid w:val="00E93EF7"/>
    <w:rsid w:val="00E94174"/>
    <w:rsid w:val="00E95DE9"/>
    <w:rsid w:val="00E96141"/>
    <w:rsid w:val="00E96388"/>
    <w:rsid w:val="00E96623"/>
    <w:rsid w:val="00EA0371"/>
    <w:rsid w:val="00EA399C"/>
    <w:rsid w:val="00EA4DBD"/>
    <w:rsid w:val="00EA6E84"/>
    <w:rsid w:val="00EB1BF8"/>
    <w:rsid w:val="00EB2CEE"/>
    <w:rsid w:val="00EB5E58"/>
    <w:rsid w:val="00EB60B3"/>
    <w:rsid w:val="00EC1F64"/>
    <w:rsid w:val="00EC24F1"/>
    <w:rsid w:val="00EC2B1A"/>
    <w:rsid w:val="00EC4D82"/>
    <w:rsid w:val="00EC508A"/>
    <w:rsid w:val="00EC50F1"/>
    <w:rsid w:val="00EC5B92"/>
    <w:rsid w:val="00EC736A"/>
    <w:rsid w:val="00EC7654"/>
    <w:rsid w:val="00EC7734"/>
    <w:rsid w:val="00ED0604"/>
    <w:rsid w:val="00ED15DC"/>
    <w:rsid w:val="00ED37E1"/>
    <w:rsid w:val="00ED3A27"/>
    <w:rsid w:val="00ED552D"/>
    <w:rsid w:val="00ED5A9D"/>
    <w:rsid w:val="00ED6F55"/>
    <w:rsid w:val="00ED7F11"/>
    <w:rsid w:val="00ED7F4E"/>
    <w:rsid w:val="00EE124F"/>
    <w:rsid w:val="00EE29FA"/>
    <w:rsid w:val="00EE2A2A"/>
    <w:rsid w:val="00EE2DF8"/>
    <w:rsid w:val="00EE368F"/>
    <w:rsid w:val="00EE4693"/>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2315"/>
    <w:rsid w:val="00F03718"/>
    <w:rsid w:val="00F037B5"/>
    <w:rsid w:val="00F04511"/>
    <w:rsid w:val="00F04921"/>
    <w:rsid w:val="00F04EE7"/>
    <w:rsid w:val="00F0632F"/>
    <w:rsid w:val="00F06378"/>
    <w:rsid w:val="00F06399"/>
    <w:rsid w:val="00F06701"/>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2EA"/>
    <w:rsid w:val="00F2055D"/>
    <w:rsid w:val="00F20637"/>
    <w:rsid w:val="00F20F7A"/>
    <w:rsid w:val="00F2373A"/>
    <w:rsid w:val="00F2458E"/>
    <w:rsid w:val="00F2504A"/>
    <w:rsid w:val="00F26206"/>
    <w:rsid w:val="00F26737"/>
    <w:rsid w:val="00F26D41"/>
    <w:rsid w:val="00F26EBA"/>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6CA"/>
    <w:rsid w:val="00F5300D"/>
    <w:rsid w:val="00F539A0"/>
    <w:rsid w:val="00F549B5"/>
    <w:rsid w:val="00F55726"/>
    <w:rsid w:val="00F5634A"/>
    <w:rsid w:val="00F56817"/>
    <w:rsid w:val="00F57131"/>
    <w:rsid w:val="00F60383"/>
    <w:rsid w:val="00F616F3"/>
    <w:rsid w:val="00F617DB"/>
    <w:rsid w:val="00F618F1"/>
    <w:rsid w:val="00F61EB9"/>
    <w:rsid w:val="00F621F6"/>
    <w:rsid w:val="00F62A97"/>
    <w:rsid w:val="00F64E4F"/>
    <w:rsid w:val="00F658DA"/>
    <w:rsid w:val="00F65E70"/>
    <w:rsid w:val="00F66940"/>
    <w:rsid w:val="00F66C3F"/>
    <w:rsid w:val="00F670B7"/>
    <w:rsid w:val="00F70206"/>
    <w:rsid w:val="00F710CE"/>
    <w:rsid w:val="00F722EE"/>
    <w:rsid w:val="00F730FE"/>
    <w:rsid w:val="00F73144"/>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0C7B"/>
    <w:rsid w:val="00F91174"/>
    <w:rsid w:val="00F9133B"/>
    <w:rsid w:val="00F92B7E"/>
    <w:rsid w:val="00F92D57"/>
    <w:rsid w:val="00F92DBD"/>
    <w:rsid w:val="00F94FD8"/>
    <w:rsid w:val="00F95356"/>
    <w:rsid w:val="00F96C4E"/>
    <w:rsid w:val="00FA11B5"/>
    <w:rsid w:val="00FA2022"/>
    <w:rsid w:val="00FA2467"/>
    <w:rsid w:val="00FA272D"/>
    <w:rsid w:val="00FA290B"/>
    <w:rsid w:val="00FA2EF8"/>
    <w:rsid w:val="00FA37B7"/>
    <w:rsid w:val="00FA42FC"/>
    <w:rsid w:val="00FA448E"/>
    <w:rsid w:val="00FA4DA0"/>
    <w:rsid w:val="00FA4DC0"/>
    <w:rsid w:val="00FA5E38"/>
    <w:rsid w:val="00FA6835"/>
    <w:rsid w:val="00FB1093"/>
    <w:rsid w:val="00FB1461"/>
    <w:rsid w:val="00FB2018"/>
    <w:rsid w:val="00FB2D0D"/>
    <w:rsid w:val="00FB4417"/>
    <w:rsid w:val="00FB680F"/>
    <w:rsid w:val="00FB6919"/>
    <w:rsid w:val="00FB7893"/>
    <w:rsid w:val="00FC13F5"/>
    <w:rsid w:val="00FC1437"/>
    <w:rsid w:val="00FC277D"/>
    <w:rsid w:val="00FC3D54"/>
    <w:rsid w:val="00FC41D7"/>
    <w:rsid w:val="00FC493E"/>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5B4B"/>
    <w:rsid w:val="00FD5CA0"/>
    <w:rsid w:val="00FD7062"/>
    <w:rsid w:val="00FE1196"/>
    <w:rsid w:val="00FE1B93"/>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B40"/>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6066">
      <w:bodyDiv w:val="1"/>
      <w:marLeft w:val="0"/>
      <w:marRight w:val="0"/>
      <w:marTop w:val="0"/>
      <w:marBottom w:val="0"/>
      <w:divBdr>
        <w:top w:val="none" w:sz="0" w:space="0" w:color="auto"/>
        <w:left w:val="none" w:sz="0" w:space="0" w:color="auto"/>
        <w:bottom w:val="none" w:sz="0" w:space="0" w:color="auto"/>
        <w:right w:val="none" w:sz="0" w:space="0" w:color="auto"/>
      </w:divBdr>
    </w:div>
    <w:div w:id="244808205">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349988640">
      <w:bodyDiv w:val="1"/>
      <w:marLeft w:val="0"/>
      <w:marRight w:val="0"/>
      <w:marTop w:val="0"/>
      <w:marBottom w:val="0"/>
      <w:divBdr>
        <w:top w:val="none" w:sz="0" w:space="0" w:color="auto"/>
        <w:left w:val="none" w:sz="0" w:space="0" w:color="auto"/>
        <w:bottom w:val="none" w:sz="0" w:space="0" w:color="auto"/>
        <w:right w:val="none" w:sz="0" w:space="0" w:color="auto"/>
      </w:divBdr>
    </w:div>
    <w:div w:id="4341366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63261617">
      <w:bodyDiv w:val="1"/>
      <w:marLeft w:val="0"/>
      <w:marRight w:val="0"/>
      <w:marTop w:val="0"/>
      <w:marBottom w:val="0"/>
      <w:divBdr>
        <w:top w:val="none" w:sz="0" w:space="0" w:color="auto"/>
        <w:left w:val="none" w:sz="0" w:space="0" w:color="auto"/>
        <w:bottom w:val="none" w:sz="0" w:space="0" w:color="auto"/>
        <w:right w:val="none" w:sz="0" w:space="0" w:color="auto"/>
      </w:divBdr>
    </w:div>
    <w:div w:id="1071390010">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68403248">
      <w:bodyDiv w:val="1"/>
      <w:marLeft w:val="0"/>
      <w:marRight w:val="0"/>
      <w:marTop w:val="0"/>
      <w:marBottom w:val="0"/>
      <w:divBdr>
        <w:top w:val="none" w:sz="0" w:space="0" w:color="auto"/>
        <w:left w:val="none" w:sz="0" w:space="0" w:color="auto"/>
        <w:bottom w:val="none" w:sz="0" w:space="0" w:color="auto"/>
        <w:right w:val="none" w:sz="0" w:space="0" w:color="auto"/>
      </w:divBdr>
    </w:div>
    <w:div w:id="1380975393">
      <w:bodyDiv w:val="1"/>
      <w:marLeft w:val="0"/>
      <w:marRight w:val="0"/>
      <w:marTop w:val="0"/>
      <w:marBottom w:val="0"/>
      <w:divBdr>
        <w:top w:val="none" w:sz="0" w:space="0" w:color="auto"/>
        <w:left w:val="none" w:sz="0" w:space="0" w:color="auto"/>
        <w:bottom w:val="none" w:sz="0" w:space="0" w:color="auto"/>
        <w:right w:val="none" w:sz="0" w:space="0" w:color="auto"/>
      </w:divBdr>
    </w:div>
    <w:div w:id="1891334540">
      <w:bodyDiv w:val="1"/>
      <w:marLeft w:val="0"/>
      <w:marRight w:val="0"/>
      <w:marTop w:val="0"/>
      <w:marBottom w:val="0"/>
      <w:divBdr>
        <w:top w:val="none" w:sz="0" w:space="0" w:color="auto"/>
        <w:left w:val="none" w:sz="0" w:space="0" w:color="auto"/>
        <w:bottom w:val="none" w:sz="0" w:space="0" w:color="auto"/>
        <w:right w:val="none" w:sz="0" w:space="0" w:color="auto"/>
      </w:divBdr>
    </w:div>
    <w:div w:id="193948175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26032;&#24314;%20Microsoft%20Excel%20&#24037;&#20316;&#34920;%20(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a:t>IBE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'LCRB variable'!$H$5</c:f>
              <c:strCache>
                <c:ptCount val="1"/>
                <c:pt idx="0">
                  <c:v>LCRB=1</c:v>
                </c:pt>
              </c:strCache>
            </c:strRef>
          </c:tx>
          <c:spPr>
            <a:ln w="28575" cap="rnd">
              <a:solidFill>
                <a:schemeClr val="accent1"/>
              </a:solidFill>
              <a:round/>
            </a:ln>
            <a:effectLst/>
          </c:spPr>
          <c:marker>
            <c:symbol val="none"/>
          </c:marker>
          <c:val>
            <c:numRef>
              <c:f>'LCRB variable'!$H$6:$H$15</c:f>
              <c:numCache>
                <c:formatCode>General</c:formatCode>
                <c:ptCount val="10"/>
                <c:pt idx="0">
                  <c:v>-18.139239026274112</c:v>
                </c:pt>
                <c:pt idx="1">
                  <c:v>-23.139239026274112</c:v>
                </c:pt>
                <c:pt idx="2">
                  <c:v>-28.139239026274112</c:v>
                </c:pt>
                <c:pt idx="3">
                  <c:v>-33.139239026274112</c:v>
                </c:pt>
                <c:pt idx="4">
                  <c:v>-38.139239026274112</c:v>
                </c:pt>
                <c:pt idx="5">
                  <c:v>-43.139239026274112</c:v>
                </c:pt>
                <c:pt idx="6">
                  <c:v>-48.139239026274112</c:v>
                </c:pt>
                <c:pt idx="7">
                  <c:v>-49.361626470407558</c:v>
                </c:pt>
                <c:pt idx="8">
                  <c:v>-49.361626470407558</c:v>
                </c:pt>
                <c:pt idx="9">
                  <c:v>-49.361626470407558</c:v>
                </c:pt>
              </c:numCache>
            </c:numRef>
          </c:val>
          <c:smooth val="0"/>
          <c:extLst>
            <c:ext xmlns:c16="http://schemas.microsoft.com/office/drawing/2014/chart" uri="{C3380CC4-5D6E-409C-BE32-E72D297353CC}">
              <c16:uniqueId val="{00000000-C447-4AE5-9F67-702F88F62BE7}"/>
            </c:ext>
          </c:extLst>
        </c:ser>
        <c:ser>
          <c:idx val="1"/>
          <c:order val="1"/>
          <c:tx>
            <c:strRef>
              <c:f>'LCRB variable'!$I$5</c:f>
              <c:strCache>
                <c:ptCount val="1"/>
                <c:pt idx="0">
                  <c:v>LCRB=273</c:v>
                </c:pt>
              </c:strCache>
            </c:strRef>
          </c:tx>
          <c:spPr>
            <a:ln w="28575" cap="rnd">
              <a:solidFill>
                <a:schemeClr val="accent2"/>
              </a:solidFill>
              <a:round/>
            </a:ln>
            <a:effectLst/>
          </c:spPr>
          <c:marker>
            <c:symbol val="none"/>
          </c:marker>
          <c:val>
            <c:numRef>
              <c:f>'LCRB variable'!$I$6:$I$15</c:f>
              <c:numCache>
                <c:formatCode>General</c:formatCode>
                <c:ptCount val="10"/>
                <c:pt idx="0">
                  <c:v>-18.139239026274112</c:v>
                </c:pt>
                <c:pt idx="1">
                  <c:v>-23.139239026274112</c:v>
                </c:pt>
                <c:pt idx="2">
                  <c:v>-25</c:v>
                </c:pt>
                <c:pt idx="3">
                  <c:v>-25</c:v>
                </c:pt>
                <c:pt idx="4">
                  <c:v>-25</c:v>
                </c:pt>
                <c:pt idx="5">
                  <c:v>-25</c:v>
                </c:pt>
                <c:pt idx="6">
                  <c:v>-25</c:v>
                </c:pt>
                <c:pt idx="7">
                  <c:v>-25</c:v>
                </c:pt>
                <c:pt idx="8">
                  <c:v>-25</c:v>
                </c:pt>
                <c:pt idx="9">
                  <c:v>-25</c:v>
                </c:pt>
              </c:numCache>
            </c:numRef>
          </c:val>
          <c:smooth val="0"/>
          <c:extLst>
            <c:ext xmlns:c16="http://schemas.microsoft.com/office/drawing/2014/chart" uri="{C3380CC4-5D6E-409C-BE32-E72D297353CC}">
              <c16:uniqueId val="{00000001-C447-4AE5-9F67-702F88F62BE7}"/>
            </c:ext>
          </c:extLst>
        </c:ser>
        <c:ser>
          <c:idx val="2"/>
          <c:order val="2"/>
          <c:tx>
            <c:strRef>
              <c:f>'LCRB variable'!$K$5</c:f>
              <c:strCache>
                <c:ptCount val="1"/>
                <c:pt idx="0">
                  <c:v>LCRB=51</c:v>
                </c:pt>
              </c:strCache>
            </c:strRef>
          </c:tx>
          <c:spPr>
            <a:ln w="28575" cap="rnd">
              <a:solidFill>
                <a:schemeClr val="accent3"/>
              </a:solidFill>
              <a:round/>
            </a:ln>
            <a:effectLst/>
          </c:spPr>
          <c:marker>
            <c:symbol val="none"/>
          </c:marker>
          <c:val>
            <c:numRef>
              <c:f>'LCRB variable'!$K$6:$K$15</c:f>
              <c:numCache>
                <c:formatCode>General</c:formatCode>
                <c:ptCount val="10"/>
                <c:pt idx="0">
                  <c:v>-18.139239026274112</c:v>
                </c:pt>
                <c:pt idx="1">
                  <c:v>-23.139239026274112</c:v>
                </c:pt>
                <c:pt idx="2">
                  <c:v>-28.139239026274112</c:v>
                </c:pt>
                <c:pt idx="3">
                  <c:v>-32.285924709428194</c:v>
                </c:pt>
                <c:pt idx="4">
                  <c:v>-32.285924709428194</c:v>
                </c:pt>
                <c:pt idx="5">
                  <c:v>-32.285924709428194</c:v>
                </c:pt>
                <c:pt idx="6">
                  <c:v>-32.285924709428194</c:v>
                </c:pt>
                <c:pt idx="7">
                  <c:v>-32.285924709428194</c:v>
                </c:pt>
                <c:pt idx="8">
                  <c:v>-32.285924709428194</c:v>
                </c:pt>
                <c:pt idx="9">
                  <c:v>-32.285924709428194</c:v>
                </c:pt>
              </c:numCache>
            </c:numRef>
          </c:val>
          <c:smooth val="0"/>
          <c:extLst>
            <c:ext xmlns:c16="http://schemas.microsoft.com/office/drawing/2014/chart" uri="{C3380CC4-5D6E-409C-BE32-E72D297353CC}">
              <c16:uniqueId val="{00000002-C447-4AE5-9F67-702F88F62BE7}"/>
            </c:ext>
          </c:extLst>
        </c:ser>
        <c:ser>
          <c:idx val="3"/>
          <c:order val="3"/>
          <c:tx>
            <c:strRef>
              <c:f>'LCRB variable'!$J$5</c:f>
              <c:strCache>
                <c:ptCount val="1"/>
                <c:pt idx="0">
                  <c:v>LCRB=55</c:v>
                </c:pt>
              </c:strCache>
            </c:strRef>
          </c:tx>
          <c:spPr>
            <a:ln w="28575" cap="rnd">
              <a:solidFill>
                <a:schemeClr val="accent4"/>
              </a:solidFill>
              <a:round/>
            </a:ln>
            <a:effectLst/>
          </c:spPr>
          <c:marker>
            <c:symbol val="none"/>
          </c:marker>
          <c:val>
            <c:numRef>
              <c:f>'LCRB variable'!$J$6:$J$15</c:f>
              <c:numCache>
                <c:formatCode>General</c:formatCode>
                <c:ptCount val="10"/>
                <c:pt idx="0">
                  <c:v>-18.139239026274112</c:v>
                </c:pt>
                <c:pt idx="1">
                  <c:v>-23.139239026274112</c:v>
                </c:pt>
                <c:pt idx="2">
                  <c:v>-28.139239026274112</c:v>
                </c:pt>
                <c:pt idx="3">
                  <c:v>-31.957999575465124</c:v>
                </c:pt>
                <c:pt idx="4">
                  <c:v>-31.957999575465124</c:v>
                </c:pt>
                <c:pt idx="5">
                  <c:v>-31.957999575465124</c:v>
                </c:pt>
                <c:pt idx="6">
                  <c:v>-31.957999575465124</c:v>
                </c:pt>
                <c:pt idx="7">
                  <c:v>-31.957999575465124</c:v>
                </c:pt>
                <c:pt idx="8">
                  <c:v>-31.957999575465124</c:v>
                </c:pt>
                <c:pt idx="9">
                  <c:v>-31.957999575465124</c:v>
                </c:pt>
              </c:numCache>
            </c:numRef>
          </c:val>
          <c:smooth val="0"/>
          <c:extLst>
            <c:ext xmlns:c16="http://schemas.microsoft.com/office/drawing/2014/chart" uri="{C3380CC4-5D6E-409C-BE32-E72D297353CC}">
              <c16:uniqueId val="{00000003-C447-4AE5-9F67-702F88F62BE7}"/>
            </c:ext>
          </c:extLst>
        </c:ser>
        <c:dLbls>
          <c:showLegendKey val="0"/>
          <c:showVal val="0"/>
          <c:showCatName val="0"/>
          <c:showSerName val="0"/>
          <c:showPercent val="0"/>
          <c:showBubbleSize val="0"/>
        </c:dLbls>
        <c:smooth val="0"/>
        <c:axId val="784136720"/>
        <c:axId val="784132400"/>
      </c:lineChart>
      <c:catAx>
        <c:axId val="784136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delta RB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4132400"/>
        <c:crosses val="autoZero"/>
        <c:auto val="1"/>
        <c:lblAlgn val="ctr"/>
        <c:lblOffset val="100"/>
        <c:noMultiLvlLbl val="0"/>
      </c:catAx>
      <c:valAx>
        <c:axId val="784132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IBE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41367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2901</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221</cp:revision>
  <dcterms:created xsi:type="dcterms:W3CDTF">2022-04-25T02:55:00Z</dcterms:created>
  <dcterms:modified xsi:type="dcterms:W3CDTF">2023-04-07T07:00:00Z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