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27AD0CEB"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8B02D1">
        <w:rPr>
          <w:b/>
          <w:noProof/>
          <w:sz w:val="24"/>
        </w:rPr>
        <w:t>6</w:t>
      </w:r>
      <w:r w:rsidR="00B66DD7">
        <w:rPr>
          <w:b/>
          <w:i/>
          <w:noProof/>
          <w:sz w:val="28"/>
        </w:rPr>
        <w:tab/>
      </w:r>
      <w:r w:rsidR="001D438E" w:rsidRPr="001D438E">
        <w:rPr>
          <w:b/>
          <w:i/>
          <w:noProof/>
          <w:sz w:val="28"/>
        </w:rPr>
        <w:t>R4-2301900</w:t>
      </w:r>
    </w:p>
    <w:p w14:paraId="3E512B0B" w14:textId="43C5C4C7" w:rsidR="00D12A57" w:rsidRPr="006C1584" w:rsidRDefault="00103A7F" w:rsidP="0044364B">
      <w:pPr>
        <w:rPr>
          <w:rFonts w:ascii="Arial" w:hAnsi="Arial" w:cs="Arial"/>
          <w:b/>
          <w:bCs/>
          <w:noProof/>
          <w:sz w:val="24"/>
          <w:szCs w:val="24"/>
          <w:lang w:val="en-US"/>
        </w:rPr>
      </w:pPr>
      <w:r>
        <w:rPr>
          <w:rFonts w:ascii="Arial" w:hAnsi="Arial" w:cs="Arial"/>
          <w:b/>
          <w:sz w:val="24"/>
          <w:szCs w:val="24"/>
        </w:rPr>
        <w:t>Athens, Greece</w:t>
      </w:r>
      <w:r w:rsidR="00D544DE" w:rsidRPr="00D544DE">
        <w:rPr>
          <w:rFonts w:ascii="Arial" w:hAnsi="Arial" w:cs="Arial"/>
          <w:b/>
          <w:sz w:val="24"/>
          <w:szCs w:val="24"/>
        </w:rPr>
        <w:t xml:space="preserve">, </w:t>
      </w:r>
      <w:r w:rsidR="00411B5B">
        <w:rPr>
          <w:rFonts w:ascii="Arial" w:hAnsi="Arial" w:cs="Arial"/>
          <w:b/>
          <w:sz w:val="24"/>
          <w:szCs w:val="24"/>
        </w:rPr>
        <w:t>27</w:t>
      </w:r>
      <w:r w:rsidR="00FB7427">
        <w:rPr>
          <w:rFonts w:ascii="Arial" w:hAnsi="Arial" w:cs="Arial"/>
          <w:b/>
          <w:sz w:val="24"/>
          <w:szCs w:val="24"/>
        </w:rPr>
        <w:t xml:space="preserve"> </w:t>
      </w:r>
      <w:r w:rsidR="00411B5B">
        <w:rPr>
          <w:rFonts w:ascii="Arial" w:hAnsi="Arial" w:cs="Arial"/>
          <w:b/>
          <w:sz w:val="24"/>
          <w:szCs w:val="24"/>
        </w:rPr>
        <w:t>February – 3</w:t>
      </w:r>
      <w:r w:rsidR="00FB7427">
        <w:rPr>
          <w:rFonts w:ascii="Arial" w:hAnsi="Arial" w:cs="Arial"/>
          <w:b/>
          <w:sz w:val="24"/>
          <w:szCs w:val="24"/>
        </w:rPr>
        <w:t xml:space="preserve"> </w:t>
      </w:r>
      <w:r w:rsidR="00780EC9">
        <w:rPr>
          <w:rFonts w:ascii="Arial" w:hAnsi="Arial" w:cs="Arial"/>
          <w:b/>
          <w:sz w:val="24"/>
          <w:szCs w:val="24"/>
        </w:rPr>
        <w:t>March,</w:t>
      </w:r>
      <w:r w:rsidR="00D544DE" w:rsidRPr="00D544DE">
        <w:rPr>
          <w:rFonts w:ascii="Arial" w:hAnsi="Arial" w:cs="Arial"/>
          <w:b/>
          <w:sz w:val="24"/>
          <w:szCs w:val="24"/>
        </w:rPr>
        <w:t xml:space="preserve"> 202</w:t>
      </w:r>
      <w:r w:rsidR="00411B5B">
        <w:rPr>
          <w:rFonts w:ascii="Arial" w:hAnsi="Arial" w:cs="Arial"/>
          <w:b/>
          <w:sz w:val="24"/>
          <w:szCs w:val="24"/>
        </w:rPr>
        <w:t>3</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721E5981"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560A3">
        <w:rPr>
          <w:rFonts w:ascii="Arial" w:hAnsi="Arial" w:cs="Arial"/>
          <w:bCs/>
          <w:lang w:val="en-US"/>
        </w:rPr>
        <w:t xml:space="preserve">On </w:t>
      </w:r>
      <w:r w:rsidR="00AD4258">
        <w:rPr>
          <w:rFonts w:ascii="Arial" w:hAnsi="Arial" w:cs="Arial"/>
          <w:bCs/>
          <w:lang w:val="en-US"/>
        </w:rPr>
        <w:t>large TDD cells</w:t>
      </w:r>
      <w:r w:rsidR="00234748">
        <w:rPr>
          <w:rFonts w:ascii="Arial" w:hAnsi="Arial" w:cs="Arial"/>
          <w:bCs/>
          <w:lang w:val="en-US"/>
        </w:rPr>
        <w:t xml:space="preserve"> and other timing requirements</w:t>
      </w:r>
      <w:r w:rsidR="00AD4258">
        <w:rPr>
          <w:rFonts w:ascii="Arial" w:hAnsi="Arial" w:cs="Arial"/>
          <w:bCs/>
          <w:lang w:val="en-US"/>
        </w:rPr>
        <w:t>.</w:t>
      </w:r>
      <w:r w:rsidR="000455F6" w:rsidRPr="000455F6">
        <w:rPr>
          <w:rFonts w:ascii="Arial" w:hAnsi="Arial" w:cs="Arial"/>
          <w:bCs/>
          <w:lang w:val="en-US"/>
        </w:rPr>
        <w:t xml:space="preserve"> </w:t>
      </w:r>
    </w:p>
    <w:p w14:paraId="710B5126" w14:textId="5F6F05BD"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843332">
        <w:rPr>
          <w:rFonts w:ascii="Arial" w:hAnsi="Arial" w:cs="Arial"/>
          <w:lang w:val="en-US"/>
        </w:rPr>
        <w:t>9.13.4.3</w:t>
      </w:r>
    </w:p>
    <w:p w14:paraId="5A3522FA" w14:textId="780462BD"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D55AE4">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06601B3B" w:rsidR="00B93FB3" w:rsidRDefault="00AD4258" w:rsidP="00B93FB3">
      <w:pPr>
        <w:rPr>
          <w:lang w:val="en-US"/>
        </w:rPr>
      </w:pPr>
      <w:r>
        <w:rPr>
          <w:lang w:val="en-US"/>
        </w:rPr>
        <w:t>In WID [1] it is stated:</w:t>
      </w:r>
    </w:p>
    <w:tbl>
      <w:tblPr>
        <w:tblStyle w:val="TableGrid"/>
        <w:tblW w:w="0" w:type="auto"/>
        <w:tblLook w:val="04A0" w:firstRow="1" w:lastRow="0" w:firstColumn="1" w:lastColumn="0" w:noHBand="0" w:noVBand="1"/>
      </w:tblPr>
      <w:tblGrid>
        <w:gridCol w:w="9631"/>
      </w:tblGrid>
      <w:tr w:rsidR="00AD4258" w14:paraId="1A31DA3E" w14:textId="77777777" w:rsidTr="00AD4258">
        <w:tc>
          <w:tcPr>
            <w:tcW w:w="9631" w:type="dxa"/>
          </w:tcPr>
          <w:p w14:paraId="4C92E969" w14:textId="34C29993" w:rsidR="00F96AEF" w:rsidRDefault="00F96AEF" w:rsidP="002E7823">
            <w:pPr>
              <w:rPr>
                <w:lang w:val="en-US"/>
              </w:rPr>
            </w:pPr>
            <w:r>
              <w:rPr>
                <w:lang w:val="en-US"/>
              </w:rPr>
              <w:t>…</w:t>
            </w:r>
          </w:p>
          <w:p w14:paraId="5FEA5C98" w14:textId="77089117" w:rsidR="00F96AEF" w:rsidRPr="002E7823" w:rsidRDefault="00F96AEF" w:rsidP="002E7823">
            <w:pPr>
              <w:widowControl w:val="0"/>
              <w:numPr>
                <w:ilvl w:val="1"/>
                <w:numId w:val="6"/>
              </w:numPr>
              <w:spacing w:after="0"/>
              <w:rPr>
                <w:kern w:val="2"/>
                <w:lang w:val="en-US" w:eastAsia="zh-CN"/>
              </w:rPr>
            </w:pPr>
            <w:r w:rsidRPr="001A6BD8">
              <w:rPr>
                <w:kern w:val="2"/>
                <w:lang w:val="en-US" w:eastAsia="zh-CN"/>
              </w:rPr>
              <w:t>Specify core requirements for coexistence bet</w:t>
            </w:r>
            <w:r w:rsidRPr="002E7823">
              <w:rPr>
                <w:kern w:val="2"/>
                <w:lang w:val="en-US" w:eastAsia="zh-CN"/>
              </w:rPr>
              <w:t>ween ATG and IMT terrestrial network</w:t>
            </w:r>
          </w:p>
          <w:p w14:paraId="54E35B4B" w14:textId="77777777" w:rsidR="002E7823" w:rsidRPr="00044C53" w:rsidRDefault="00F96AEF" w:rsidP="002E7823">
            <w:pPr>
              <w:widowControl w:val="0"/>
              <w:numPr>
                <w:ilvl w:val="2"/>
                <w:numId w:val="6"/>
              </w:numPr>
              <w:spacing w:after="0"/>
              <w:rPr>
                <w:kern w:val="2"/>
                <w:highlight w:val="yellow"/>
                <w:lang w:val="en-US" w:eastAsia="zh-CN"/>
              </w:rPr>
            </w:pPr>
            <w:r w:rsidRPr="00044C53">
              <w:rPr>
                <w:kern w:val="2"/>
                <w:highlight w:val="yellow"/>
                <w:lang w:val="en-US" w:eastAsia="zh-CN"/>
              </w:rPr>
              <w:t>Example bands include n1, n78 and n79.</w:t>
            </w:r>
          </w:p>
          <w:p w14:paraId="44E4D7A6" w14:textId="1EB30569" w:rsidR="00AD4258" w:rsidRPr="00F96AEF" w:rsidRDefault="00AD4258" w:rsidP="002E7823">
            <w:pPr>
              <w:rPr>
                <w:kern w:val="2"/>
                <w:lang w:val="en-US" w:eastAsia="zh-CN"/>
              </w:rPr>
            </w:pPr>
            <w:r w:rsidRPr="00F96AEF">
              <w:rPr>
                <w:lang w:val="en-US"/>
              </w:rPr>
              <w:br/>
              <w:t>…</w:t>
            </w:r>
          </w:p>
        </w:tc>
      </w:tr>
    </w:tbl>
    <w:p w14:paraId="30014F92" w14:textId="540251D8" w:rsidR="00AD4258" w:rsidRDefault="00044C53" w:rsidP="00B93FB3">
      <w:pPr>
        <w:rPr>
          <w:lang w:val="en-US"/>
        </w:rPr>
      </w:pPr>
      <w:r>
        <w:rPr>
          <w:lang w:val="en-US"/>
        </w:rPr>
        <w:br/>
        <w:t>The examp</w:t>
      </w:r>
      <w:r w:rsidR="009630D3">
        <w:rPr>
          <w:lang w:val="en-US"/>
        </w:rPr>
        <w:t xml:space="preserve">le bands are FDD and TDD. </w:t>
      </w:r>
      <w:r>
        <w:rPr>
          <w:lang w:val="en-US"/>
        </w:rPr>
        <w:t xml:space="preserve">In this contribution we </w:t>
      </w:r>
      <w:r w:rsidR="009630D3">
        <w:rPr>
          <w:lang w:val="en-US"/>
        </w:rPr>
        <w:t>analyze the implication of large TDD cells with cell radius</w:t>
      </w:r>
      <w:r w:rsidR="002F253D">
        <w:rPr>
          <w:lang w:val="en-US"/>
        </w:rPr>
        <w:t xml:space="preserve"> and possible remedies.</w:t>
      </w:r>
      <w:r>
        <w:rPr>
          <w:lang w:val="en-US"/>
        </w:rPr>
        <w:t xml:space="preserve"> </w:t>
      </w:r>
    </w:p>
    <w:p w14:paraId="31215D0A" w14:textId="566F41F6" w:rsidR="0051173F" w:rsidRDefault="0051173F" w:rsidP="0051173F">
      <w:pPr>
        <w:pStyle w:val="Heading1"/>
        <w:rPr>
          <w:lang w:val="en-US"/>
        </w:rPr>
      </w:pPr>
      <w:r>
        <w:rPr>
          <w:lang w:val="en-US"/>
        </w:rPr>
        <w:t>2</w:t>
      </w:r>
      <w:r>
        <w:rPr>
          <w:lang w:val="en-US"/>
        </w:rPr>
        <w:tab/>
        <w:t>Discussion</w:t>
      </w:r>
    </w:p>
    <w:p w14:paraId="2ECF0C0C" w14:textId="2259C974" w:rsidR="00B038CD" w:rsidRPr="00B038CD" w:rsidRDefault="00B038CD" w:rsidP="00896866">
      <w:pPr>
        <w:pStyle w:val="Heading2"/>
        <w:rPr>
          <w:lang w:val="en-US"/>
        </w:rPr>
      </w:pPr>
      <w:r>
        <w:rPr>
          <w:lang w:val="en-US"/>
        </w:rPr>
        <w:t>2.1</w:t>
      </w:r>
      <w:r>
        <w:rPr>
          <w:lang w:val="en-US"/>
        </w:rPr>
        <w:tab/>
        <w:t>Large TDD cells and timing requirements</w:t>
      </w:r>
    </w:p>
    <w:p w14:paraId="762D8947" w14:textId="206A1DF6" w:rsidR="0051173F" w:rsidRDefault="00083C54" w:rsidP="00B93FB3">
      <w:pPr>
        <w:rPr>
          <w:lang w:val="en-US"/>
        </w:rPr>
      </w:pPr>
      <w:r>
        <w:rPr>
          <w:lang w:val="en-US"/>
        </w:rPr>
        <w:t>In WF [2] we have:</w:t>
      </w:r>
    </w:p>
    <w:tbl>
      <w:tblPr>
        <w:tblStyle w:val="TableGrid"/>
        <w:tblW w:w="0" w:type="auto"/>
        <w:tblLook w:val="04A0" w:firstRow="1" w:lastRow="0" w:firstColumn="1" w:lastColumn="0" w:noHBand="0" w:noVBand="1"/>
      </w:tblPr>
      <w:tblGrid>
        <w:gridCol w:w="9631"/>
      </w:tblGrid>
      <w:tr w:rsidR="00083C54" w14:paraId="05E38CC1" w14:textId="77777777" w:rsidTr="00083C54">
        <w:tc>
          <w:tcPr>
            <w:tcW w:w="9631" w:type="dxa"/>
          </w:tcPr>
          <w:p w14:paraId="37654C1C" w14:textId="77777777" w:rsidR="001861F8" w:rsidRDefault="00083C54" w:rsidP="00B93FB3">
            <w:pPr>
              <w:rPr>
                <w:lang w:val="en-US"/>
              </w:rPr>
            </w:pPr>
            <w:r>
              <w:rPr>
                <w:lang w:val="en-US"/>
              </w:rPr>
              <w:t>…</w:t>
            </w:r>
          </w:p>
          <w:p w14:paraId="58D89D20" w14:textId="77777777" w:rsidR="00832A3A" w:rsidRPr="00B3434B" w:rsidRDefault="00832A3A" w:rsidP="00832A3A">
            <w:pPr>
              <w:rPr>
                <w:rFonts w:eastAsia="Malgun Gothic"/>
                <w:b/>
                <w:u w:val="single"/>
                <w:lang w:eastAsia="ko-KR"/>
              </w:rPr>
            </w:pPr>
            <w:r w:rsidRPr="00B3434B">
              <w:rPr>
                <w:b/>
                <w:u w:val="single"/>
                <w:lang w:eastAsia="ko-KR"/>
              </w:rPr>
              <w:t>Issue 1-1</w:t>
            </w:r>
            <w:r>
              <w:rPr>
                <w:b/>
                <w:u w:val="single"/>
                <w:lang w:eastAsia="ko-KR"/>
              </w:rPr>
              <w:t>-1</w:t>
            </w:r>
            <w:r w:rsidRPr="00B3434B">
              <w:rPr>
                <w:b/>
                <w:u w:val="single"/>
                <w:lang w:eastAsia="ko-KR"/>
              </w:rPr>
              <w:t xml:space="preserve">: </w:t>
            </w:r>
            <w:r w:rsidRPr="007F0E10">
              <w:rPr>
                <w:b/>
                <w:u w:val="single"/>
                <w:lang w:eastAsia="ko-KR"/>
              </w:rPr>
              <w:t>ISD assumption</w:t>
            </w:r>
          </w:p>
          <w:p w14:paraId="0910C0E6" w14:textId="77777777" w:rsidR="00832A3A" w:rsidRPr="00D4546D" w:rsidRDefault="00832A3A" w:rsidP="00832A3A">
            <w:pPr>
              <w:spacing w:after="60"/>
              <w:rPr>
                <w:rFonts w:eastAsiaTheme="minorEastAsia"/>
                <w:iCs/>
              </w:rPr>
            </w:pPr>
            <w:r w:rsidRPr="00D4546D">
              <w:rPr>
                <w:rFonts w:eastAsiaTheme="minorEastAsia"/>
                <w:iCs/>
              </w:rPr>
              <w:t>Agreement</w:t>
            </w:r>
            <w:r>
              <w:rPr>
                <w:rFonts w:eastAsiaTheme="minorEastAsia"/>
                <w:iCs/>
              </w:rPr>
              <w:t>s</w:t>
            </w:r>
            <w:r w:rsidRPr="00D4546D">
              <w:rPr>
                <w:rFonts w:eastAsiaTheme="minorEastAsia"/>
                <w:iCs/>
              </w:rPr>
              <w:t>:</w:t>
            </w:r>
          </w:p>
          <w:p w14:paraId="62C4FD16" w14:textId="77777777" w:rsidR="00832A3A" w:rsidRDefault="00832A3A" w:rsidP="00710209">
            <w:pPr>
              <w:rPr>
                <w:rFonts w:eastAsia="SimSun"/>
              </w:rPr>
            </w:pPr>
            <w:r w:rsidRPr="008A6A43">
              <w:rPr>
                <w:rFonts w:eastAsia="SimSun"/>
              </w:rPr>
              <w:t xml:space="preserve">Investigate the RRM impactions of ISD [14]-200km. </w:t>
            </w:r>
          </w:p>
          <w:p w14:paraId="3A2E2469" w14:textId="77777777" w:rsidR="00832A3A" w:rsidRPr="008A6A43" w:rsidRDefault="00832A3A" w:rsidP="00710209">
            <w:pPr>
              <w:rPr>
                <w:rFonts w:eastAsia="SimSun"/>
              </w:rPr>
            </w:pPr>
            <w:r w:rsidRPr="008A6A43">
              <w:rPr>
                <w:rFonts w:eastAsia="SimSun"/>
              </w:rPr>
              <w:t xml:space="preserve">Further capture the conclusion on square bracket which will come from RF session. </w:t>
            </w:r>
          </w:p>
          <w:p w14:paraId="1737ADCF" w14:textId="77777777" w:rsidR="00832A3A" w:rsidRDefault="00832A3A" w:rsidP="00832A3A">
            <w:pPr>
              <w:rPr>
                <w:b/>
                <w:u w:val="single"/>
                <w:lang w:eastAsia="ko-KR"/>
              </w:rPr>
            </w:pPr>
            <w:r w:rsidRPr="008A6A43">
              <w:rPr>
                <w:b/>
                <w:u w:val="single"/>
                <w:lang w:eastAsia="ko-KR"/>
              </w:rPr>
              <w:t>Issue 1-1-2: Maximum distance between ATG BS and Aircraft UE</w:t>
            </w:r>
          </w:p>
          <w:p w14:paraId="4E13939F" w14:textId="77777777" w:rsidR="00832A3A" w:rsidRPr="008A6A43" w:rsidRDefault="00832A3A" w:rsidP="00832A3A">
            <w:pPr>
              <w:spacing w:after="60"/>
              <w:rPr>
                <w:rFonts w:eastAsiaTheme="minorEastAsia"/>
                <w:iCs/>
              </w:rPr>
            </w:pPr>
            <w:r w:rsidRPr="008A6A43">
              <w:rPr>
                <w:rFonts w:eastAsiaTheme="minorEastAsia"/>
                <w:iCs/>
              </w:rPr>
              <w:t>Agreements</w:t>
            </w:r>
          </w:p>
          <w:p w14:paraId="60132828" w14:textId="77777777" w:rsidR="00832A3A" w:rsidRPr="008A6A43" w:rsidRDefault="00832A3A" w:rsidP="00F730FD">
            <w:pPr>
              <w:rPr>
                <w:rFonts w:eastAsia="SimSun"/>
              </w:rPr>
            </w:pPr>
            <w:r w:rsidRPr="008A6A43">
              <w:rPr>
                <w:rFonts w:eastAsia="SimSun"/>
              </w:rPr>
              <w:t xml:space="preserve">Maximum distance between ATG BS and Aircraft UE for further RRM analysis is ≥ [200] km. </w:t>
            </w:r>
          </w:p>
          <w:p w14:paraId="214D2868" w14:textId="1AE32BD4" w:rsidR="001861F8" w:rsidRPr="00832A3A" w:rsidRDefault="00832A3A" w:rsidP="00F730FD">
            <w:pPr>
              <w:rPr>
                <w:rFonts w:eastAsia="SimSun"/>
              </w:rPr>
            </w:pPr>
            <w:r w:rsidRPr="008A6A43">
              <w:rPr>
                <w:rFonts w:eastAsia="SimSun"/>
              </w:rPr>
              <w:t>Upper bound is FFS.</w:t>
            </w:r>
          </w:p>
          <w:p w14:paraId="05716989" w14:textId="77777777" w:rsidR="00083C54" w:rsidRDefault="00083C54" w:rsidP="00B93FB3">
            <w:pPr>
              <w:rPr>
                <w:lang w:val="en-US"/>
              </w:rPr>
            </w:pPr>
            <w:r>
              <w:rPr>
                <w:lang w:val="en-US"/>
              </w:rPr>
              <w:t>…</w:t>
            </w:r>
          </w:p>
          <w:p w14:paraId="6AEA6B68" w14:textId="77777777" w:rsidR="00111782" w:rsidRDefault="00111782" w:rsidP="00111782">
            <w:pPr>
              <w:rPr>
                <w:b/>
                <w:u w:val="single"/>
                <w:lang w:eastAsia="ko-KR"/>
              </w:rPr>
            </w:pPr>
            <w:r w:rsidRPr="00956582">
              <w:rPr>
                <w:b/>
                <w:u w:val="single"/>
                <w:lang w:eastAsia="ko-KR"/>
              </w:rPr>
              <w:t xml:space="preserve">Issue </w:t>
            </w:r>
            <w:r w:rsidRPr="00E53D71">
              <w:rPr>
                <w:b/>
                <w:u w:val="single"/>
                <w:lang w:eastAsia="ko-KR"/>
              </w:rPr>
              <w:t>1-1-</w:t>
            </w:r>
            <w:r>
              <w:rPr>
                <w:b/>
                <w:u w:val="single"/>
                <w:lang w:eastAsia="ko-KR"/>
              </w:rPr>
              <w:t>4</w:t>
            </w:r>
            <w:r w:rsidRPr="00E53D71">
              <w:rPr>
                <w:b/>
                <w:u w:val="single"/>
                <w:lang w:eastAsia="ko-KR"/>
              </w:rPr>
              <w:t>: TDD pattern</w:t>
            </w:r>
          </w:p>
          <w:p w14:paraId="3E276F4A" w14:textId="77777777" w:rsidR="00111782" w:rsidRPr="00E53D71" w:rsidRDefault="00111782" w:rsidP="00111782">
            <w:pPr>
              <w:spacing w:after="60"/>
              <w:rPr>
                <w:rFonts w:eastAsiaTheme="minorEastAsia"/>
                <w:iCs/>
              </w:rPr>
            </w:pPr>
            <w:r w:rsidRPr="00E53D71">
              <w:rPr>
                <w:rFonts w:eastAsiaTheme="minorEastAsia" w:hint="eastAsia"/>
                <w:iCs/>
              </w:rPr>
              <w:t>A</w:t>
            </w:r>
            <w:r w:rsidRPr="00E53D71">
              <w:rPr>
                <w:rFonts w:eastAsiaTheme="minorEastAsia"/>
                <w:iCs/>
              </w:rPr>
              <w:t>greement</w:t>
            </w:r>
            <w:r>
              <w:rPr>
                <w:rFonts w:eastAsiaTheme="minorEastAsia"/>
                <w:iCs/>
              </w:rPr>
              <w:t>s:</w:t>
            </w:r>
          </w:p>
          <w:p w14:paraId="0A4B4D5D" w14:textId="67CED6B5" w:rsidR="00111782" w:rsidRPr="00224F15" w:rsidRDefault="00111782" w:rsidP="00B93FB3">
            <w:pPr>
              <w:pStyle w:val="ListParagraph"/>
              <w:numPr>
                <w:ilvl w:val="0"/>
                <w:numId w:val="7"/>
              </w:numPr>
              <w:spacing w:after="120"/>
              <w:ind w:hanging="357"/>
              <w:contextualSpacing w:val="0"/>
              <w:rPr>
                <w:rFonts w:eastAsia="SimSun"/>
              </w:rPr>
            </w:pPr>
            <w:r w:rsidRPr="00E53D71">
              <w:rPr>
                <w:rFonts w:eastAsia="SimSun"/>
              </w:rPr>
              <w:t>The TDD pattern is up to NW configuration. No impaction on core requirements is observed, and it can be further discussed in the stage of performance.</w:t>
            </w:r>
          </w:p>
        </w:tc>
      </w:tr>
    </w:tbl>
    <w:p w14:paraId="49D15FA0" w14:textId="384121B6" w:rsidR="00061F9D" w:rsidRDefault="00832A3A" w:rsidP="00D2154D">
      <w:pPr>
        <w:rPr>
          <w:lang w:val="en-US"/>
        </w:rPr>
      </w:pPr>
      <w:r>
        <w:rPr>
          <w:lang w:val="en-US"/>
        </w:rPr>
        <w:br/>
      </w:r>
      <w:r w:rsidR="00061F9D">
        <w:rPr>
          <w:lang w:val="en-US"/>
        </w:rPr>
        <w:t xml:space="preserve">An ISD </w:t>
      </w:r>
      <w:r w:rsidR="00296289">
        <w:rPr>
          <w:lang w:val="en-US"/>
        </w:rPr>
        <w:t>o</w:t>
      </w:r>
      <w:r w:rsidR="00061F9D">
        <w:rPr>
          <w:lang w:val="en-US"/>
        </w:rPr>
        <w:t xml:space="preserve">f 200 km will imply a cell radius </w:t>
      </w:r>
      <w:r w:rsidR="00B65921">
        <w:rPr>
          <w:lang w:val="en-US"/>
        </w:rPr>
        <w:t xml:space="preserve">of </w:t>
      </w:r>
      <w:r w:rsidR="00EA52C4">
        <w:rPr>
          <w:lang w:val="en-US"/>
        </w:rPr>
        <w:t xml:space="preserve">at least </w:t>
      </w:r>
      <w:r w:rsidR="00ED77FA">
        <w:rPr>
          <w:lang w:val="en-US"/>
        </w:rPr>
        <w:t>100</w:t>
      </w:r>
      <w:r w:rsidR="00423C8E">
        <w:rPr>
          <w:lang w:val="en-US"/>
        </w:rPr>
        <w:t xml:space="preserve"> </w:t>
      </w:r>
      <w:r w:rsidR="00EA52C4">
        <w:rPr>
          <w:lang w:val="en-US"/>
        </w:rPr>
        <w:t xml:space="preserve">km and up </w:t>
      </w:r>
      <w:r w:rsidR="00423C8E">
        <w:rPr>
          <w:lang w:val="en-US"/>
        </w:rPr>
        <w:t xml:space="preserve">to </w:t>
      </w:r>
      <w:r w:rsidR="001361B5">
        <w:rPr>
          <w:lang w:val="en-US"/>
        </w:rPr>
        <w:t xml:space="preserve">more than </w:t>
      </w:r>
      <w:r w:rsidR="00423C8E">
        <w:rPr>
          <w:lang w:val="en-US"/>
        </w:rPr>
        <w:t>200 km depending on BS site deployment</w:t>
      </w:r>
      <w:r w:rsidR="00680114">
        <w:rPr>
          <w:lang w:val="en-US"/>
        </w:rPr>
        <w:t xml:space="preserve">. Figure </w:t>
      </w:r>
      <w:r w:rsidR="00E24525">
        <w:rPr>
          <w:lang w:val="en-US"/>
        </w:rPr>
        <w:t>1</w:t>
      </w:r>
      <w:r w:rsidR="00C40FDC">
        <w:rPr>
          <w:lang w:val="en-US"/>
        </w:rPr>
        <w:t xml:space="preserve"> show upwards deployment</w:t>
      </w:r>
      <w:r w:rsidR="006F5478">
        <w:rPr>
          <w:lang w:val="en-US"/>
        </w:rPr>
        <w:t xml:space="preserve"> where cell radius is at least</w:t>
      </w:r>
      <w:r w:rsidR="00ED77FA">
        <w:rPr>
          <w:lang w:val="en-US"/>
        </w:rPr>
        <w:t xml:space="preserve"> 100 km</w:t>
      </w:r>
      <w:r w:rsidR="00C71E62">
        <w:rPr>
          <w:lang w:val="en-US"/>
        </w:rPr>
        <w:t xml:space="preserve">, assuming ISD up to 200 km and equal </w:t>
      </w:r>
      <w:r w:rsidR="001361B5">
        <w:rPr>
          <w:lang w:val="en-US"/>
        </w:rPr>
        <w:t>E</w:t>
      </w:r>
      <w:r w:rsidR="00DD1E30">
        <w:rPr>
          <w:lang w:val="en-US"/>
        </w:rPr>
        <w:t>I</w:t>
      </w:r>
      <w:r w:rsidR="001361B5">
        <w:rPr>
          <w:lang w:val="en-US"/>
        </w:rPr>
        <w:t>RP and radio propagation. Figure 1 also show</w:t>
      </w:r>
      <w:r w:rsidR="008D6563">
        <w:rPr>
          <w:lang w:val="en-US"/>
        </w:rPr>
        <w:t>s</w:t>
      </w:r>
      <w:r w:rsidR="001361B5">
        <w:rPr>
          <w:lang w:val="en-US"/>
        </w:rPr>
        <w:t xml:space="preserve"> a unidirectional arrangement where all beams point to hor</w:t>
      </w:r>
      <w:r w:rsidR="000306A0">
        <w:rPr>
          <w:lang w:val="en-US"/>
        </w:rPr>
        <w:t xml:space="preserve">izon and </w:t>
      </w:r>
      <w:r w:rsidR="000306A0">
        <w:rPr>
          <w:lang w:val="en-US"/>
        </w:rPr>
        <w:lastRenderedPageBreak/>
        <w:t xml:space="preserve">the cell radius can be larger than the ISD </w:t>
      </w:r>
      <w:r w:rsidR="00BC04A7">
        <w:rPr>
          <w:lang w:val="en-US"/>
        </w:rPr>
        <w:t xml:space="preserve">of </w:t>
      </w:r>
      <w:r w:rsidR="00C17068">
        <w:rPr>
          <w:lang w:val="en-US"/>
        </w:rPr>
        <w:t xml:space="preserve">200 km </w:t>
      </w:r>
      <w:r w:rsidR="000306A0">
        <w:rPr>
          <w:lang w:val="en-US"/>
        </w:rPr>
        <w:t>depending on</w:t>
      </w:r>
      <w:r w:rsidR="000D5143">
        <w:rPr>
          <w:lang w:val="en-US"/>
        </w:rPr>
        <w:t xml:space="preserve"> aircraft altitude and cell overlap.</w:t>
      </w:r>
      <w:r w:rsidR="00B90487">
        <w:rPr>
          <w:lang w:val="en-US"/>
        </w:rPr>
        <w:t xml:space="preserve"> In fact, </w:t>
      </w:r>
      <w:r w:rsidR="00B90487" w:rsidRPr="00B90487">
        <w:rPr>
          <w:lang w:val="en-US"/>
        </w:rPr>
        <w:t>cell radius may be independent of the ISD</w:t>
      </w:r>
      <w:r w:rsidR="00B90487">
        <w:rPr>
          <w:lang w:val="en-US"/>
        </w:rPr>
        <w:t>.</w:t>
      </w:r>
    </w:p>
    <w:p w14:paraId="28465D95" w14:textId="3DCA3781" w:rsidR="00781F59" w:rsidRDefault="00C40FDC" w:rsidP="00781F59">
      <w:pPr>
        <w:rPr>
          <w:lang w:eastAsia="ja-JP"/>
        </w:rPr>
      </w:pPr>
      <w:r>
        <w:rPr>
          <w:noProof/>
          <w:lang w:eastAsia="ja-JP"/>
        </w:rPr>
        <w:drawing>
          <wp:inline distT="0" distB="0" distL="0" distR="0" wp14:anchorId="11C019BF" wp14:editId="052D2814">
            <wp:extent cx="1404102" cy="910898"/>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6881" cy="912701"/>
                    </a:xfrm>
                    <a:prstGeom prst="rect">
                      <a:avLst/>
                    </a:prstGeom>
                    <a:noFill/>
                  </pic:spPr>
                </pic:pic>
              </a:graphicData>
            </a:graphic>
          </wp:inline>
        </w:drawing>
      </w:r>
      <w:r w:rsidR="00420232">
        <w:rPr>
          <w:noProof/>
          <w:lang w:eastAsia="ja-JP"/>
        </w:rPr>
        <w:drawing>
          <wp:inline distT="0" distB="0" distL="0" distR="0" wp14:anchorId="4DFB5218" wp14:editId="27C9663D">
            <wp:extent cx="1415959" cy="9185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3431" cy="929924"/>
                    </a:xfrm>
                    <a:prstGeom prst="rect">
                      <a:avLst/>
                    </a:prstGeom>
                    <a:noFill/>
                  </pic:spPr>
                </pic:pic>
              </a:graphicData>
            </a:graphic>
          </wp:inline>
        </w:drawing>
      </w:r>
      <w:r w:rsidR="00781F59">
        <w:rPr>
          <w:noProof/>
          <w:lang w:eastAsia="ja-JP"/>
        </w:rPr>
        <w:drawing>
          <wp:inline distT="0" distB="0" distL="0" distR="0" wp14:anchorId="1ADF15C3" wp14:editId="13BEC918">
            <wp:extent cx="3133228" cy="756731"/>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8935" cy="772600"/>
                    </a:xfrm>
                    <a:prstGeom prst="rect">
                      <a:avLst/>
                    </a:prstGeom>
                    <a:noFill/>
                  </pic:spPr>
                </pic:pic>
              </a:graphicData>
            </a:graphic>
          </wp:inline>
        </w:drawing>
      </w:r>
    </w:p>
    <w:p w14:paraId="2E80F000" w14:textId="2DD1736A" w:rsidR="00781F59" w:rsidRDefault="00781F59" w:rsidP="00CB648E">
      <w:pPr>
        <w:pStyle w:val="TF"/>
        <w:rPr>
          <w:lang w:eastAsia="ja-JP"/>
        </w:rPr>
      </w:pPr>
      <w:bookmarkStart w:id="3" w:name="_Ref115277561"/>
      <w:r>
        <w:t xml:space="preserve">Figure </w:t>
      </w:r>
      <w:bookmarkEnd w:id="3"/>
      <w:r w:rsidR="00680114">
        <w:t>1</w:t>
      </w:r>
      <w:r>
        <w:t xml:space="preserve">: ATG </w:t>
      </w:r>
      <w:bookmarkStart w:id="4" w:name="_Hlk126752874"/>
      <w:r>
        <w:t xml:space="preserve">BS antenna pointing upwards </w:t>
      </w:r>
      <w:r w:rsidR="00680114">
        <w:t xml:space="preserve">or using </w:t>
      </w:r>
      <w:r>
        <w:t>beams towards the horizon</w:t>
      </w:r>
      <w:bookmarkEnd w:id="4"/>
    </w:p>
    <w:p w14:paraId="18FD125D" w14:textId="0AA9D99D" w:rsidR="00420232" w:rsidRPr="00B20663" w:rsidRDefault="00B20663" w:rsidP="00C17068">
      <w:pPr>
        <w:rPr>
          <w:b/>
          <w:bCs/>
          <w:lang w:eastAsia="ja-JP"/>
        </w:rPr>
      </w:pPr>
      <w:r w:rsidRPr="00B20663">
        <w:rPr>
          <w:b/>
          <w:bCs/>
          <w:lang w:eastAsia="ja-JP"/>
        </w:rPr>
        <w:t xml:space="preserve">Observation 1: </w:t>
      </w:r>
      <w:r w:rsidR="000826D7">
        <w:rPr>
          <w:b/>
          <w:bCs/>
          <w:lang w:eastAsia="ja-JP"/>
        </w:rPr>
        <w:t xml:space="preserve">The cell radius can be more than 200 km for ISD </w:t>
      </w:r>
      <w:r w:rsidR="000826D7" w:rsidRPr="000826D7">
        <w:rPr>
          <w:b/>
          <w:bCs/>
          <w:lang w:eastAsia="ja-JP"/>
        </w:rPr>
        <w:t>200km</w:t>
      </w:r>
      <w:r w:rsidR="00871B2D">
        <w:rPr>
          <w:b/>
          <w:bCs/>
          <w:lang w:eastAsia="ja-JP"/>
        </w:rPr>
        <w:t>.</w:t>
      </w:r>
    </w:p>
    <w:p w14:paraId="6FC594E9" w14:textId="026958CB" w:rsidR="00423C8E" w:rsidRDefault="00E6410F" w:rsidP="00896866">
      <w:pPr>
        <w:pStyle w:val="Heading3"/>
        <w:rPr>
          <w:lang w:val="en-US"/>
        </w:rPr>
      </w:pPr>
      <w:r>
        <w:rPr>
          <w:lang w:val="en-US"/>
        </w:rPr>
        <w:t>2.1</w:t>
      </w:r>
      <w:r w:rsidR="00896866">
        <w:rPr>
          <w:lang w:val="en-US"/>
        </w:rPr>
        <w:t>.1</w:t>
      </w:r>
      <w:r>
        <w:rPr>
          <w:lang w:val="en-US"/>
        </w:rPr>
        <w:t xml:space="preserve"> Dimensioning of TDD GP</w:t>
      </w:r>
    </w:p>
    <w:p w14:paraId="4F89A368" w14:textId="32EB5756" w:rsidR="00E6410F" w:rsidRDefault="000402A8" w:rsidP="00E6410F">
      <w:pPr>
        <w:rPr>
          <w:lang w:val="en-US"/>
        </w:rPr>
      </w:pPr>
      <w:r>
        <w:rPr>
          <w:lang w:val="en-US"/>
        </w:rPr>
        <w:t xml:space="preserve">In [3] the TDD GP dimensioning rules are </w:t>
      </w:r>
      <w:r w:rsidR="00E24725">
        <w:rPr>
          <w:lang w:val="en-US"/>
        </w:rPr>
        <w:t>outlined</w:t>
      </w:r>
      <w:r w:rsidR="005923A9">
        <w:rPr>
          <w:lang w:val="en-US"/>
        </w:rPr>
        <w:t xml:space="preserve"> in Figure 2</w:t>
      </w:r>
      <w:r w:rsidR="00E24725">
        <w:rPr>
          <w:lang w:val="en-US"/>
        </w:rPr>
        <w:t>:</w:t>
      </w:r>
    </w:p>
    <w:p w14:paraId="5EC1C7BA" w14:textId="3DDD8E73" w:rsidR="00E24725" w:rsidRPr="00E6410F" w:rsidRDefault="00E24725" w:rsidP="00E6410F">
      <w:pPr>
        <w:rPr>
          <w:lang w:val="en-US"/>
        </w:rPr>
      </w:pPr>
      <w:r w:rsidRPr="00E24725">
        <w:rPr>
          <w:noProof/>
          <w:lang w:val="en-US"/>
        </w:rPr>
        <w:drawing>
          <wp:inline distT="0" distB="0" distL="0" distR="0" wp14:anchorId="775F7477" wp14:editId="0E0A57F8">
            <wp:extent cx="6115050" cy="645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645795"/>
                    </a:xfrm>
                    <a:prstGeom prst="rect">
                      <a:avLst/>
                    </a:prstGeom>
                    <a:noFill/>
                    <a:ln>
                      <a:noFill/>
                    </a:ln>
                  </pic:spPr>
                </pic:pic>
              </a:graphicData>
            </a:graphic>
          </wp:inline>
        </w:drawing>
      </w:r>
    </w:p>
    <w:p w14:paraId="2509E8C1" w14:textId="3D3A1497" w:rsidR="00423C8E" w:rsidRDefault="00E24725" w:rsidP="00CB648E">
      <w:pPr>
        <w:pStyle w:val="TF"/>
      </w:pPr>
      <w:r>
        <w:t xml:space="preserve">Figure </w:t>
      </w:r>
      <w:r w:rsidR="00CB648E">
        <w:t>2</w:t>
      </w:r>
      <w:r>
        <w:t xml:space="preserve">: </w:t>
      </w:r>
      <w:r w:rsidR="00662D15">
        <w:t>TDD GP dimensioning</w:t>
      </w:r>
    </w:p>
    <w:p w14:paraId="1D47BD57" w14:textId="77777777" w:rsidR="00672D43" w:rsidRDefault="00672D43" w:rsidP="00593183">
      <w:pPr>
        <w:rPr>
          <w:lang w:val="en-US"/>
        </w:rPr>
      </w:pPr>
      <w:r>
        <w:rPr>
          <w:lang w:val="en-US"/>
        </w:rPr>
        <w:t>Where:</w:t>
      </w:r>
    </w:p>
    <w:p w14:paraId="596ED8C6" w14:textId="5FC82BDE" w:rsidR="00593183" w:rsidRPr="00452AF0" w:rsidRDefault="00593183" w:rsidP="00452AF0">
      <w:pPr>
        <w:pStyle w:val="ListParagraph"/>
        <w:numPr>
          <w:ilvl w:val="0"/>
          <w:numId w:val="9"/>
        </w:numPr>
        <w:rPr>
          <w:lang w:val="en-US"/>
        </w:rPr>
      </w:pPr>
      <w:proofErr w:type="gramStart"/>
      <w:r w:rsidRPr="00452AF0">
        <w:rPr>
          <w:lang w:val="en-US"/>
        </w:rPr>
        <w:t>T</w:t>
      </w:r>
      <w:r w:rsidRPr="00452AF0">
        <w:rPr>
          <w:vertAlign w:val="subscript"/>
          <w:lang w:val="en-US"/>
        </w:rPr>
        <w:t>GUARD</w:t>
      </w:r>
      <w:r w:rsidRPr="00452AF0">
        <w:rPr>
          <w:lang w:val="en-US"/>
        </w:rPr>
        <w:t xml:space="preserve"> :</w:t>
      </w:r>
      <w:proofErr w:type="gramEnd"/>
      <w:r w:rsidRPr="00452AF0">
        <w:rPr>
          <w:lang w:val="en-US"/>
        </w:rPr>
        <w:t xml:space="preserve">  </w:t>
      </w:r>
      <w:r w:rsidRPr="00452AF0">
        <w:rPr>
          <w:lang w:val="en-US"/>
        </w:rPr>
        <w:tab/>
        <w:t xml:space="preserve">Total allocated GP (for both DL to UL and UL to DL guards) </w:t>
      </w:r>
    </w:p>
    <w:p w14:paraId="0C7F09E9" w14:textId="77777777" w:rsidR="00593183" w:rsidRPr="00452AF0" w:rsidRDefault="00593183" w:rsidP="00452AF0">
      <w:pPr>
        <w:pStyle w:val="ListParagraph"/>
        <w:numPr>
          <w:ilvl w:val="0"/>
          <w:numId w:val="9"/>
        </w:numPr>
        <w:rPr>
          <w:lang w:val="en-US"/>
        </w:rPr>
      </w:pPr>
      <w:proofErr w:type="spellStart"/>
      <w:proofErr w:type="gramStart"/>
      <w:r w:rsidRPr="00452AF0">
        <w:rPr>
          <w:lang w:val="en-US"/>
        </w:rPr>
        <w:t>TA</w:t>
      </w:r>
      <w:r w:rsidRPr="00452AF0">
        <w:rPr>
          <w:vertAlign w:val="subscript"/>
          <w:lang w:val="en-US"/>
        </w:rPr>
        <w:t>offset</w:t>
      </w:r>
      <w:proofErr w:type="spellEnd"/>
      <w:r w:rsidRPr="00452AF0">
        <w:rPr>
          <w:lang w:val="en-US"/>
        </w:rPr>
        <w:t xml:space="preserve"> :</w:t>
      </w:r>
      <w:proofErr w:type="gramEnd"/>
      <w:r w:rsidRPr="00452AF0">
        <w:rPr>
          <w:lang w:val="en-US"/>
        </w:rPr>
        <w:t xml:space="preserve">  Guard period allocated for the UL to DL switch </w:t>
      </w:r>
    </w:p>
    <w:p w14:paraId="1AD7E097" w14:textId="00ABEB4B" w:rsidR="00662D15" w:rsidRPr="00452AF0" w:rsidRDefault="00593183" w:rsidP="00452AF0">
      <w:pPr>
        <w:pStyle w:val="ListParagraph"/>
        <w:numPr>
          <w:ilvl w:val="0"/>
          <w:numId w:val="9"/>
        </w:numPr>
        <w:rPr>
          <w:lang w:val="en-US"/>
        </w:rPr>
      </w:pPr>
      <w:r w:rsidRPr="00452AF0">
        <w:rPr>
          <w:lang w:val="en-US"/>
        </w:rPr>
        <w:t>T</w:t>
      </w:r>
      <w:r w:rsidRPr="00452AF0">
        <w:rPr>
          <w:vertAlign w:val="subscript"/>
          <w:lang w:val="en-US"/>
        </w:rPr>
        <w:t>DL_</w:t>
      </w:r>
      <w:proofErr w:type="gramStart"/>
      <w:r w:rsidRPr="00452AF0">
        <w:rPr>
          <w:vertAlign w:val="subscript"/>
          <w:lang w:val="en-US"/>
        </w:rPr>
        <w:t xml:space="preserve">UL </w:t>
      </w:r>
      <w:r w:rsidRPr="00452AF0">
        <w:rPr>
          <w:lang w:val="en-US"/>
        </w:rPr>
        <w:t>:</w:t>
      </w:r>
      <w:proofErr w:type="gramEnd"/>
      <w:r w:rsidRPr="00452AF0">
        <w:rPr>
          <w:lang w:val="en-US"/>
        </w:rPr>
        <w:t xml:space="preserve">    </w:t>
      </w:r>
      <w:r w:rsidRPr="00452AF0">
        <w:rPr>
          <w:lang w:val="en-US"/>
        </w:rPr>
        <w:tab/>
        <w:t>Guard period allocated for the DL to UL switch</w:t>
      </w:r>
    </w:p>
    <w:p w14:paraId="7ED745F4" w14:textId="77777777" w:rsidR="00DB6220" w:rsidRDefault="00A807CC" w:rsidP="00DB6220">
      <w:pPr>
        <w:rPr>
          <w:lang w:val="en-US"/>
        </w:rPr>
      </w:pPr>
      <w:r>
        <w:rPr>
          <w:lang w:val="en-US"/>
        </w:rPr>
        <w:t xml:space="preserve">With some </w:t>
      </w:r>
      <w:r w:rsidR="00DB6220">
        <w:rPr>
          <w:lang w:val="en-US"/>
        </w:rPr>
        <w:t>assumptions and simplification listed in [3] we get:</w:t>
      </w:r>
    </w:p>
    <w:p w14:paraId="04D4007B" w14:textId="11EC4F6D" w:rsidR="00914428" w:rsidRPr="00DB6220" w:rsidRDefault="00914428" w:rsidP="00DB6220">
      <w:pPr>
        <w:jc w:val="center"/>
        <w:rPr>
          <w:lang w:val="en-US"/>
        </w:rPr>
      </w:pPr>
      <w:proofErr w:type="gramStart"/>
      <w:r w:rsidRPr="007347DD">
        <w:rPr>
          <w:lang w:val="en-US"/>
        </w:rPr>
        <w:t>T</w:t>
      </w:r>
      <w:r w:rsidRPr="007347DD">
        <w:rPr>
          <w:vertAlign w:val="subscript"/>
          <w:lang w:val="en-US"/>
        </w:rPr>
        <w:t xml:space="preserve">GUARD </w:t>
      </w:r>
      <w:r w:rsidR="00672D43">
        <w:rPr>
          <w:vertAlign w:val="subscript"/>
          <w:lang w:val="en-US"/>
        </w:rPr>
        <w:t xml:space="preserve"> </w:t>
      </w:r>
      <w:r w:rsidRPr="007347DD">
        <w:rPr>
          <w:rFonts w:cs="Arial"/>
          <w:lang w:val="en-US"/>
        </w:rPr>
        <w:t>≥</w:t>
      </w:r>
      <w:proofErr w:type="gramEnd"/>
      <w:r w:rsidRPr="007347DD">
        <w:rPr>
          <w:rFonts w:cs="Arial"/>
          <w:lang w:val="en-US"/>
        </w:rPr>
        <w:t xml:space="preserve"> 2*</w:t>
      </w:r>
      <w:r w:rsidRPr="007347DD">
        <w:rPr>
          <w:rFonts w:cs="Arial"/>
          <w:spacing w:val="2"/>
          <w:lang w:val="en-US"/>
        </w:rPr>
        <w:t xml:space="preserve"> </w:t>
      </w:r>
      <w:proofErr w:type="spellStart"/>
      <w:r w:rsidRPr="007347DD">
        <w:rPr>
          <w:rFonts w:cs="Arial"/>
          <w:spacing w:val="2"/>
          <w:lang w:val="en-US"/>
        </w:rPr>
        <w:t>T</w:t>
      </w:r>
      <w:r w:rsidRPr="007347DD">
        <w:rPr>
          <w:rFonts w:cs="Arial"/>
          <w:spacing w:val="2"/>
          <w:vertAlign w:val="subscript"/>
          <w:lang w:val="en-US"/>
        </w:rPr>
        <w:t>Sync</w:t>
      </w:r>
      <w:proofErr w:type="spellEnd"/>
      <w:r w:rsidRPr="007347DD">
        <w:rPr>
          <w:rFonts w:cs="Arial"/>
          <w:lang w:val="en-US"/>
        </w:rPr>
        <w:t xml:space="preserve"> + </w:t>
      </w:r>
      <w:r w:rsidRPr="007347DD">
        <w:rPr>
          <w:rFonts w:cs="Arial"/>
          <w:spacing w:val="2"/>
          <w:lang w:val="en-US"/>
        </w:rPr>
        <w:t>2*</w:t>
      </w:r>
      <w:proofErr w:type="spellStart"/>
      <w:r w:rsidRPr="007347DD">
        <w:rPr>
          <w:rFonts w:cs="Arial"/>
          <w:spacing w:val="2"/>
          <w:lang w:val="en-US"/>
        </w:rPr>
        <w:t>T</w:t>
      </w:r>
      <w:r w:rsidRPr="007347DD">
        <w:rPr>
          <w:rFonts w:cs="Arial"/>
          <w:spacing w:val="2"/>
          <w:vertAlign w:val="subscript"/>
          <w:lang w:val="en-US"/>
        </w:rPr>
        <w:t>prop_cell</w:t>
      </w:r>
      <w:proofErr w:type="spellEnd"/>
      <w:r w:rsidRPr="007347DD">
        <w:rPr>
          <w:rFonts w:cs="Arial"/>
          <w:spacing w:val="2"/>
          <w:vertAlign w:val="subscript"/>
          <w:lang w:val="en-US"/>
        </w:rPr>
        <w:t xml:space="preserve"> edge</w:t>
      </w:r>
      <w:r w:rsidRPr="007347DD">
        <w:rPr>
          <w:rFonts w:cs="Arial"/>
          <w:lang w:val="en-US"/>
        </w:rPr>
        <w:t xml:space="preserve"> +</w:t>
      </w:r>
      <w:r w:rsidRPr="007347DD">
        <w:rPr>
          <w:rFonts w:cs="Arial"/>
          <w:spacing w:val="2"/>
          <w:lang w:val="en-US"/>
        </w:rPr>
        <w:t>max ((T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sidRPr="007347DD">
        <w:rPr>
          <w:rFonts w:cs="Arial"/>
          <w:spacing w:val="2"/>
          <w:lang w:val="en-US"/>
        </w:rPr>
        <w:t>), (T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sidRPr="007347DD">
        <w:rPr>
          <w:rFonts w:cs="Arial"/>
          <w:spacing w:val="2"/>
          <w:lang w:val="en-US"/>
        </w:rPr>
        <w:t>)) + max ((T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sidRPr="007347DD">
        <w:rPr>
          <w:rFonts w:cs="Arial"/>
          <w:spacing w:val="2"/>
          <w:lang w:val="en-US"/>
        </w:rPr>
        <w:t>), (T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sidRPr="007347DD">
        <w:rPr>
          <w:rFonts w:cs="Arial"/>
          <w:spacing w:val="2"/>
          <w:lang w:val="en-US"/>
        </w:rPr>
        <w:t>))</w:t>
      </w:r>
    </w:p>
    <w:p w14:paraId="749C22C9" w14:textId="6DC5F4A6" w:rsidR="00593183" w:rsidRDefault="00672D43" w:rsidP="00593183">
      <w:pPr>
        <w:rPr>
          <w:lang w:val="en-US"/>
        </w:rPr>
      </w:pPr>
      <w:r>
        <w:rPr>
          <w:lang w:val="en-US"/>
        </w:rPr>
        <w:t xml:space="preserve">Where: </w:t>
      </w:r>
    </w:p>
    <w:p w14:paraId="78B0612D" w14:textId="2D26A678" w:rsidR="00672D43" w:rsidRPr="00452AF0" w:rsidRDefault="00672D43" w:rsidP="00452AF0">
      <w:pPr>
        <w:pStyle w:val="ListParagraph"/>
        <w:numPr>
          <w:ilvl w:val="0"/>
          <w:numId w:val="10"/>
        </w:numPr>
        <w:rPr>
          <w:rFonts w:cs="Arial"/>
          <w:spacing w:val="2"/>
          <w:lang w:val="en-US"/>
        </w:rPr>
      </w:pPr>
      <w:proofErr w:type="spellStart"/>
      <w:r w:rsidRPr="00452AF0">
        <w:rPr>
          <w:rFonts w:cs="Arial"/>
          <w:spacing w:val="2"/>
          <w:lang w:val="en-US"/>
        </w:rPr>
        <w:t>T</w:t>
      </w:r>
      <w:r w:rsidRPr="00452AF0">
        <w:rPr>
          <w:rFonts w:cs="Arial"/>
          <w:spacing w:val="2"/>
          <w:vertAlign w:val="subscript"/>
          <w:lang w:val="en-US"/>
        </w:rPr>
        <w:t>Sync</w:t>
      </w:r>
      <w:proofErr w:type="spellEnd"/>
      <w:r w:rsidR="00C7725F" w:rsidRPr="00452AF0">
        <w:rPr>
          <w:rFonts w:cs="Arial"/>
          <w:spacing w:val="2"/>
          <w:lang w:val="en-US"/>
        </w:rPr>
        <w:t>:</w:t>
      </w:r>
      <w:r w:rsidRPr="00452AF0">
        <w:rPr>
          <w:rFonts w:cs="Arial"/>
          <w:spacing w:val="2"/>
          <w:vertAlign w:val="subscript"/>
          <w:lang w:val="en-US"/>
        </w:rPr>
        <w:t xml:space="preserve"> </w:t>
      </w:r>
      <w:r w:rsidRPr="00452AF0">
        <w:rPr>
          <w:rFonts w:cs="Arial"/>
          <w:spacing w:val="2"/>
          <w:lang w:val="en-US"/>
        </w:rPr>
        <w:t>Cell Phase Sync = 3 µs</w:t>
      </w:r>
    </w:p>
    <w:p w14:paraId="4FB6C27F" w14:textId="420CFB92" w:rsidR="00672D43" w:rsidRPr="00452AF0" w:rsidRDefault="00672D43" w:rsidP="00452AF0">
      <w:pPr>
        <w:pStyle w:val="ListParagraph"/>
        <w:numPr>
          <w:ilvl w:val="0"/>
          <w:numId w:val="10"/>
        </w:numPr>
        <w:rPr>
          <w:rFonts w:cs="Arial"/>
          <w:spacing w:val="2"/>
          <w:lang w:val="en-US"/>
        </w:rPr>
      </w:pPr>
      <w:proofErr w:type="spellStart"/>
      <w:r w:rsidRPr="00452AF0">
        <w:rPr>
          <w:rFonts w:cs="Arial"/>
          <w:spacing w:val="2"/>
          <w:lang w:val="en-US"/>
        </w:rPr>
        <w:t>T</w:t>
      </w:r>
      <w:r w:rsidRPr="00452AF0">
        <w:rPr>
          <w:rFonts w:cs="Arial"/>
          <w:spacing w:val="2"/>
          <w:vertAlign w:val="subscript"/>
          <w:lang w:val="en-US"/>
        </w:rPr>
        <w:t>prop_cell</w:t>
      </w:r>
      <w:proofErr w:type="spellEnd"/>
      <w:r w:rsidRPr="00452AF0">
        <w:rPr>
          <w:rFonts w:cs="Arial"/>
          <w:spacing w:val="2"/>
          <w:vertAlign w:val="subscript"/>
          <w:lang w:val="en-US"/>
        </w:rPr>
        <w:t xml:space="preserve"> edge</w:t>
      </w:r>
      <w:r w:rsidR="00C7725F" w:rsidRPr="00452AF0">
        <w:rPr>
          <w:rFonts w:cs="Arial"/>
          <w:spacing w:val="2"/>
          <w:lang w:val="en-US"/>
        </w:rPr>
        <w:t>:</w:t>
      </w:r>
      <w:r w:rsidR="002218A4" w:rsidRPr="00452AF0">
        <w:rPr>
          <w:rFonts w:cs="Arial"/>
          <w:spacing w:val="2"/>
          <w:lang w:val="en-US"/>
        </w:rPr>
        <w:t xml:space="preserve"> </w:t>
      </w:r>
      <w:r w:rsidR="00290B8C" w:rsidRPr="00452AF0">
        <w:rPr>
          <w:rFonts w:cs="Arial"/>
          <w:spacing w:val="2"/>
          <w:lang w:val="en-US"/>
        </w:rPr>
        <w:t>The time to traverse</w:t>
      </w:r>
      <w:r w:rsidR="00983389" w:rsidRPr="00452AF0">
        <w:rPr>
          <w:rFonts w:cs="Arial"/>
          <w:spacing w:val="2"/>
          <w:lang w:val="en-US"/>
        </w:rPr>
        <w:t xml:space="preserve"> the cell</w:t>
      </w:r>
      <w:r w:rsidR="00542321" w:rsidRPr="00452AF0">
        <w:rPr>
          <w:rFonts w:cs="Arial"/>
          <w:spacing w:val="2"/>
          <w:lang w:val="en-US"/>
        </w:rPr>
        <w:t xml:space="preserve">, for the </w:t>
      </w:r>
      <w:r w:rsidR="008D47A7" w:rsidRPr="00452AF0">
        <w:rPr>
          <w:rFonts w:cs="Arial"/>
          <w:spacing w:val="2"/>
          <w:lang w:val="en-US"/>
        </w:rPr>
        <w:t xml:space="preserve">longest distance between the BS site and </w:t>
      </w:r>
      <w:r w:rsidR="001D36D0" w:rsidRPr="00452AF0">
        <w:rPr>
          <w:rFonts w:cs="Arial"/>
          <w:spacing w:val="2"/>
          <w:lang w:val="en-US"/>
        </w:rPr>
        <w:t>any UE at the far away cell border.</w:t>
      </w:r>
    </w:p>
    <w:p w14:paraId="2D3C7038" w14:textId="2508D956" w:rsidR="00D11643" w:rsidRDefault="000E1789" w:rsidP="00672D43">
      <w:pPr>
        <w:ind w:left="284"/>
        <w:rPr>
          <w:lang w:val="en-US"/>
        </w:rPr>
      </w:pPr>
      <w:r w:rsidRPr="007347DD">
        <w:rPr>
          <w:lang w:val="en-US"/>
        </w:rPr>
        <w:object w:dxaOrig="13215" w:dyaOrig="7066" w14:anchorId="5C7F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59.2pt" o:ole="">
            <v:imagedata r:id="rId12" o:title=""/>
          </v:shape>
          <o:OLEObject Type="Embed" ProgID="Visio.Drawing.15" ShapeID="_x0000_i1025" DrawAspect="Content" ObjectID="_1738160375" r:id="rId13"/>
        </w:object>
      </w:r>
    </w:p>
    <w:p w14:paraId="6A4131CE" w14:textId="1412A701" w:rsidR="000E1789" w:rsidRPr="000E1789" w:rsidRDefault="000E1789" w:rsidP="000E1789">
      <w:pPr>
        <w:pStyle w:val="TF"/>
      </w:pPr>
      <w:r>
        <w:t xml:space="preserve">Figure 3: </w:t>
      </w:r>
      <w:r w:rsidR="00CB2233" w:rsidRPr="00CB2233">
        <w:t>BS-to-BS interference distance</w:t>
      </w:r>
    </w:p>
    <w:p w14:paraId="0FE1CF85" w14:textId="46675D50" w:rsidR="00B239FE" w:rsidRPr="00135D03" w:rsidRDefault="00C049D7" w:rsidP="00D2154D">
      <w:pPr>
        <w:rPr>
          <w:rFonts w:cs="Arial"/>
          <w:spacing w:val="2"/>
          <w:lang w:val="en-US"/>
        </w:rPr>
      </w:pPr>
      <w:r>
        <w:rPr>
          <w:lang w:val="en-US"/>
        </w:rPr>
        <w:t xml:space="preserve">In our case ISD of up to 200 km results in a </w:t>
      </w:r>
      <w:proofErr w:type="spellStart"/>
      <w:r w:rsidRPr="007347DD">
        <w:rPr>
          <w:rFonts w:cs="Arial"/>
          <w:spacing w:val="2"/>
          <w:lang w:val="en-US"/>
        </w:rPr>
        <w:t>T</w:t>
      </w:r>
      <w:r w:rsidRPr="007347DD">
        <w:rPr>
          <w:rFonts w:cs="Arial"/>
          <w:spacing w:val="2"/>
          <w:vertAlign w:val="subscript"/>
          <w:lang w:val="en-US"/>
        </w:rPr>
        <w:t>prop_cell</w:t>
      </w:r>
      <w:proofErr w:type="spellEnd"/>
      <w:r w:rsidRPr="007347DD">
        <w:rPr>
          <w:rFonts w:cs="Arial"/>
          <w:spacing w:val="2"/>
          <w:vertAlign w:val="subscript"/>
          <w:lang w:val="en-US"/>
        </w:rPr>
        <w:t xml:space="preserve"> edge</w:t>
      </w:r>
      <w:r>
        <w:rPr>
          <w:rFonts w:cs="Arial"/>
          <w:spacing w:val="2"/>
          <w:vertAlign w:val="subscript"/>
          <w:lang w:val="en-US"/>
        </w:rPr>
        <w:t xml:space="preserve"> </w:t>
      </w:r>
      <w:r w:rsidR="00145447">
        <w:rPr>
          <w:rFonts w:cs="Arial"/>
          <w:spacing w:val="2"/>
          <w:lang w:val="en-US"/>
        </w:rPr>
        <w:t xml:space="preserve">time corresponding to a distance of </w:t>
      </w:r>
      <w:r w:rsidR="00CE035D">
        <w:rPr>
          <w:rFonts w:cs="Arial"/>
          <w:spacing w:val="2"/>
          <w:lang w:val="en-US"/>
        </w:rPr>
        <w:t xml:space="preserve">more than </w:t>
      </w:r>
      <w:r w:rsidR="002E2F78">
        <w:rPr>
          <w:rFonts w:cs="Arial"/>
          <w:spacing w:val="2"/>
          <w:lang w:val="en-US"/>
        </w:rPr>
        <w:t>200 km</w:t>
      </w:r>
      <w:r w:rsidR="00A34E9E">
        <w:rPr>
          <w:rFonts w:cs="Arial"/>
          <w:spacing w:val="2"/>
          <w:lang w:val="en-US"/>
        </w:rPr>
        <w:t>,</w:t>
      </w:r>
      <w:r w:rsidR="002E2F78">
        <w:rPr>
          <w:rFonts w:cs="Arial"/>
          <w:spacing w:val="2"/>
          <w:lang w:val="en-US"/>
        </w:rPr>
        <w:t xml:space="preserve"> for </w:t>
      </w:r>
      <w:r w:rsidR="002E2F78" w:rsidRPr="002E2F78">
        <w:rPr>
          <w:rFonts w:cs="Arial"/>
          <w:spacing w:val="2"/>
          <w:lang w:val="en-US"/>
        </w:rPr>
        <w:t>BS antenna</w:t>
      </w:r>
      <w:r w:rsidR="00923F88">
        <w:rPr>
          <w:rFonts w:cs="Arial"/>
          <w:spacing w:val="2"/>
          <w:lang w:val="en-US"/>
        </w:rPr>
        <w:t xml:space="preserve"> </w:t>
      </w:r>
      <w:r w:rsidR="002E2F78" w:rsidRPr="002E2F78">
        <w:rPr>
          <w:rFonts w:cs="Arial"/>
          <w:spacing w:val="2"/>
          <w:lang w:val="en-US"/>
        </w:rPr>
        <w:t>using beams towards the horizon</w:t>
      </w:r>
      <w:r w:rsidR="00C818D1">
        <w:rPr>
          <w:rFonts w:cs="Arial"/>
          <w:spacing w:val="2"/>
          <w:lang w:val="en-US"/>
        </w:rPr>
        <w:t xml:space="preserve"> (Figure 1)</w:t>
      </w:r>
      <w:r w:rsidR="001D2CC0">
        <w:rPr>
          <w:rFonts w:cs="Arial"/>
          <w:spacing w:val="2"/>
          <w:lang w:val="en-US"/>
        </w:rPr>
        <w:t xml:space="preserve"> or </w:t>
      </w:r>
      <w:proofErr w:type="spellStart"/>
      <w:r w:rsidR="00923F88" w:rsidRPr="007347DD">
        <w:rPr>
          <w:rFonts w:cs="Arial"/>
          <w:spacing w:val="2"/>
          <w:lang w:val="en-US"/>
        </w:rPr>
        <w:t>T</w:t>
      </w:r>
      <w:r w:rsidR="00923F88" w:rsidRPr="007347DD">
        <w:rPr>
          <w:rFonts w:cs="Arial"/>
          <w:spacing w:val="2"/>
          <w:vertAlign w:val="subscript"/>
          <w:lang w:val="en-US"/>
        </w:rPr>
        <w:t>prop_cell</w:t>
      </w:r>
      <w:proofErr w:type="spellEnd"/>
      <w:r w:rsidR="00923F88" w:rsidRPr="007347DD">
        <w:rPr>
          <w:rFonts w:cs="Arial"/>
          <w:spacing w:val="2"/>
          <w:vertAlign w:val="subscript"/>
          <w:lang w:val="en-US"/>
        </w:rPr>
        <w:t xml:space="preserve"> edge</w:t>
      </w:r>
      <w:r w:rsidR="00923F88">
        <w:rPr>
          <w:rFonts w:cs="Arial"/>
          <w:spacing w:val="2"/>
          <w:lang w:val="en-US"/>
        </w:rPr>
        <w:t xml:space="preserve"> </w:t>
      </w:r>
      <w:r w:rsidR="0014066D">
        <w:rPr>
          <w:rFonts w:cs="Arial"/>
          <w:spacing w:val="2"/>
          <w:lang w:val="en-US"/>
        </w:rPr>
        <w:t>&gt;</w:t>
      </w:r>
      <w:r w:rsidR="00923F88">
        <w:rPr>
          <w:rFonts w:cs="Arial"/>
          <w:spacing w:val="2"/>
          <w:lang w:val="en-US"/>
        </w:rPr>
        <w:t xml:space="preserve"> </w:t>
      </w:r>
      <w:r w:rsidR="00300699">
        <w:rPr>
          <w:rFonts w:cs="Arial"/>
          <w:spacing w:val="2"/>
          <w:lang w:val="en-US"/>
        </w:rPr>
        <w:t xml:space="preserve">100 km in a linear deployment with </w:t>
      </w:r>
      <w:r w:rsidR="00300699" w:rsidRPr="00300699">
        <w:rPr>
          <w:rFonts w:cs="Arial"/>
          <w:spacing w:val="2"/>
          <w:lang w:val="en-US"/>
        </w:rPr>
        <w:t>ATG BS antenna pointing upwards</w:t>
      </w:r>
      <w:r w:rsidR="00005DB4">
        <w:rPr>
          <w:rFonts w:cs="Arial"/>
          <w:spacing w:val="2"/>
          <w:lang w:val="en-US"/>
        </w:rPr>
        <w:t xml:space="preserve"> </w:t>
      </w:r>
      <w:r w:rsidR="00A92102">
        <w:rPr>
          <w:rFonts w:cs="Arial"/>
          <w:spacing w:val="2"/>
          <w:lang w:val="en-US"/>
        </w:rPr>
        <w:t>(Figure 1). Finally</w:t>
      </w:r>
      <w:r w:rsidR="00D94519">
        <w:rPr>
          <w:rFonts w:cs="Arial"/>
          <w:spacing w:val="2"/>
          <w:lang w:val="en-US"/>
        </w:rPr>
        <w:t>,</w:t>
      </w:r>
      <w:r w:rsidR="00A92102">
        <w:rPr>
          <w:rFonts w:cs="Arial"/>
          <w:spacing w:val="2"/>
          <w:lang w:val="en-US"/>
        </w:rPr>
        <w:t xml:space="preserve"> </w:t>
      </w:r>
      <w:proofErr w:type="spellStart"/>
      <w:r w:rsidR="000A4A3D" w:rsidRPr="007347DD">
        <w:rPr>
          <w:rFonts w:cs="Arial"/>
          <w:spacing w:val="2"/>
          <w:lang w:val="en-US"/>
        </w:rPr>
        <w:t>T</w:t>
      </w:r>
      <w:r w:rsidR="000A4A3D" w:rsidRPr="007347DD">
        <w:rPr>
          <w:rFonts w:cs="Arial"/>
          <w:spacing w:val="2"/>
          <w:vertAlign w:val="subscript"/>
          <w:lang w:val="en-US"/>
        </w:rPr>
        <w:t>prop_cell</w:t>
      </w:r>
      <w:proofErr w:type="spellEnd"/>
      <w:r w:rsidR="000A4A3D" w:rsidRPr="007347DD">
        <w:rPr>
          <w:rFonts w:cs="Arial"/>
          <w:spacing w:val="2"/>
          <w:vertAlign w:val="subscript"/>
          <w:lang w:val="en-US"/>
        </w:rPr>
        <w:t xml:space="preserve"> edge</w:t>
      </w:r>
      <w:r w:rsidR="000A4A3D">
        <w:rPr>
          <w:rFonts w:cs="Arial"/>
          <w:spacing w:val="2"/>
          <w:lang w:val="en-US"/>
        </w:rPr>
        <w:t xml:space="preserve"> </w:t>
      </w:r>
      <w:r w:rsidR="0014066D">
        <w:rPr>
          <w:rFonts w:cs="Arial"/>
          <w:spacing w:val="2"/>
          <w:lang w:val="en-US"/>
        </w:rPr>
        <w:t>&gt;</w:t>
      </w:r>
      <w:r w:rsidR="000A4A3D">
        <w:rPr>
          <w:rFonts w:cs="Arial"/>
          <w:spacing w:val="2"/>
          <w:lang w:val="en-US"/>
        </w:rPr>
        <w:t xml:space="preserve"> </w:t>
      </w:r>
      <w:r w:rsidR="006A5D36">
        <w:rPr>
          <w:rFonts w:cs="Arial"/>
          <w:spacing w:val="2"/>
          <w:lang w:val="en-US"/>
        </w:rPr>
        <w:t>200</w:t>
      </w:r>
      <w:r w:rsidR="0014066D">
        <w:rPr>
          <w:rFonts w:cs="Arial"/>
          <w:spacing w:val="2"/>
          <w:lang w:val="en-US"/>
        </w:rPr>
        <w:t>*(2/3)</w:t>
      </w:r>
      <w:r w:rsidR="006A5D36">
        <w:rPr>
          <w:rFonts w:cs="Arial"/>
          <w:spacing w:val="2"/>
          <w:lang w:val="en-US"/>
        </w:rPr>
        <w:t xml:space="preserve"> km </w:t>
      </w:r>
      <w:r w:rsidR="00B239FE">
        <w:rPr>
          <w:spacing w:val="2"/>
          <w:lang w:val="en-US"/>
        </w:rPr>
        <w:t>&gt;</w:t>
      </w:r>
      <w:r w:rsidR="006A5D36">
        <w:rPr>
          <w:rFonts w:cs="Arial"/>
          <w:spacing w:val="2"/>
          <w:lang w:val="en-US"/>
        </w:rPr>
        <w:t xml:space="preserve"> </w:t>
      </w:r>
      <w:r w:rsidR="00B239FE">
        <w:rPr>
          <w:rFonts w:cs="Arial"/>
          <w:spacing w:val="2"/>
          <w:lang w:val="en-US"/>
        </w:rPr>
        <w:t>133 km</w:t>
      </w:r>
      <w:r w:rsidR="00AE023D">
        <w:rPr>
          <w:rFonts w:cs="Arial"/>
          <w:spacing w:val="2"/>
          <w:lang w:val="en-US"/>
        </w:rPr>
        <w:t xml:space="preserve"> for </w:t>
      </w:r>
      <w:r w:rsidR="00772808">
        <w:rPr>
          <w:rFonts w:cs="Arial"/>
          <w:spacing w:val="2"/>
          <w:lang w:val="en-US"/>
        </w:rPr>
        <w:t>hexagonal deployment</w:t>
      </w:r>
      <w:r w:rsidR="00A92102">
        <w:rPr>
          <w:rFonts w:cs="Arial"/>
          <w:spacing w:val="2"/>
          <w:lang w:val="en-US"/>
        </w:rPr>
        <w:t xml:space="preserve"> (Figure 3)</w:t>
      </w:r>
      <w:r w:rsidR="00B239FE">
        <w:rPr>
          <w:rFonts w:cs="Arial"/>
          <w:spacing w:val="2"/>
          <w:lang w:val="en-US"/>
        </w:rPr>
        <w:t>.</w:t>
      </w:r>
      <w:r w:rsidR="0097169C">
        <w:rPr>
          <w:rFonts w:cs="Arial"/>
          <w:spacing w:val="2"/>
          <w:lang w:val="en-US"/>
        </w:rPr>
        <w:t xml:space="preserve"> </w:t>
      </w:r>
      <w:r w:rsidR="00135D03">
        <w:rPr>
          <w:rFonts w:cs="Arial"/>
          <w:spacing w:val="2"/>
          <w:lang w:val="en-US"/>
        </w:rPr>
        <w:t xml:space="preserve">The GP is dimensioned using RTT = 2* </w:t>
      </w:r>
      <w:proofErr w:type="spellStart"/>
      <w:r w:rsidR="00135D03" w:rsidRPr="007347DD">
        <w:rPr>
          <w:rFonts w:cs="Arial"/>
          <w:spacing w:val="2"/>
          <w:lang w:val="en-US"/>
        </w:rPr>
        <w:t>T</w:t>
      </w:r>
      <w:r w:rsidR="00135D03" w:rsidRPr="007347DD">
        <w:rPr>
          <w:rFonts w:cs="Arial"/>
          <w:spacing w:val="2"/>
          <w:vertAlign w:val="subscript"/>
          <w:lang w:val="en-US"/>
        </w:rPr>
        <w:t>prop_cell</w:t>
      </w:r>
      <w:proofErr w:type="spellEnd"/>
      <w:r w:rsidR="00135D03" w:rsidRPr="007347DD">
        <w:rPr>
          <w:rFonts w:cs="Arial"/>
          <w:spacing w:val="2"/>
          <w:vertAlign w:val="subscript"/>
          <w:lang w:val="en-US"/>
        </w:rPr>
        <w:t xml:space="preserve"> edge</w:t>
      </w:r>
      <w:r w:rsidR="008231D4">
        <w:rPr>
          <w:rFonts w:cs="Arial"/>
          <w:spacing w:val="2"/>
          <w:vertAlign w:val="subscript"/>
          <w:lang w:val="en-US"/>
        </w:rPr>
        <w:t xml:space="preserve"> </w:t>
      </w:r>
      <w:r w:rsidR="008231D4">
        <w:rPr>
          <w:rFonts w:cs="Arial"/>
          <w:spacing w:val="2"/>
          <w:lang w:val="en-US"/>
        </w:rPr>
        <w:t>for all cases</w:t>
      </w:r>
      <w:r w:rsidR="00135D03">
        <w:rPr>
          <w:rFonts w:cs="Arial"/>
          <w:spacing w:val="2"/>
          <w:lang w:val="en-US"/>
        </w:rPr>
        <w:t>.</w:t>
      </w:r>
    </w:p>
    <w:p w14:paraId="55BCE4D7" w14:textId="7A373662" w:rsidR="001D36D0" w:rsidRPr="00C52C68" w:rsidRDefault="00B239FE" w:rsidP="00D2154D">
      <w:pPr>
        <w:rPr>
          <w:b/>
          <w:bCs/>
          <w:lang w:val="en-US"/>
        </w:rPr>
      </w:pPr>
      <w:r w:rsidRPr="00C52C68">
        <w:rPr>
          <w:b/>
          <w:bCs/>
          <w:lang w:eastAsia="ja-JP"/>
        </w:rPr>
        <w:t xml:space="preserve">Observation 2: </w:t>
      </w:r>
      <w:r w:rsidR="00C52C68" w:rsidRPr="00C52C68">
        <w:rPr>
          <w:b/>
          <w:bCs/>
          <w:lang w:eastAsia="ja-JP"/>
        </w:rPr>
        <w:t>The Guard</w:t>
      </w:r>
      <w:r w:rsidR="00930FD4">
        <w:rPr>
          <w:b/>
          <w:bCs/>
          <w:lang w:eastAsia="ja-JP"/>
        </w:rPr>
        <w:t xml:space="preserve"> P</w:t>
      </w:r>
      <w:r w:rsidR="00C52C68" w:rsidRPr="00C52C68">
        <w:rPr>
          <w:b/>
          <w:bCs/>
          <w:lang w:eastAsia="ja-JP"/>
        </w:rPr>
        <w:t xml:space="preserve">eriod, </w:t>
      </w:r>
      <w:r w:rsidR="00C52C68" w:rsidRPr="00C52C68">
        <w:rPr>
          <w:b/>
          <w:bCs/>
          <w:lang w:val="en-US"/>
        </w:rPr>
        <w:t>T</w:t>
      </w:r>
      <w:r w:rsidR="00C52C68" w:rsidRPr="00C52C68">
        <w:rPr>
          <w:b/>
          <w:bCs/>
          <w:vertAlign w:val="subscript"/>
          <w:lang w:val="en-US"/>
        </w:rPr>
        <w:t>GUARD</w:t>
      </w:r>
      <w:r w:rsidR="004E6C36">
        <w:rPr>
          <w:b/>
          <w:bCs/>
          <w:lang w:val="en-US"/>
        </w:rPr>
        <w:t xml:space="preserve"> &gt; </w:t>
      </w:r>
      <w:r w:rsidR="00472B41">
        <w:rPr>
          <w:b/>
          <w:bCs/>
          <w:lang w:val="en-US"/>
        </w:rPr>
        <w:t>1</w:t>
      </w:r>
      <w:r w:rsidR="008013BC">
        <w:rPr>
          <w:b/>
          <w:bCs/>
          <w:lang w:val="en-US"/>
        </w:rPr>
        <w:t xml:space="preserve">.33 </w:t>
      </w:r>
      <w:proofErr w:type="spellStart"/>
      <w:r w:rsidR="008013BC">
        <w:rPr>
          <w:b/>
          <w:bCs/>
          <w:lang w:val="en-US"/>
        </w:rPr>
        <w:t>ms</w:t>
      </w:r>
      <w:proofErr w:type="spellEnd"/>
      <w:r w:rsidR="00472B41">
        <w:rPr>
          <w:b/>
          <w:bCs/>
          <w:lang w:val="en-US"/>
        </w:rPr>
        <w:t xml:space="preserve"> for a cell radius of 200 km.</w:t>
      </w:r>
    </w:p>
    <w:p w14:paraId="6152ABBF" w14:textId="32C87A3A" w:rsidR="0082076C" w:rsidRDefault="0082076C" w:rsidP="0082076C">
      <w:pPr>
        <w:pStyle w:val="Heading2"/>
        <w:rPr>
          <w:lang w:val="en-US"/>
        </w:rPr>
      </w:pPr>
      <w:r>
        <w:rPr>
          <w:lang w:val="en-US"/>
        </w:rPr>
        <w:t>2.</w:t>
      </w:r>
      <w:r w:rsidR="00896866">
        <w:rPr>
          <w:lang w:val="en-US"/>
        </w:rPr>
        <w:t>1.</w:t>
      </w:r>
      <w:r>
        <w:rPr>
          <w:lang w:val="en-US"/>
        </w:rPr>
        <w:t>2 Large TDD cells</w:t>
      </w:r>
    </w:p>
    <w:p w14:paraId="40257C7E" w14:textId="76357168" w:rsidR="00AA6D53" w:rsidRPr="00AA6D53" w:rsidRDefault="005F4FE2" w:rsidP="00AA6D53">
      <w:pPr>
        <w:rPr>
          <w:lang w:val="en-US"/>
        </w:rPr>
      </w:pPr>
      <w:r>
        <w:rPr>
          <w:lang w:val="en-US"/>
        </w:rPr>
        <w:t xml:space="preserve">The Guard </w:t>
      </w:r>
      <w:r w:rsidR="00D23BAB">
        <w:rPr>
          <w:lang w:val="en-US"/>
        </w:rPr>
        <w:t>P</w:t>
      </w:r>
      <w:r>
        <w:rPr>
          <w:lang w:val="en-US"/>
        </w:rPr>
        <w:t xml:space="preserve">eriod in TDD normally has to consider the </w:t>
      </w:r>
      <w:r w:rsidR="00FF2F8C">
        <w:rPr>
          <w:rFonts w:cs="Arial"/>
          <w:spacing w:val="2"/>
          <w:lang w:val="en-US"/>
        </w:rPr>
        <w:t xml:space="preserve">RTT = 2* </w:t>
      </w:r>
      <w:proofErr w:type="spellStart"/>
      <w:r w:rsidR="00FF2F8C" w:rsidRPr="007347DD">
        <w:rPr>
          <w:rFonts w:cs="Arial"/>
          <w:spacing w:val="2"/>
          <w:lang w:val="en-US"/>
        </w:rPr>
        <w:t>T</w:t>
      </w:r>
      <w:r w:rsidR="00FF2F8C" w:rsidRPr="007347DD">
        <w:rPr>
          <w:rFonts w:cs="Arial"/>
          <w:spacing w:val="2"/>
          <w:vertAlign w:val="subscript"/>
          <w:lang w:val="en-US"/>
        </w:rPr>
        <w:t>prop_cell</w:t>
      </w:r>
      <w:proofErr w:type="spellEnd"/>
      <w:r w:rsidR="00FF2F8C" w:rsidRPr="007347DD">
        <w:rPr>
          <w:rFonts w:cs="Arial"/>
          <w:spacing w:val="2"/>
          <w:vertAlign w:val="subscript"/>
          <w:lang w:val="en-US"/>
        </w:rPr>
        <w:t xml:space="preserve"> edge</w:t>
      </w:r>
      <w:r w:rsidR="00FF2F8C">
        <w:rPr>
          <w:rFonts w:cs="Arial"/>
          <w:spacing w:val="2"/>
          <w:vertAlign w:val="subscript"/>
          <w:lang w:val="en-US"/>
        </w:rPr>
        <w:t xml:space="preserve"> </w:t>
      </w:r>
      <w:r w:rsidR="00FF2F8C">
        <w:rPr>
          <w:rFonts w:cs="Arial"/>
          <w:spacing w:val="2"/>
          <w:lang w:val="en-US"/>
        </w:rPr>
        <w:t>to make room for the UE</w:t>
      </w:r>
      <w:r w:rsidR="00FD0E98">
        <w:rPr>
          <w:rFonts w:cs="Arial"/>
          <w:spacing w:val="2"/>
          <w:lang w:val="en-US"/>
        </w:rPr>
        <w:t xml:space="preserve"> moving UL transmission time</w:t>
      </w:r>
      <w:r w:rsidR="00D13A35">
        <w:rPr>
          <w:rFonts w:cs="Arial"/>
          <w:spacing w:val="2"/>
          <w:lang w:val="en-US"/>
        </w:rPr>
        <w:t>,</w:t>
      </w:r>
      <w:r w:rsidR="00FD0E98">
        <w:rPr>
          <w:rFonts w:cs="Arial"/>
          <w:spacing w:val="2"/>
          <w:lang w:val="en-US"/>
        </w:rPr>
        <w:t xml:space="preserve"> to an earlier point in time</w:t>
      </w:r>
      <w:r w:rsidR="00D13A35">
        <w:rPr>
          <w:rFonts w:cs="Arial"/>
          <w:spacing w:val="2"/>
          <w:lang w:val="en-US"/>
        </w:rPr>
        <w:t>,</w:t>
      </w:r>
      <w:r w:rsidR="00292F18">
        <w:rPr>
          <w:rFonts w:cs="Arial"/>
          <w:spacing w:val="2"/>
          <w:lang w:val="en-US"/>
        </w:rPr>
        <w:t xml:space="preserve"> based on DL timing reference and TA command</w:t>
      </w:r>
      <w:r w:rsidR="00FD0E98">
        <w:rPr>
          <w:rFonts w:cs="Arial"/>
          <w:spacing w:val="2"/>
          <w:lang w:val="en-US"/>
        </w:rPr>
        <w:t>, when it moves further away from the BS.</w:t>
      </w:r>
      <w:r>
        <w:rPr>
          <w:lang w:val="en-US"/>
        </w:rPr>
        <w:t xml:space="preserve"> </w:t>
      </w:r>
      <w:r w:rsidR="00610B5C">
        <w:rPr>
          <w:lang w:val="en-US"/>
        </w:rPr>
        <w:t>This means that we have to set aside a Guard Period (GP) each time we switch</w:t>
      </w:r>
      <w:r w:rsidR="005E7F30">
        <w:rPr>
          <w:lang w:val="en-US"/>
        </w:rPr>
        <w:t xml:space="preserve"> from DL to UL.</w:t>
      </w:r>
      <w:r w:rsidR="008231D4">
        <w:rPr>
          <w:lang w:val="en-US"/>
        </w:rPr>
        <w:t xml:space="preserve"> This is shown in Figure 4.</w:t>
      </w:r>
    </w:p>
    <w:p w14:paraId="76B0379E" w14:textId="27695C13" w:rsidR="0082076C" w:rsidRDefault="00EF2B6B" w:rsidP="00D2154D">
      <w:pPr>
        <w:rPr>
          <w:lang w:val="en-US"/>
        </w:rPr>
      </w:pPr>
      <w:r>
        <w:rPr>
          <w:noProof/>
          <w:lang w:val="en-US"/>
        </w:rPr>
        <w:drawing>
          <wp:inline distT="0" distB="0" distL="0" distR="0" wp14:anchorId="4F458A97" wp14:editId="1DD4A364">
            <wp:extent cx="4992370" cy="2044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067" cy="2049311"/>
                    </a:xfrm>
                    <a:prstGeom prst="rect">
                      <a:avLst/>
                    </a:prstGeom>
                    <a:noFill/>
                  </pic:spPr>
                </pic:pic>
              </a:graphicData>
            </a:graphic>
          </wp:inline>
        </w:drawing>
      </w:r>
    </w:p>
    <w:p w14:paraId="11F1B5FE" w14:textId="56D07BC6" w:rsidR="00675FCD" w:rsidRPr="000E1789" w:rsidRDefault="00675FCD" w:rsidP="00675FCD">
      <w:pPr>
        <w:pStyle w:val="TF"/>
      </w:pPr>
      <w:r>
        <w:t>Figure 4: Guard Period in TDD cells</w:t>
      </w:r>
    </w:p>
    <w:p w14:paraId="373CC4C5" w14:textId="3447F723" w:rsidR="00150680" w:rsidRDefault="00150680" w:rsidP="00150680">
      <w:pPr>
        <w:rPr>
          <w:b/>
          <w:bCs/>
          <w:lang w:eastAsia="ja-JP"/>
        </w:rPr>
      </w:pPr>
      <w:r w:rsidRPr="00C52C68">
        <w:rPr>
          <w:b/>
          <w:bCs/>
          <w:lang w:eastAsia="ja-JP"/>
        </w:rPr>
        <w:t xml:space="preserve">Observation </w:t>
      </w:r>
      <w:r w:rsidR="00881F4F">
        <w:rPr>
          <w:b/>
          <w:bCs/>
          <w:lang w:eastAsia="ja-JP"/>
        </w:rPr>
        <w:t>3</w:t>
      </w:r>
      <w:r w:rsidRPr="00C52C68">
        <w:rPr>
          <w:b/>
          <w:bCs/>
          <w:lang w:eastAsia="ja-JP"/>
        </w:rPr>
        <w:t>:</w:t>
      </w:r>
      <w:r>
        <w:rPr>
          <w:b/>
          <w:bCs/>
          <w:lang w:eastAsia="ja-JP"/>
        </w:rPr>
        <w:t xml:space="preserve"> Large TDD cells are inefficient du</w:t>
      </w:r>
      <w:r w:rsidR="008F0377">
        <w:rPr>
          <w:b/>
          <w:bCs/>
          <w:lang w:eastAsia="ja-JP"/>
        </w:rPr>
        <w:t>e</w:t>
      </w:r>
      <w:r>
        <w:rPr>
          <w:b/>
          <w:bCs/>
          <w:lang w:eastAsia="ja-JP"/>
        </w:rPr>
        <w:t xml:space="preserve"> to large GP, if we switch often.</w:t>
      </w:r>
    </w:p>
    <w:p w14:paraId="5F1B5946" w14:textId="473B4212" w:rsidR="00150680" w:rsidRDefault="007F4A99" w:rsidP="00D2154D">
      <w:pPr>
        <w:rPr>
          <w:lang w:val="en-US"/>
        </w:rPr>
      </w:pPr>
      <w:r>
        <w:rPr>
          <w:lang w:val="en-US"/>
        </w:rPr>
        <w:t>TDD net</w:t>
      </w:r>
      <w:r w:rsidR="00FC08B0">
        <w:rPr>
          <w:lang w:val="en-US"/>
        </w:rPr>
        <w:t xml:space="preserve">works are nominally all synchronized to </w:t>
      </w:r>
      <w:r w:rsidR="0010649B">
        <w:rPr>
          <w:lang w:val="en-US"/>
        </w:rPr>
        <w:t xml:space="preserve">the </w:t>
      </w:r>
      <w:r w:rsidR="00FC08B0">
        <w:rPr>
          <w:lang w:val="en-US"/>
        </w:rPr>
        <w:t xml:space="preserve">same source and carry the same UL/DL configuration and periodicity. </w:t>
      </w:r>
      <w:r w:rsidR="00445C54">
        <w:rPr>
          <w:lang w:val="en-US"/>
        </w:rPr>
        <w:t xml:space="preserve">This is an issue for a TDD network with large cells, coexisting with a network with </w:t>
      </w:r>
      <w:r w:rsidR="004F03B1">
        <w:rPr>
          <w:lang w:val="en-US"/>
        </w:rPr>
        <w:t>normal</w:t>
      </w:r>
      <w:r w:rsidR="00445C54">
        <w:rPr>
          <w:lang w:val="en-US"/>
        </w:rPr>
        <w:t xml:space="preserve"> to small cells.</w:t>
      </w:r>
    </w:p>
    <w:p w14:paraId="52BBF233" w14:textId="7E94952E" w:rsidR="004F03B1" w:rsidRDefault="004F03B1" w:rsidP="00D2154D">
      <w:pPr>
        <w:rPr>
          <w:b/>
          <w:bCs/>
          <w:lang w:eastAsia="ja-JP"/>
        </w:rPr>
      </w:pPr>
      <w:r>
        <w:rPr>
          <w:b/>
          <w:bCs/>
          <w:lang w:eastAsia="ja-JP"/>
        </w:rPr>
        <w:lastRenderedPageBreak/>
        <w:t xml:space="preserve">Observation </w:t>
      </w:r>
      <w:r w:rsidR="00881F4F">
        <w:rPr>
          <w:b/>
          <w:bCs/>
          <w:lang w:eastAsia="ja-JP"/>
        </w:rPr>
        <w:t>4</w:t>
      </w:r>
      <w:r>
        <w:rPr>
          <w:b/>
          <w:bCs/>
          <w:lang w:eastAsia="ja-JP"/>
        </w:rPr>
        <w:t>: The largest cell radius will define the GP for all TDD cells and UL/DL configuration has to be the same for all coexisting</w:t>
      </w:r>
      <w:r w:rsidR="004F2D74">
        <w:rPr>
          <w:b/>
          <w:bCs/>
          <w:lang w:eastAsia="ja-JP"/>
        </w:rPr>
        <w:t xml:space="preserve"> (overlapping) TDD networks.</w:t>
      </w:r>
    </w:p>
    <w:p w14:paraId="284BED37" w14:textId="0BB0CB8E" w:rsidR="00640D05" w:rsidRDefault="00640D05" w:rsidP="00640D05">
      <w:pPr>
        <w:pStyle w:val="Heading2"/>
        <w:rPr>
          <w:lang w:val="en-US"/>
        </w:rPr>
      </w:pPr>
      <w:r>
        <w:rPr>
          <w:lang w:val="en-US"/>
        </w:rPr>
        <w:t>2.</w:t>
      </w:r>
      <w:r w:rsidR="00896866">
        <w:rPr>
          <w:lang w:val="en-US"/>
        </w:rPr>
        <w:t>1.</w:t>
      </w:r>
      <w:r>
        <w:rPr>
          <w:lang w:val="en-US"/>
        </w:rPr>
        <w:t>3 Large ATG cells and potential</w:t>
      </w:r>
      <w:r w:rsidR="00CA22A6">
        <w:rPr>
          <w:lang w:val="en-US"/>
        </w:rPr>
        <w:t xml:space="preserve"> remedies</w:t>
      </w:r>
    </w:p>
    <w:p w14:paraId="5B29FAB3" w14:textId="7DD2E359" w:rsidR="00273DDD" w:rsidRDefault="00C35F1F" w:rsidP="00D2154D">
      <w:pPr>
        <w:rPr>
          <w:lang w:val="en-US"/>
        </w:rPr>
      </w:pPr>
      <w:r>
        <w:rPr>
          <w:lang w:val="en-US"/>
        </w:rPr>
        <w:t>Potential remedies</w:t>
      </w:r>
      <w:r w:rsidR="00486F5F">
        <w:rPr>
          <w:lang w:val="en-US"/>
        </w:rPr>
        <w:t xml:space="preserve"> to solve the fact that we have large GP</w:t>
      </w:r>
      <w:r w:rsidR="009E41DD">
        <w:rPr>
          <w:lang w:val="en-US"/>
        </w:rPr>
        <w:t xml:space="preserve"> for large TDD </w:t>
      </w:r>
      <w:proofErr w:type="gramStart"/>
      <w:r w:rsidR="009E41DD">
        <w:rPr>
          <w:lang w:val="en-US"/>
        </w:rPr>
        <w:t>cells</w:t>
      </w:r>
      <w:proofErr w:type="gramEnd"/>
      <w:r w:rsidR="009E41DD">
        <w:rPr>
          <w:lang w:val="en-US"/>
        </w:rPr>
        <w:t xml:space="preserve"> and that this GP has to be the same across coexisting networks</w:t>
      </w:r>
      <w:r w:rsidR="00423DF2">
        <w:rPr>
          <w:lang w:val="en-US"/>
        </w:rPr>
        <w:t xml:space="preserve"> include:</w:t>
      </w:r>
    </w:p>
    <w:p w14:paraId="054D8281" w14:textId="7FCCC7D4" w:rsidR="00273DDD" w:rsidRPr="00273DDD" w:rsidRDefault="00981345" w:rsidP="00273DDD">
      <w:pPr>
        <w:numPr>
          <w:ilvl w:val="0"/>
          <w:numId w:val="8"/>
        </w:numPr>
        <w:rPr>
          <w:lang w:val="en-US"/>
        </w:rPr>
      </w:pPr>
      <w:r>
        <w:rPr>
          <w:lang w:val="en-US"/>
        </w:rPr>
        <w:t xml:space="preserve">FDD: </w:t>
      </w:r>
      <w:r w:rsidR="005E51F9">
        <w:rPr>
          <w:lang w:val="en-US"/>
        </w:rPr>
        <w:t xml:space="preserve">An </w:t>
      </w:r>
      <w:r w:rsidR="00D2154D" w:rsidRPr="00273DDD">
        <w:rPr>
          <w:lang w:val="en-US"/>
        </w:rPr>
        <w:t>FDD</w:t>
      </w:r>
      <w:r w:rsidR="005E51F9">
        <w:rPr>
          <w:lang w:val="en-US"/>
        </w:rPr>
        <w:t>-network</w:t>
      </w:r>
      <w:r w:rsidR="00D2154D" w:rsidRPr="00273DDD">
        <w:rPr>
          <w:lang w:val="en-US"/>
        </w:rPr>
        <w:t xml:space="preserve"> </w:t>
      </w:r>
      <w:r w:rsidR="005E51F9">
        <w:rPr>
          <w:lang w:val="en-US"/>
        </w:rPr>
        <w:t>will always avoid the need for GP altogether</w:t>
      </w:r>
      <w:r w:rsidR="00C35F1F">
        <w:rPr>
          <w:lang w:val="en-US"/>
        </w:rPr>
        <w:t>.</w:t>
      </w:r>
      <w:r w:rsidR="00423DF2">
        <w:rPr>
          <w:lang w:val="en-US"/>
        </w:rPr>
        <w:t xml:space="preserve"> FDD </w:t>
      </w:r>
      <w:r w:rsidR="005E51F9">
        <w:rPr>
          <w:lang w:val="en-US"/>
        </w:rPr>
        <w:t>i</w:t>
      </w:r>
      <w:r w:rsidR="00423DF2">
        <w:rPr>
          <w:lang w:val="en-US"/>
        </w:rPr>
        <w:t>s full duplex at the expense of separate UL and DL bands.</w:t>
      </w:r>
      <w:r w:rsidR="00C35F1F">
        <w:rPr>
          <w:lang w:val="en-US"/>
        </w:rPr>
        <w:t xml:space="preserve"> </w:t>
      </w:r>
      <w:r w:rsidR="00327EBD">
        <w:rPr>
          <w:lang w:val="en-US"/>
        </w:rPr>
        <w:t xml:space="preserve">This will not solve issue for TDD band like </w:t>
      </w:r>
      <w:r w:rsidR="00A56A48">
        <w:rPr>
          <w:lang w:val="en-US"/>
        </w:rPr>
        <w:t xml:space="preserve">ATG WID model band in </w:t>
      </w:r>
      <w:r w:rsidR="00A56A48" w:rsidRPr="00A56A48">
        <w:rPr>
          <w:lang w:val="en-US"/>
        </w:rPr>
        <w:t>4.8</w:t>
      </w:r>
      <w:r w:rsidR="00A56A48">
        <w:rPr>
          <w:lang w:val="en-US"/>
        </w:rPr>
        <w:t xml:space="preserve"> </w:t>
      </w:r>
      <w:r w:rsidR="00A56A48" w:rsidRPr="00A56A48">
        <w:rPr>
          <w:lang w:val="en-US"/>
        </w:rPr>
        <w:t>GHz</w:t>
      </w:r>
      <w:r w:rsidR="00A56A48">
        <w:rPr>
          <w:lang w:val="en-US"/>
        </w:rPr>
        <w:t>.</w:t>
      </w:r>
    </w:p>
    <w:p w14:paraId="19A4BF8E" w14:textId="6E1F5FA6" w:rsidR="00273DDD" w:rsidRPr="00273DDD" w:rsidRDefault="00D2154D" w:rsidP="00273DDD">
      <w:pPr>
        <w:numPr>
          <w:ilvl w:val="0"/>
          <w:numId w:val="8"/>
        </w:numPr>
        <w:rPr>
          <w:lang w:val="en-US"/>
        </w:rPr>
      </w:pPr>
      <w:r w:rsidRPr="00273DDD">
        <w:rPr>
          <w:lang w:val="en-US"/>
        </w:rPr>
        <w:t xml:space="preserve">TDD ATG </w:t>
      </w:r>
      <w:r w:rsidR="00981345">
        <w:rPr>
          <w:lang w:val="en-US"/>
        </w:rPr>
        <w:t>stand alone:</w:t>
      </w:r>
      <w:r w:rsidR="005D18F9">
        <w:rPr>
          <w:lang w:val="en-US"/>
        </w:rPr>
        <w:t xml:space="preserve"> A stand-alone ATG network which does not coexist can switch </w:t>
      </w:r>
      <w:r w:rsidR="00262ABE">
        <w:rPr>
          <w:lang w:val="en-US"/>
        </w:rPr>
        <w:t xml:space="preserve">UL and </w:t>
      </w:r>
      <w:r w:rsidR="00603E91">
        <w:rPr>
          <w:lang w:val="en-US"/>
        </w:rPr>
        <w:t xml:space="preserve">DL direction less often. If we switch infrequently, then the large GP overhead is </w:t>
      </w:r>
      <w:r w:rsidR="004F01AA">
        <w:rPr>
          <w:lang w:val="en-US"/>
        </w:rPr>
        <w:t>not so large, on average. However</w:t>
      </w:r>
      <w:r w:rsidR="00DA199A">
        <w:rPr>
          <w:lang w:val="en-US"/>
        </w:rPr>
        <w:t>,</w:t>
      </w:r>
      <w:r w:rsidR="004F01AA">
        <w:rPr>
          <w:lang w:val="en-US"/>
        </w:rPr>
        <w:t xml:space="preserve"> we will </w:t>
      </w:r>
      <w:r w:rsidR="000F7246">
        <w:rPr>
          <w:lang w:val="en-US"/>
        </w:rPr>
        <w:t>lose</w:t>
      </w:r>
      <w:r w:rsidR="004F01AA">
        <w:rPr>
          <w:lang w:val="en-US"/>
        </w:rPr>
        <w:t xml:space="preserve"> latency due to infrequent TDD switching</w:t>
      </w:r>
      <w:r w:rsidR="00062956">
        <w:rPr>
          <w:lang w:val="en-US"/>
        </w:rPr>
        <w:t>.</w:t>
      </w:r>
    </w:p>
    <w:p w14:paraId="650D08BC" w14:textId="23041982" w:rsidR="00126B17" w:rsidRDefault="00126B17" w:rsidP="00273DDD">
      <w:pPr>
        <w:numPr>
          <w:ilvl w:val="0"/>
          <w:numId w:val="8"/>
        </w:numPr>
        <w:rPr>
          <w:lang w:val="en-US"/>
        </w:rPr>
      </w:pPr>
      <w:r>
        <w:rPr>
          <w:lang w:val="en-US"/>
        </w:rPr>
        <w:t>TDD ATG coexisting with regular terrestrial</w:t>
      </w:r>
      <w:r w:rsidR="00112AD7">
        <w:rPr>
          <w:lang w:val="en-US"/>
        </w:rPr>
        <w:t xml:space="preserve"> (TN)</w:t>
      </w:r>
      <w:r>
        <w:rPr>
          <w:lang w:val="en-US"/>
        </w:rPr>
        <w:t xml:space="preserve"> TDD: </w:t>
      </w:r>
      <w:r w:rsidR="00112AD7">
        <w:rPr>
          <w:lang w:val="en-US"/>
        </w:rPr>
        <w:t xml:space="preserve">ATG </w:t>
      </w:r>
      <w:r w:rsidR="002C648E">
        <w:rPr>
          <w:lang w:val="en-US"/>
        </w:rPr>
        <w:t xml:space="preserve">TDD and TN TDD synchronize to common source and coordinate UL and DL configurations </w:t>
      </w:r>
      <w:r w:rsidR="0018668A">
        <w:rPr>
          <w:lang w:val="en-US"/>
        </w:rPr>
        <w:t xml:space="preserve">and the </w:t>
      </w:r>
      <w:r w:rsidR="00157DBB">
        <w:rPr>
          <w:lang w:val="en-US"/>
        </w:rPr>
        <w:t>ATG TDD network surrender DL slots</w:t>
      </w:r>
      <w:r w:rsidR="00034220">
        <w:rPr>
          <w:lang w:val="en-US"/>
        </w:rPr>
        <w:t xml:space="preserve"> (x)</w:t>
      </w:r>
      <w:r w:rsidR="00157DBB">
        <w:rPr>
          <w:lang w:val="en-US"/>
        </w:rPr>
        <w:t xml:space="preserve"> to the TN TDD network:</w:t>
      </w:r>
    </w:p>
    <w:p w14:paraId="05D8C0BE" w14:textId="14C74E5E" w:rsidR="00182A4B" w:rsidRPr="00FF1224" w:rsidRDefault="00064D3F" w:rsidP="00495068">
      <w:pPr>
        <w:ind w:left="852"/>
        <w:rPr>
          <w:sz w:val="18"/>
          <w:szCs w:val="18"/>
          <w:lang w:val="en-US"/>
        </w:rPr>
      </w:pPr>
      <w:r>
        <w:rPr>
          <w:sz w:val="18"/>
          <w:szCs w:val="18"/>
          <w:lang w:val="en-US"/>
        </w:rPr>
        <w:t xml:space="preserve">ATG: </w:t>
      </w:r>
      <w:r w:rsidR="00CC3C70" w:rsidRPr="00FF1224">
        <w:rPr>
          <w:sz w:val="18"/>
          <w:szCs w:val="18"/>
          <w:lang w:val="en-US"/>
        </w:rPr>
        <w:t>DDDDDDDDDD</w:t>
      </w:r>
      <w:r w:rsidR="00FF1224" w:rsidRPr="00FF1224">
        <w:rPr>
          <w:sz w:val="18"/>
          <w:szCs w:val="18"/>
          <w:lang w:val="en-US"/>
        </w:rPr>
        <w:t>xxx</w:t>
      </w:r>
      <w:r w:rsidR="00CC3C70" w:rsidRPr="00FF1224">
        <w:rPr>
          <w:sz w:val="18"/>
          <w:szCs w:val="18"/>
          <w:lang w:val="en-US"/>
        </w:rPr>
        <w:t>DDDDDDDDDD</w:t>
      </w:r>
      <w:r w:rsidR="00FF1224" w:rsidRPr="00FF1224">
        <w:rPr>
          <w:sz w:val="18"/>
          <w:szCs w:val="18"/>
          <w:lang w:val="en-US"/>
        </w:rPr>
        <w:t>xxx</w:t>
      </w:r>
      <w:r w:rsidR="00CC3C70" w:rsidRPr="00FF1224">
        <w:rPr>
          <w:sz w:val="18"/>
          <w:szCs w:val="18"/>
          <w:lang w:val="en-US"/>
        </w:rPr>
        <w:t>DDDDDDDDDD</w:t>
      </w:r>
      <w:r w:rsidR="00FF1224" w:rsidRPr="00FF1224">
        <w:rPr>
          <w:sz w:val="18"/>
          <w:szCs w:val="18"/>
          <w:lang w:val="en-US"/>
        </w:rPr>
        <w:t>xxxDDDDDDDDDDssssssssss</w:t>
      </w:r>
      <w:r w:rsidR="00475B10" w:rsidRPr="00FF1224">
        <w:rPr>
          <w:sz w:val="18"/>
          <w:szCs w:val="18"/>
          <w:lang w:val="en-US"/>
        </w:rPr>
        <w:t>UDDDDDDDDDD</w:t>
      </w:r>
      <w:r w:rsidR="00D42C3A" w:rsidRPr="00FF1224">
        <w:rPr>
          <w:sz w:val="18"/>
          <w:szCs w:val="18"/>
          <w:lang w:val="en-US"/>
        </w:rPr>
        <w:t>xxx</w:t>
      </w:r>
      <w:r w:rsidR="00FF1224">
        <w:rPr>
          <w:sz w:val="18"/>
          <w:szCs w:val="18"/>
          <w:lang w:val="en-US"/>
        </w:rPr>
        <w:br/>
      </w:r>
      <w:r>
        <w:rPr>
          <w:sz w:val="18"/>
          <w:szCs w:val="18"/>
          <w:lang w:val="en-US"/>
        </w:rPr>
        <w:t xml:space="preserve">TN:    </w:t>
      </w:r>
      <w:r w:rsidR="001762F3">
        <w:rPr>
          <w:sz w:val="18"/>
          <w:szCs w:val="18"/>
          <w:lang w:val="en-US"/>
        </w:rPr>
        <w:t>DDDDDDDDDD</w:t>
      </w:r>
      <w:r w:rsidR="00BB49FE">
        <w:rPr>
          <w:sz w:val="18"/>
          <w:szCs w:val="18"/>
          <w:lang w:val="en-US"/>
        </w:rPr>
        <w:t>uuuDDDDDDDDDDuuuDDDDDDDDDDuuuDDDDDDDDDD</w:t>
      </w:r>
      <w:r w:rsidR="003A6F5B">
        <w:rPr>
          <w:sz w:val="18"/>
          <w:szCs w:val="18"/>
          <w:lang w:val="en-US"/>
        </w:rPr>
        <w:t>ssssssssss</w:t>
      </w:r>
      <w:r w:rsidR="00C804A7">
        <w:rPr>
          <w:sz w:val="18"/>
          <w:szCs w:val="18"/>
          <w:lang w:val="en-US"/>
        </w:rPr>
        <w:t>U</w:t>
      </w:r>
      <w:r>
        <w:rPr>
          <w:sz w:val="18"/>
          <w:szCs w:val="18"/>
          <w:lang w:val="en-US"/>
        </w:rPr>
        <w:t>DDDDDDDDDDuuu</w:t>
      </w:r>
    </w:p>
    <w:p w14:paraId="220C386A" w14:textId="41B30F19" w:rsidR="00083C54" w:rsidRDefault="002426BA" w:rsidP="008579F0">
      <w:pPr>
        <w:numPr>
          <w:ilvl w:val="0"/>
          <w:numId w:val="8"/>
        </w:numPr>
        <w:rPr>
          <w:lang w:val="en-US"/>
        </w:rPr>
      </w:pPr>
      <w:r>
        <w:rPr>
          <w:lang w:val="en-US"/>
        </w:rPr>
        <w:t xml:space="preserve">UE TDD Full Duplex: </w:t>
      </w:r>
      <w:r w:rsidR="007946D3">
        <w:rPr>
          <w:lang w:val="en-US"/>
        </w:rPr>
        <w:t xml:space="preserve">If </w:t>
      </w:r>
      <w:r w:rsidR="007946D3" w:rsidRPr="00452AF0">
        <w:rPr>
          <w:lang w:val="en-US"/>
        </w:rPr>
        <w:t>T</w:t>
      </w:r>
      <w:r w:rsidR="007946D3" w:rsidRPr="00452AF0">
        <w:rPr>
          <w:vertAlign w:val="subscript"/>
          <w:lang w:val="en-US"/>
        </w:rPr>
        <w:t>GUARD</w:t>
      </w:r>
      <w:r w:rsidR="007946D3" w:rsidRPr="00273DDD">
        <w:rPr>
          <w:lang w:val="en-US"/>
        </w:rPr>
        <w:t xml:space="preserve"> </w:t>
      </w:r>
      <w:r w:rsidR="007946D3">
        <w:rPr>
          <w:lang w:val="en-US"/>
        </w:rPr>
        <w:t xml:space="preserve">is deliberately under dimensioned </w:t>
      </w:r>
      <w:r w:rsidR="00593E0F">
        <w:rPr>
          <w:lang w:val="en-US"/>
        </w:rPr>
        <w:t xml:space="preserve">then UE </w:t>
      </w:r>
      <w:r w:rsidR="00D2154D" w:rsidRPr="00273DDD">
        <w:rPr>
          <w:lang w:val="en-US"/>
        </w:rPr>
        <w:t>DL</w:t>
      </w:r>
      <w:r w:rsidR="00593E0F">
        <w:rPr>
          <w:lang w:val="en-US"/>
        </w:rPr>
        <w:t xml:space="preserve"> (RX)</w:t>
      </w:r>
      <w:r w:rsidR="00D2154D" w:rsidRPr="00273DDD">
        <w:rPr>
          <w:lang w:val="en-US"/>
        </w:rPr>
        <w:t xml:space="preserve"> and</w:t>
      </w:r>
      <w:r w:rsidR="00593E0F">
        <w:rPr>
          <w:lang w:val="en-US"/>
        </w:rPr>
        <w:t xml:space="preserve"> UE </w:t>
      </w:r>
      <w:r w:rsidR="00D2154D" w:rsidRPr="00273DDD">
        <w:rPr>
          <w:lang w:val="en-US"/>
        </w:rPr>
        <w:t>UL</w:t>
      </w:r>
      <w:r w:rsidR="00593E0F">
        <w:rPr>
          <w:lang w:val="en-US"/>
        </w:rPr>
        <w:t xml:space="preserve"> (TX) will meet in time</w:t>
      </w:r>
      <w:r w:rsidR="00E0069D">
        <w:rPr>
          <w:lang w:val="en-US"/>
        </w:rPr>
        <w:t>, occasionally</w:t>
      </w:r>
      <w:r w:rsidR="000A7791">
        <w:rPr>
          <w:lang w:val="en-US"/>
        </w:rPr>
        <w:t>.</w:t>
      </w:r>
      <w:r w:rsidR="008231D4">
        <w:rPr>
          <w:lang w:val="en-US"/>
        </w:rPr>
        <w:t xml:space="preserve"> This is a complex arrangement</w:t>
      </w:r>
      <w:r w:rsidR="00183929">
        <w:rPr>
          <w:lang w:val="en-US"/>
        </w:rPr>
        <w:t xml:space="preserve">, even if an aircraft fuselage might offer some possible </w:t>
      </w:r>
      <w:r w:rsidR="00791FAD">
        <w:rPr>
          <w:lang w:val="en-US"/>
        </w:rPr>
        <w:t>TDD TX and RX isolation. This is shown in Figure 5.</w:t>
      </w:r>
    </w:p>
    <w:p w14:paraId="12DBA008" w14:textId="072CC8B3" w:rsidR="005808F4" w:rsidRDefault="00377727" w:rsidP="005808F4">
      <w:pPr>
        <w:ind w:left="360"/>
        <w:rPr>
          <w:lang w:val="en-US"/>
        </w:rPr>
      </w:pPr>
      <w:r>
        <w:rPr>
          <w:noProof/>
          <w:lang w:val="en-US"/>
        </w:rPr>
        <w:drawing>
          <wp:inline distT="0" distB="0" distL="0" distR="0" wp14:anchorId="46C427CF" wp14:editId="6DD4876B">
            <wp:extent cx="6233478" cy="27407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8732" cy="2747453"/>
                    </a:xfrm>
                    <a:prstGeom prst="rect">
                      <a:avLst/>
                    </a:prstGeom>
                    <a:noFill/>
                  </pic:spPr>
                </pic:pic>
              </a:graphicData>
            </a:graphic>
          </wp:inline>
        </w:drawing>
      </w:r>
    </w:p>
    <w:p w14:paraId="779F6750" w14:textId="3D3408F7" w:rsidR="00842966" w:rsidRDefault="00842966" w:rsidP="00C14771">
      <w:pPr>
        <w:pStyle w:val="TF"/>
      </w:pPr>
      <w:r>
        <w:t>Figure 5: Under dimensioned Guard Period in TDD cells</w:t>
      </w:r>
    </w:p>
    <w:p w14:paraId="0F0CBA91" w14:textId="0B947508" w:rsidR="00C14771" w:rsidRDefault="00881F4F" w:rsidP="00C14771">
      <w:pPr>
        <w:rPr>
          <w:b/>
          <w:bCs/>
        </w:rPr>
      </w:pPr>
      <w:r w:rsidRPr="00881F4F">
        <w:rPr>
          <w:b/>
          <w:bCs/>
        </w:rPr>
        <w:t xml:space="preserve">Proposal 1: </w:t>
      </w:r>
      <w:r>
        <w:rPr>
          <w:b/>
          <w:bCs/>
        </w:rPr>
        <w:t>RAN4 to investigat</w:t>
      </w:r>
      <w:r w:rsidR="001E5263">
        <w:rPr>
          <w:b/>
          <w:bCs/>
        </w:rPr>
        <w:t>e remedies to large TDD cells and ATG and TN TDD coexistence like:</w:t>
      </w:r>
      <w:r w:rsidR="00034220">
        <w:rPr>
          <w:b/>
          <w:bCs/>
        </w:rPr>
        <w:t xml:space="preserve"> </w:t>
      </w:r>
      <w:r w:rsidR="004E161A">
        <w:rPr>
          <w:b/>
          <w:bCs/>
        </w:rPr>
        <w:t xml:space="preserve">TDD stand alone, </w:t>
      </w:r>
      <w:r w:rsidR="0097332E">
        <w:rPr>
          <w:b/>
          <w:bCs/>
        </w:rPr>
        <w:t xml:space="preserve">surrendering slots or Full Duplex at </w:t>
      </w:r>
      <w:r w:rsidR="00407B4B">
        <w:rPr>
          <w:b/>
          <w:bCs/>
        </w:rPr>
        <w:t>AT</w:t>
      </w:r>
      <w:r w:rsidR="00E5635A">
        <w:rPr>
          <w:b/>
          <w:bCs/>
        </w:rPr>
        <w:t>G</w:t>
      </w:r>
      <w:r w:rsidR="00407B4B">
        <w:rPr>
          <w:b/>
          <w:bCs/>
        </w:rPr>
        <w:t xml:space="preserve"> UE terminal.</w:t>
      </w:r>
    </w:p>
    <w:p w14:paraId="77FFA220" w14:textId="590CBE12" w:rsidR="002330DB" w:rsidRDefault="002330DB" w:rsidP="002330DB">
      <w:pPr>
        <w:pStyle w:val="Heading3"/>
      </w:pPr>
      <w:r>
        <w:t>2.1.4</w:t>
      </w:r>
      <w:r>
        <w:tab/>
        <w:t>R</w:t>
      </w:r>
      <w:r w:rsidRPr="002330DB">
        <w:t>eduction of the overhead of the guard period</w:t>
      </w:r>
    </w:p>
    <w:p w14:paraId="2AD1B075" w14:textId="5AC492DB" w:rsidR="004A226A" w:rsidRDefault="004A226A" w:rsidP="004A226A">
      <w:r>
        <w:t>Consider an example of a 300</w:t>
      </w:r>
      <w:r w:rsidR="009E568E">
        <w:t xml:space="preserve"> </w:t>
      </w:r>
      <w:r>
        <w:t xml:space="preserve">km ATG cell as a baseline scenario. The </w:t>
      </w:r>
      <w:proofErr w:type="gramStart"/>
      <w:r>
        <w:t>round trip</w:t>
      </w:r>
      <w:proofErr w:type="gramEnd"/>
      <w:r>
        <w:t xml:space="preserve"> time is 2msec. The TDD frame is organized as 10, 0.5msec slots number 1-10, for SCS = 30 kHz. Slots 1-7 should be downlink slots, slot 8 a “special” slot (with most symbols configured for downlink) and slots 9 and 10 are allocated for uplink.</w:t>
      </w:r>
    </w:p>
    <w:p w14:paraId="496B3259" w14:textId="77777777" w:rsidR="004A226A" w:rsidRDefault="004A226A" w:rsidP="004A226A">
      <w:r>
        <w:t xml:space="preserve">Due to the propagation time to the cell edge, the </w:t>
      </w:r>
      <w:proofErr w:type="spellStart"/>
      <w:r>
        <w:t>gNB</w:t>
      </w:r>
      <w:proofErr w:type="spellEnd"/>
      <w:r>
        <w:t xml:space="preserve"> needs to allocate slots 5, 6, 7 and 8 as a guard period, for this SCS = 30 kHz example. However, all SCS is possible, i.e., 15, 20, 60, 120, 240, 480 and 960 kHz and differs only by scaling the number of slots based on example considered here.</w:t>
      </w:r>
    </w:p>
    <w:p w14:paraId="307762DD" w14:textId="03436E6E" w:rsidR="004A226A" w:rsidRDefault="004A226A" w:rsidP="004A226A">
      <w:r>
        <w:lastRenderedPageBreak/>
        <w:t xml:space="preserve">The TDD structure from the UE perspective is as depicted in the figure </w:t>
      </w:r>
      <w:r w:rsidR="00BE6E7D">
        <w:t>6</w:t>
      </w:r>
      <w:r>
        <w:t xml:space="preserve">. The UL begins to receive the downlink part of each frame with 2 slots, or 1msec delay. In order that the UE UL transmission arrives at the </w:t>
      </w:r>
      <w:proofErr w:type="spellStart"/>
      <w:r>
        <w:t>gNB</w:t>
      </w:r>
      <w:proofErr w:type="spellEnd"/>
      <w:r>
        <w:t xml:space="preserve"> at the correct time, the UE needs to switch to UL after receiving DL slot 4. After transmitting the two UL slots, at the UE the timing is such that slots 7 and 8, which are guard slots occur. Following the guard slots, the following two slots, marked as “X” in the figure are slots in which the UE does not receive any data because they correspond to the slots during which the </w:t>
      </w:r>
      <w:proofErr w:type="spellStart"/>
      <w:r>
        <w:t>gNB</w:t>
      </w:r>
      <w:proofErr w:type="spellEnd"/>
      <w:r>
        <w:t xml:space="preserve"> received the UL transmission, delayed by 1msec.</w:t>
      </w:r>
    </w:p>
    <w:p w14:paraId="6F188CA7" w14:textId="77777777" w:rsidR="004A226A" w:rsidRDefault="004A226A" w:rsidP="004A226A">
      <w:r>
        <w:rPr>
          <w:noProof/>
        </w:rPr>
        <w:drawing>
          <wp:inline distT="0" distB="0" distL="0" distR="0" wp14:anchorId="1CF9FD8E" wp14:editId="3D80E376">
            <wp:extent cx="5377180" cy="20605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1BD8D0BD" w14:textId="600C63BA" w:rsidR="004A226A" w:rsidRDefault="002C3594" w:rsidP="00E81F74">
      <w:pPr>
        <w:pStyle w:val="TF"/>
      </w:pPr>
      <w:r>
        <w:t>Figure 6: Large TDD cell</w:t>
      </w:r>
      <w:r w:rsidR="00E81F74">
        <w:t xml:space="preserve"> with large GP</w:t>
      </w:r>
      <w:r>
        <w:t xml:space="preserve">. </w:t>
      </w:r>
    </w:p>
    <w:p w14:paraId="67CCB60E" w14:textId="6356136E" w:rsidR="004A226A" w:rsidRDefault="001672DF" w:rsidP="004A226A">
      <w:r>
        <w:t>If</w:t>
      </w:r>
      <w:r w:rsidR="004A226A">
        <w:t xml:space="preserve"> the </w:t>
      </w:r>
      <w:proofErr w:type="spellStart"/>
      <w:r w:rsidR="004A226A">
        <w:t>gNB</w:t>
      </w:r>
      <w:proofErr w:type="spellEnd"/>
      <w:r w:rsidR="004A226A">
        <w:t xml:space="preserve"> receives information on the propagation delay to the UE. The </w:t>
      </w:r>
      <w:proofErr w:type="spellStart"/>
      <w:r w:rsidR="004A226A">
        <w:t>gNB</w:t>
      </w:r>
      <w:proofErr w:type="spellEnd"/>
      <w:r w:rsidR="004A226A">
        <w:t xml:space="preserve"> allocates a guard period starting at twice the propagation delay (i.e., the RTT) earlier than the UL period for a duration equal to the UL period. However, immediately after this guard period, the </w:t>
      </w:r>
      <w:proofErr w:type="spellStart"/>
      <w:r w:rsidR="004A226A">
        <w:t>gNB</w:t>
      </w:r>
      <w:proofErr w:type="spellEnd"/>
      <w:r w:rsidR="004A226A">
        <w:t xml:space="preserve"> resumes transmitting DL data to the UE until the UL period commences.</w:t>
      </w:r>
    </w:p>
    <w:p w14:paraId="3371174C" w14:textId="0D2BBC74" w:rsidR="004A226A" w:rsidRDefault="004A226A" w:rsidP="004A226A">
      <w:r>
        <w:t xml:space="preserve">At the UE, the UE is configured such that it applies timing advance to the UL signal (as usual) and then assumes that DL data can commence immediately after it has finished transmitting UL. This is shown in figure </w:t>
      </w:r>
      <w:r w:rsidR="00BE6E7D">
        <w:t>7</w:t>
      </w:r>
      <w:r>
        <w:t>.</w:t>
      </w:r>
    </w:p>
    <w:p w14:paraId="14977AC8" w14:textId="77777777" w:rsidR="004A226A" w:rsidRDefault="004A226A" w:rsidP="004A226A">
      <w:r>
        <w:t xml:space="preserve">In this way, </w:t>
      </w:r>
      <w:bookmarkStart w:id="5" w:name="_Hlk127540529"/>
      <w:r>
        <w:t xml:space="preserve">half of the guard period slots can be removed. </w:t>
      </w:r>
      <w:bookmarkEnd w:id="5"/>
      <w:r>
        <w:t xml:space="preserve">From the UE perspective, there is no guard period, however there are two slots within which the UE does not receive downlink (due to no DL transmission during those slots because of UL reception at the </w:t>
      </w:r>
      <w:proofErr w:type="spellStart"/>
      <w:r>
        <w:t>gNB</w:t>
      </w:r>
      <w:proofErr w:type="spellEnd"/>
      <w:r>
        <w:t>).</w:t>
      </w:r>
    </w:p>
    <w:p w14:paraId="124DF8AA" w14:textId="77777777" w:rsidR="004A226A" w:rsidRDefault="004A226A" w:rsidP="004A226A">
      <w:r>
        <w:rPr>
          <w:noProof/>
        </w:rPr>
        <w:drawing>
          <wp:inline distT="0" distB="0" distL="0" distR="0" wp14:anchorId="14A30C86" wp14:editId="4E241E4F">
            <wp:extent cx="5377180" cy="20605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1EB258E6" w14:textId="3A2EC948" w:rsidR="00696171" w:rsidRDefault="00696171" w:rsidP="00696171">
      <w:pPr>
        <w:pStyle w:val="TF"/>
      </w:pPr>
      <w:r>
        <w:t>Figure 7: Large TDD cell with large GP reduced by a factor of 2</w:t>
      </w:r>
      <w:r w:rsidR="00F25CF4">
        <w:t>, ATG UE far away</w:t>
      </w:r>
      <w:r>
        <w:t xml:space="preserve">. </w:t>
      </w:r>
    </w:p>
    <w:p w14:paraId="31AFA553" w14:textId="5D21A1F4" w:rsidR="00BC6718" w:rsidRDefault="00C327B0" w:rsidP="00BC6718">
      <w:r>
        <w:t xml:space="preserve">If </w:t>
      </w:r>
      <w:r w:rsidR="00BC6718">
        <w:t>the cell size is 300</w:t>
      </w:r>
      <w:r w:rsidR="00DC12DB">
        <w:t xml:space="preserve"> </w:t>
      </w:r>
      <w:r w:rsidR="00BC6718">
        <w:t>km, but the ATG UE is located at a distance of 150</w:t>
      </w:r>
      <w:r w:rsidR="00DC12DB">
        <w:t xml:space="preserve"> </w:t>
      </w:r>
      <w:r w:rsidR="00BC6718">
        <w:t xml:space="preserve">km from the </w:t>
      </w:r>
      <w:proofErr w:type="spellStart"/>
      <w:r w:rsidR="00BC6718">
        <w:t>gNB</w:t>
      </w:r>
      <w:proofErr w:type="spellEnd"/>
      <w:r w:rsidR="00BC6718">
        <w:t xml:space="preserve">. The propagation time is 0.5msec or 1 slot. This is shown in figure </w:t>
      </w:r>
      <w:r w:rsidR="00451988">
        <w:t>8</w:t>
      </w:r>
      <w:r w:rsidR="00BC6718">
        <w:t xml:space="preserve">. The </w:t>
      </w:r>
      <w:proofErr w:type="spellStart"/>
      <w:r w:rsidR="00BC6718">
        <w:t>gNB</w:t>
      </w:r>
      <w:proofErr w:type="spellEnd"/>
      <w:r w:rsidR="00BC6718">
        <w:t xml:space="preserve"> is made aware that the propagation time is 0.5</w:t>
      </w:r>
      <w:r w:rsidR="00DC12DB">
        <w:t xml:space="preserve"> </w:t>
      </w:r>
      <w:r w:rsidR="00BC6718">
        <w:t xml:space="preserve">msec. The </w:t>
      </w:r>
      <w:proofErr w:type="spellStart"/>
      <w:r w:rsidR="00BC6718">
        <w:t>gNB</w:t>
      </w:r>
      <w:proofErr w:type="spellEnd"/>
      <w:r w:rsidR="00BC6718">
        <w:t xml:space="preserve"> provides a guard period equal to the propagation time of 0.5msec at 2 slots, or one RTT prior to the UL slots at the </w:t>
      </w:r>
      <w:proofErr w:type="spellStart"/>
      <w:r w:rsidR="00BC6718">
        <w:t>gNB</w:t>
      </w:r>
      <w:proofErr w:type="spellEnd"/>
      <w:r w:rsidR="00BC6718">
        <w:t xml:space="preserve">, </w:t>
      </w:r>
      <w:proofErr w:type="gramStart"/>
      <w:r w:rsidR="00BC6718">
        <w:t>i.e.</w:t>
      </w:r>
      <w:proofErr w:type="gramEnd"/>
      <w:r w:rsidR="00BC6718">
        <w:t xml:space="preserve"> in slot 7. This is as before, in first example, but scaled to smaller RTT. Due to the fact that the UL is 2 slots in duration, the </w:t>
      </w:r>
      <w:proofErr w:type="spellStart"/>
      <w:r w:rsidR="00BC6718">
        <w:t>gNB</w:t>
      </w:r>
      <w:proofErr w:type="spellEnd"/>
      <w:r w:rsidR="00BC6718">
        <w:t xml:space="preserve"> cannot transmit to the UE in slot 8 because, after propagation delay, the UE will still be transmitting UL during that time.</w:t>
      </w:r>
    </w:p>
    <w:p w14:paraId="3A661E5F" w14:textId="77777777" w:rsidR="00BC6718" w:rsidRDefault="00BC6718" w:rsidP="00BC6718">
      <w:r>
        <w:t xml:space="preserve">From the UE perspective, the UE receives the first 6 DL slots and then switches to UL. After transmitting UL, the UE is does not receive any DL in the following 2 slots, as these slots correspond to the time at which the </w:t>
      </w:r>
      <w:proofErr w:type="spellStart"/>
      <w:r>
        <w:t>gNB</w:t>
      </w:r>
      <w:proofErr w:type="spellEnd"/>
      <w:r>
        <w:t xml:space="preserve"> was receiving the UL signal.</w:t>
      </w:r>
    </w:p>
    <w:p w14:paraId="7AA7E558" w14:textId="77777777" w:rsidR="00BC6718" w:rsidRDefault="00BC6718" w:rsidP="00BC6718"/>
    <w:p w14:paraId="16166213" w14:textId="77777777" w:rsidR="00BC6718" w:rsidRDefault="00BC6718" w:rsidP="00BC6718">
      <w:r>
        <w:rPr>
          <w:noProof/>
        </w:rPr>
        <w:drawing>
          <wp:inline distT="0" distB="0" distL="0" distR="0" wp14:anchorId="3A482AFB" wp14:editId="7DA5ADEE">
            <wp:extent cx="5377180" cy="2060575"/>
            <wp:effectExtent l="0" t="0" r="0" b="0"/>
            <wp:docPr id="305580800" name="Picture 305580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3FB8DAD3" w14:textId="4B536B0E" w:rsidR="00BC6718" w:rsidRPr="00BA0236" w:rsidRDefault="00451988" w:rsidP="00BA0236">
      <w:pPr>
        <w:pStyle w:val="TF"/>
      </w:pPr>
      <w:r>
        <w:t xml:space="preserve">Figure </w:t>
      </w:r>
      <w:r w:rsidR="003A39A4">
        <w:t>8</w:t>
      </w:r>
      <w:r>
        <w:t>: Large TDD cell with large GP reduced by a factor of 2</w:t>
      </w:r>
      <w:r w:rsidR="00BA0236">
        <w:t>. ATG UE closer</w:t>
      </w:r>
      <w:r>
        <w:t xml:space="preserve">. </w:t>
      </w:r>
    </w:p>
    <w:p w14:paraId="2B6FC9BA" w14:textId="6E4EFDF5" w:rsidR="00E11766" w:rsidRDefault="00E11766" w:rsidP="00E11766">
      <w:r>
        <w:t>If the UE is located at 75</w:t>
      </w:r>
      <w:r w:rsidR="00DC12DB">
        <w:t xml:space="preserve"> </w:t>
      </w:r>
      <w:r>
        <w:t xml:space="preserve">km from the </w:t>
      </w:r>
      <w:proofErr w:type="spellStart"/>
      <w:r>
        <w:t>gNB</w:t>
      </w:r>
      <w:proofErr w:type="spellEnd"/>
      <w:r>
        <w:t>. The propagation time is now 0.25</w:t>
      </w:r>
      <w:r w:rsidR="008274FE">
        <w:t xml:space="preserve"> </w:t>
      </w:r>
      <w:r>
        <w:t>msec, or half of one slot. This is shown in figure 4.</w:t>
      </w:r>
    </w:p>
    <w:p w14:paraId="7A9AB411" w14:textId="1A535F5A" w:rsidR="00E11766" w:rsidRDefault="00E11766" w:rsidP="00E11766">
      <w:r>
        <w:t xml:space="preserve">The </w:t>
      </w:r>
      <w:proofErr w:type="spellStart"/>
      <w:r>
        <w:t>gNB</w:t>
      </w:r>
      <w:proofErr w:type="spellEnd"/>
      <w:r>
        <w:t xml:space="preserve"> transmits DL for slots 1-7. A half slot guard period, again equal to the propagation time in slots, is inserted at 1 RTT = 0.5</w:t>
      </w:r>
      <w:r w:rsidR="00075C5D">
        <w:t xml:space="preserve"> </w:t>
      </w:r>
      <w:r>
        <w:t xml:space="preserve">msec (1 slot) prior to the UL period at the start of slot 8. The </w:t>
      </w:r>
      <w:proofErr w:type="spellStart"/>
      <w:r>
        <w:t>gNB</w:t>
      </w:r>
      <w:proofErr w:type="spellEnd"/>
      <w:r>
        <w:t xml:space="preserve"> cannot transmit during the remainder of slot 8 because the DL transmission would overlap with the UE UL transmission.</w:t>
      </w:r>
    </w:p>
    <w:p w14:paraId="1BFAE5AA" w14:textId="77777777" w:rsidR="00E11766" w:rsidRDefault="00E11766" w:rsidP="00E11766">
      <w:r>
        <w:t xml:space="preserve">From the UE perspective, the UE receives the first 7 DL slots and then switches to UL. After the UL slots, the UE does not receive anything for 1 </w:t>
      </w:r>
      <w:proofErr w:type="gramStart"/>
      <w:r>
        <w:t>slot, since</w:t>
      </w:r>
      <w:proofErr w:type="gramEnd"/>
      <w:r>
        <w:t xml:space="preserve"> this slot corresponds to the second UL slot reception at the </w:t>
      </w:r>
      <w:proofErr w:type="spellStart"/>
      <w:r>
        <w:t>gNB</w:t>
      </w:r>
      <w:proofErr w:type="spellEnd"/>
      <w:r>
        <w:t>.</w:t>
      </w:r>
    </w:p>
    <w:p w14:paraId="03497D68" w14:textId="77777777" w:rsidR="00E11766" w:rsidRDefault="00E11766" w:rsidP="00E11766">
      <w:r>
        <w:rPr>
          <w:noProof/>
        </w:rPr>
        <w:drawing>
          <wp:inline distT="0" distB="0" distL="0" distR="0" wp14:anchorId="4231E880" wp14:editId="0FB15E21">
            <wp:extent cx="5377180" cy="2060575"/>
            <wp:effectExtent l="0" t="0" r="0" b="0"/>
            <wp:docPr id="305580802" name="Picture 305580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17691EB3" w14:textId="79E3EFC4" w:rsidR="00132EB4" w:rsidRPr="00254B21" w:rsidRDefault="00596248" w:rsidP="00254B21">
      <w:pPr>
        <w:pStyle w:val="TF"/>
      </w:pPr>
      <w:r>
        <w:t xml:space="preserve">Figure 9: Large TDD cell with large GP reduced by a factor of 2. ATG UE even closer. </w:t>
      </w:r>
    </w:p>
    <w:p w14:paraId="316C825B" w14:textId="5BE37BEC" w:rsidR="004A226A" w:rsidRPr="005C45A2" w:rsidRDefault="00696171" w:rsidP="00C14771">
      <w:r>
        <w:rPr>
          <w:b/>
          <w:bCs/>
          <w:lang w:eastAsia="ja-JP"/>
        </w:rPr>
        <w:t xml:space="preserve">Observation 5: </w:t>
      </w:r>
      <w:r w:rsidR="001672DF" w:rsidRPr="001672DF">
        <w:rPr>
          <w:b/>
          <w:bCs/>
          <w:lang w:eastAsia="ja-JP"/>
        </w:rPr>
        <w:t xml:space="preserve">If the </w:t>
      </w:r>
      <w:proofErr w:type="spellStart"/>
      <w:r w:rsidR="001672DF" w:rsidRPr="001672DF">
        <w:rPr>
          <w:b/>
          <w:bCs/>
          <w:lang w:eastAsia="ja-JP"/>
        </w:rPr>
        <w:t>gNB</w:t>
      </w:r>
      <w:proofErr w:type="spellEnd"/>
      <w:r w:rsidR="001672DF" w:rsidRPr="001672DF">
        <w:rPr>
          <w:b/>
          <w:bCs/>
          <w:lang w:eastAsia="ja-JP"/>
        </w:rPr>
        <w:t xml:space="preserve"> receives information on the propagation delay to the UE</w:t>
      </w:r>
      <w:r w:rsidR="00BA0236">
        <w:rPr>
          <w:b/>
          <w:bCs/>
          <w:lang w:eastAsia="ja-JP"/>
        </w:rPr>
        <w:t xml:space="preserve">, then </w:t>
      </w:r>
      <w:r w:rsidR="00236E2C" w:rsidRPr="00236E2C">
        <w:rPr>
          <w:b/>
          <w:bCs/>
          <w:lang w:eastAsia="ja-JP"/>
        </w:rPr>
        <w:t>at least half of the GP could be removed</w:t>
      </w:r>
      <w:r w:rsidR="005C45A2" w:rsidRPr="005C45A2">
        <w:rPr>
          <w:b/>
          <w:bCs/>
          <w:lang w:eastAsia="ja-JP"/>
        </w:rPr>
        <w:t>.</w:t>
      </w:r>
    </w:p>
    <w:p w14:paraId="2114AAA1" w14:textId="0D13567E" w:rsidR="00F21541" w:rsidRDefault="00F21541" w:rsidP="00F21541">
      <w:pPr>
        <w:pStyle w:val="Heading2"/>
        <w:rPr>
          <w:lang w:val="en-US"/>
        </w:rPr>
      </w:pPr>
      <w:r>
        <w:rPr>
          <w:lang w:val="en-US"/>
        </w:rPr>
        <w:t>2.2</w:t>
      </w:r>
      <w:r>
        <w:rPr>
          <w:lang w:val="en-US"/>
        </w:rPr>
        <w:tab/>
        <w:t>Other timing and frequency adjustment issues</w:t>
      </w:r>
    </w:p>
    <w:p w14:paraId="6053C1A7" w14:textId="77777777" w:rsidR="00F21541" w:rsidRDefault="00F21541" w:rsidP="00F21541">
      <w:pPr>
        <w:rPr>
          <w:lang w:val="en-US"/>
        </w:rPr>
      </w:pPr>
      <w:r>
        <w:rPr>
          <w:lang w:val="en-US"/>
        </w:rPr>
        <w:t>In WF [2] we have:</w:t>
      </w:r>
    </w:p>
    <w:tbl>
      <w:tblPr>
        <w:tblStyle w:val="TableGrid"/>
        <w:tblW w:w="0" w:type="auto"/>
        <w:tblLook w:val="04A0" w:firstRow="1" w:lastRow="0" w:firstColumn="1" w:lastColumn="0" w:noHBand="0" w:noVBand="1"/>
      </w:tblPr>
      <w:tblGrid>
        <w:gridCol w:w="9914"/>
      </w:tblGrid>
      <w:tr w:rsidR="00F21541" w14:paraId="656AA9C0" w14:textId="77777777" w:rsidTr="00F21541">
        <w:tc>
          <w:tcPr>
            <w:tcW w:w="9914" w:type="dxa"/>
          </w:tcPr>
          <w:p w14:paraId="76A9B03D" w14:textId="77777777" w:rsidR="00F21541" w:rsidRDefault="00F21541" w:rsidP="00F21541">
            <w:pPr>
              <w:rPr>
                <w:lang w:val="en-US"/>
              </w:rPr>
            </w:pPr>
            <w:r>
              <w:rPr>
                <w:lang w:val="en-US"/>
              </w:rPr>
              <w:t>…</w:t>
            </w:r>
          </w:p>
          <w:p w14:paraId="6647C9D3" w14:textId="77777777" w:rsidR="00EC0401" w:rsidRPr="00110785" w:rsidRDefault="00EC0401" w:rsidP="00EC0401">
            <w:pPr>
              <w:rPr>
                <w:rFonts w:ascii="Arial" w:hAnsi="Arial" w:cs="Arial"/>
                <w:sz w:val="28"/>
                <w:szCs w:val="28"/>
                <w:lang w:val="en-US"/>
              </w:rPr>
            </w:pPr>
            <w:r w:rsidRPr="00110785">
              <w:rPr>
                <w:rFonts w:ascii="Arial" w:hAnsi="Arial" w:cs="Arial"/>
                <w:sz w:val="28"/>
                <w:szCs w:val="28"/>
                <w:lang w:val="en-US"/>
              </w:rPr>
              <w:t>3.</w:t>
            </w:r>
            <w:r w:rsidRPr="00110785">
              <w:rPr>
                <w:rFonts w:ascii="Arial" w:hAnsi="Arial" w:cs="Arial"/>
                <w:sz w:val="28"/>
                <w:szCs w:val="28"/>
                <w:lang w:val="en-US"/>
              </w:rPr>
              <w:tab/>
              <w:t xml:space="preserve">Timing and frequency adjustment </w:t>
            </w:r>
          </w:p>
          <w:p w14:paraId="14C32679" w14:textId="6B169192" w:rsidR="006222B1" w:rsidRDefault="00EC0401" w:rsidP="00EC0401">
            <w:pPr>
              <w:rPr>
                <w:rFonts w:ascii="Arial" w:hAnsi="Arial" w:cs="Arial"/>
                <w:sz w:val="24"/>
                <w:szCs w:val="24"/>
                <w:lang w:val="en-US"/>
              </w:rPr>
            </w:pPr>
            <w:r w:rsidRPr="00110785">
              <w:rPr>
                <w:rFonts w:ascii="Arial" w:hAnsi="Arial" w:cs="Arial"/>
                <w:sz w:val="24"/>
                <w:szCs w:val="24"/>
                <w:lang w:val="en-US"/>
              </w:rPr>
              <w:t>3.1.</w:t>
            </w:r>
            <w:r w:rsidRPr="00110785">
              <w:rPr>
                <w:rFonts w:ascii="Arial" w:hAnsi="Arial" w:cs="Arial"/>
                <w:sz w:val="24"/>
                <w:szCs w:val="24"/>
                <w:lang w:val="en-US"/>
              </w:rPr>
              <w:tab/>
              <w:t>General issues</w:t>
            </w:r>
          </w:p>
          <w:p w14:paraId="61C56114" w14:textId="77777777" w:rsidR="00AD6947" w:rsidRDefault="00AD6947" w:rsidP="00AD6947">
            <w:pPr>
              <w:rPr>
                <w:b/>
                <w:u w:val="single"/>
                <w:vertAlign w:val="subscript"/>
                <w:lang w:eastAsia="ko-KR"/>
              </w:rPr>
            </w:pPr>
            <w:r w:rsidRPr="00322B2B">
              <w:rPr>
                <w:b/>
                <w:u w:val="single"/>
                <w:lang w:eastAsia="ko-KR"/>
              </w:rPr>
              <w:t xml:space="preserve">Issue 3-1-1: The mechanism of </w:t>
            </w:r>
            <w:proofErr w:type="spellStart"/>
            <w:r w:rsidRPr="00322B2B">
              <w:rPr>
                <w:b/>
                <w:u w:val="single"/>
                <w:lang w:eastAsia="ko-KR"/>
              </w:rPr>
              <w:t>K</w:t>
            </w:r>
            <w:r w:rsidRPr="00322B2B">
              <w:rPr>
                <w:b/>
                <w:u w:val="single"/>
                <w:vertAlign w:val="subscript"/>
                <w:lang w:eastAsia="ko-KR"/>
              </w:rPr>
              <w:t>offset</w:t>
            </w:r>
            <w:proofErr w:type="spellEnd"/>
          </w:p>
          <w:p w14:paraId="6C2A1ABF" w14:textId="77777777" w:rsidR="00AD6947" w:rsidRPr="003972EC" w:rsidRDefault="00AD6947" w:rsidP="00AD6947">
            <w:pPr>
              <w:pStyle w:val="ListParagraph"/>
              <w:numPr>
                <w:ilvl w:val="0"/>
                <w:numId w:val="7"/>
              </w:numPr>
              <w:spacing w:after="120"/>
              <w:ind w:hanging="357"/>
              <w:contextualSpacing w:val="0"/>
              <w:rPr>
                <w:rFonts w:eastAsia="SimSun"/>
              </w:rPr>
            </w:pPr>
            <w:r w:rsidRPr="003972EC">
              <w:rPr>
                <w:rFonts w:eastAsia="SimSun"/>
              </w:rPr>
              <w:t xml:space="preserve">Option 1: No need to consider </w:t>
            </w:r>
            <w:proofErr w:type="spellStart"/>
            <w:r w:rsidRPr="003972EC">
              <w:rPr>
                <w:rFonts w:eastAsia="SimSun"/>
              </w:rPr>
              <w:t>K</w:t>
            </w:r>
            <w:r w:rsidRPr="003972EC">
              <w:rPr>
                <w:rFonts w:eastAsia="SimSun" w:hint="eastAsia"/>
                <w:vertAlign w:val="subscript"/>
              </w:rPr>
              <w:t>offset</w:t>
            </w:r>
            <w:proofErr w:type="spellEnd"/>
            <w:r w:rsidRPr="003972EC">
              <w:rPr>
                <w:rFonts w:eastAsia="SimSun"/>
              </w:rPr>
              <w:t xml:space="preserve"> in ATG network</w:t>
            </w:r>
            <w:r w:rsidRPr="003972EC">
              <w:rPr>
                <w:rFonts w:eastAsia="SimSun" w:hint="eastAsia"/>
              </w:rPr>
              <w:t>.</w:t>
            </w:r>
          </w:p>
          <w:p w14:paraId="26511377" w14:textId="77777777" w:rsidR="00AD6947" w:rsidRPr="003972EC" w:rsidRDefault="00AD6947" w:rsidP="00AD6947">
            <w:pPr>
              <w:pStyle w:val="ListParagraph"/>
              <w:numPr>
                <w:ilvl w:val="0"/>
                <w:numId w:val="7"/>
              </w:numPr>
              <w:spacing w:after="120"/>
              <w:ind w:hanging="357"/>
              <w:contextualSpacing w:val="0"/>
              <w:rPr>
                <w:rFonts w:eastAsia="SimSun"/>
              </w:rPr>
            </w:pPr>
            <w:r w:rsidRPr="003972EC">
              <w:rPr>
                <w:rFonts w:eastAsia="SimSun"/>
              </w:rPr>
              <w:lastRenderedPageBreak/>
              <w:t xml:space="preserve">Option 2: Introduce the mechanism of </w:t>
            </w:r>
            <w:proofErr w:type="spellStart"/>
            <w:r w:rsidRPr="003972EC">
              <w:rPr>
                <w:rFonts w:eastAsia="SimSun"/>
              </w:rPr>
              <w:t>K</w:t>
            </w:r>
            <w:r w:rsidRPr="003972EC">
              <w:rPr>
                <w:rFonts w:eastAsia="SimSun"/>
                <w:vertAlign w:val="subscript"/>
              </w:rPr>
              <w:t>offset</w:t>
            </w:r>
            <w:proofErr w:type="spellEnd"/>
            <w:r w:rsidRPr="003972EC">
              <w:rPr>
                <w:rFonts w:eastAsia="SimSun"/>
              </w:rPr>
              <w:t xml:space="preserve"> in ATG system. </w:t>
            </w:r>
          </w:p>
          <w:p w14:paraId="0F647C4C" w14:textId="77777777" w:rsidR="00AD6947" w:rsidRPr="004D1F98" w:rsidRDefault="00AD6947" w:rsidP="00AD6947">
            <w:pPr>
              <w:pStyle w:val="ListParagraph"/>
              <w:numPr>
                <w:ilvl w:val="1"/>
                <w:numId w:val="7"/>
              </w:numPr>
              <w:spacing w:after="120"/>
              <w:contextualSpacing w:val="0"/>
              <w:rPr>
                <w:rFonts w:eastAsia="SimSun"/>
              </w:rPr>
            </w:pPr>
            <w:r w:rsidRPr="003972EC">
              <w:rPr>
                <w:rFonts w:eastAsia="SimSun" w:hint="eastAsia"/>
              </w:rPr>
              <w:t>O</w:t>
            </w:r>
            <w:r w:rsidRPr="003972EC">
              <w:rPr>
                <w:rFonts w:eastAsia="SimSun"/>
              </w:rPr>
              <w:t xml:space="preserve">ption 2-1: </w:t>
            </w:r>
            <w:r w:rsidRPr="003972EC">
              <w:rPr>
                <w:rFonts w:eastAsia="SimSun" w:hint="eastAsia"/>
              </w:rPr>
              <w:t xml:space="preserve">For </w:t>
            </w:r>
            <w:proofErr w:type="spellStart"/>
            <w:r w:rsidRPr="003972EC">
              <w:rPr>
                <w:rFonts w:eastAsia="SimSun"/>
              </w:rPr>
              <w:t>K</w:t>
            </w:r>
            <w:r w:rsidRPr="003972EC">
              <w:rPr>
                <w:rFonts w:eastAsia="SimSun"/>
                <w:vertAlign w:val="subscript"/>
              </w:rPr>
              <w:t>offset</w:t>
            </w:r>
            <w:proofErr w:type="spellEnd"/>
            <w:r w:rsidRPr="003972EC">
              <w:rPr>
                <w:rFonts w:eastAsia="SimSun" w:hint="eastAsia"/>
              </w:rPr>
              <w:t xml:space="preserve">, considering the RTT for cell edge UE, for the case of 30kHz, maybe existing scheduling </w:t>
            </w:r>
            <w:proofErr w:type="gramStart"/>
            <w:r w:rsidRPr="003972EC">
              <w:rPr>
                <w:rFonts w:eastAsia="SimSun" w:hint="eastAsia"/>
              </w:rPr>
              <w:t>time line</w:t>
            </w:r>
            <w:proofErr w:type="gramEnd"/>
            <w:r w:rsidRPr="003972EC">
              <w:rPr>
                <w:rFonts w:eastAsia="SimSun" w:hint="eastAsia"/>
              </w:rPr>
              <w:t xml:space="preserve"> of </w:t>
            </w:r>
            <w:proofErr w:type="spellStart"/>
            <w:r w:rsidRPr="003972EC">
              <w:rPr>
                <w:rFonts w:eastAsia="SimSun" w:hint="eastAsia"/>
              </w:rPr>
              <w:t>n+k</w:t>
            </w:r>
            <w:proofErr w:type="spellEnd"/>
            <w:r w:rsidRPr="003972EC">
              <w:rPr>
                <w:rFonts w:eastAsia="SimSun" w:hint="eastAsia"/>
              </w:rPr>
              <w:t xml:space="preserve"> is not sufficient. While for the case of 15kHz, since the maximum RTT would not beyond one slot, the necessity of </w:t>
            </w:r>
            <w:proofErr w:type="spellStart"/>
            <w:r w:rsidRPr="003972EC">
              <w:rPr>
                <w:rFonts w:eastAsia="SimSun"/>
              </w:rPr>
              <w:t>K</w:t>
            </w:r>
            <w:r w:rsidRPr="003972EC">
              <w:rPr>
                <w:rFonts w:eastAsia="SimSun"/>
                <w:vertAlign w:val="subscript"/>
              </w:rPr>
              <w:t>offset</w:t>
            </w:r>
            <w:proofErr w:type="spellEnd"/>
            <w:r w:rsidRPr="003972EC">
              <w:rPr>
                <w:rFonts w:eastAsia="SimSun" w:hint="eastAsia"/>
              </w:rPr>
              <w:t xml:space="preserve"> is not obvious.</w:t>
            </w:r>
          </w:p>
          <w:p w14:paraId="1D012EB4" w14:textId="77777777" w:rsidR="00AD6947" w:rsidRDefault="00AD6947" w:rsidP="00AD6947">
            <w:pPr>
              <w:rPr>
                <w:b/>
                <w:u w:val="single"/>
                <w:lang w:eastAsia="ko-KR"/>
              </w:rPr>
            </w:pPr>
            <w:r w:rsidRPr="00322B2B">
              <w:rPr>
                <w:b/>
                <w:u w:val="single"/>
                <w:lang w:eastAsia="ko-KR"/>
              </w:rPr>
              <w:t>Issue 3-1-</w:t>
            </w:r>
            <w:r>
              <w:rPr>
                <w:b/>
                <w:u w:val="single"/>
                <w:lang w:eastAsia="ko-KR"/>
              </w:rPr>
              <w:t>2</w:t>
            </w:r>
            <w:r w:rsidRPr="00322B2B">
              <w:rPr>
                <w:b/>
                <w:u w:val="single"/>
                <w:lang w:eastAsia="ko-KR"/>
              </w:rPr>
              <w:t>: BS location</w:t>
            </w:r>
          </w:p>
          <w:p w14:paraId="5169609E" w14:textId="77777777" w:rsidR="00AD6947" w:rsidRPr="003972EC" w:rsidRDefault="00AD6947" w:rsidP="00AD6947">
            <w:pPr>
              <w:pStyle w:val="ListParagraph"/>
              <w:numPr>
                <w:ilvl w:val="0"/>
                <w:numId w:val="7"/>
              </w:numPr>
              <w:spacing w:after="120"/>
              <w:ind w:hanging="357"/>
              <w:contextualSpacing w:val="0"/>
              <w:rPr>
                <w:rFonts w:eastAsia="SimSun"/>
              </w:rPr>
            </w:pPr>
            <w:r w:rsidRPr="003972EC">
              <w:rPr>
                <w:rFonts w:eastAsia="SimSun"/>
              </w:rPr>
              <w:t>Option 1: Informing UE the BS location may not be needed for RRM requirements. (CATT)</w:t>
            </w:r>
          </w:p>
          <w:p w14:paraId="52AC7433" w14:textId="77777777" w:rsidR="00AD6947" w:rsidRPr="003972EC" w:rsidRDefault="00AD6947" w:rsidP="00AD6947">
            <w:pPr>
              <w:pStyle w:val="ListParagraph"/>
              <w:numPr>
                <w:ilvl w:val="0"/>
                <w:numId w:val="7"/>
              </w:numPr>
              <w:spacing w:after="120"/>
              <w:ind w:hanging="357"/>
              <w:contextualSpacing w:val="0"/>
              <w:rPr>
                <w:rFonts w:eastAsia="SimSun"/>
              </w:rPr>
            </w:pPr>
            <w:r w:rsidRPr="003972EC">
              <w:rPr>
                <w:rFonts w:eastAsia="SimSun"/>
              </w:rPr>
              <w:t>Option 2: PositionVelocity-r17 in TS 38.331 can be used to signal the BS location to ATG UE. (CMCC, HW, ZTE (Then UE can perform frequency pre-compensation based on the path between BS and itself.))</w:t>
            </w:r>
          </w:p>
          <w:p w14:paraId="3CF2AA76" w14:textId="77777777" w:rsidR="00AD6947" w:rsidRPr="003972EC" w:rsidRDefault="00AD6947" w:rsidP="00AD6947">
            <w:pPr>
              <w:pStyle w:val="ListParagraph"/>
              <w:numPr>
                <w:ilvl w:val="0"/>
                <w:numId w:val="7"/>
              </w:numPr>
              <w:spacing w:after="120"/>
              <w:ind w:hanging="357"/>
              <w:contextualSpacing w:val="0"/>
              <w:rPr>
                <w:rFonts w:eastAsia="SimSun"/>
              </w:rPr>
            </w:pPr>
            <w:r w:rsidRPr="003972EC">
              <w:rPr>
                <w:rFonts w:eastAsia="SimSun"/>
              </w:rPr>
              <w:t>Option 3: RAN4 can study following options to inform BS location. (LGE)</w:t>
            </w:r>
          </w:p>
          <w:p w14:paraId="448233DA" w14:textId="77777777" w:rsidR="00AD6947" w:rsidRPr="003972EC" w:rsidRDefault="00AD6947" w:rsidP="00AD6947">
            <w:pPr>
              <w:pStyle w:val="ListParagraph"/>
              <w:numPr>
                <w:ilvl w:val="1"/>
                <w:numId w:val="7"/>
              </w:numPr>
              <w:spacing w:after="120"/>
              <w:contextualSpacing w:val="0"/>
              <w:rPr>
                <w:rFonts w:eastAsia="SimSun"/>
              </w:rPr>
            </w:pPr>
            <w:r w:rsidRPr="003972EC">
              <w:rPr>
                <w:rFonts w:eastAsia="SimSun"/>
              </w:rPr>
              <w:t>Alt 1. ReferenceLocation-r17.</w:t>
            </w:r>
          </w:p>
          <w:p w14:paraId="520C1ADF" w14:textId="77777777" w:rsidR="00AD6947" w:rsidRPr="003972EC" w:rsidRDefault="00AD6947" w:rsidP="00AD6947">
            <w:pPr>
              <w:pStyle w:val="ListParagraph"/>
              <w:numPr>
                <w:ilvl w:val="1"/>
                <w:numId w:val="7"/>
              </w:numPr>
              <w:spacing w:after="120"/>
              <w:contextualSpacing w:val="0"/>
              <w:rPr>
                <w:rFonts w:eastAsia="SimSun"/>
              </w:rPr>
            </w:pPr>
            <w:r w:rsidRPr="003972EC">
              <w:rPr>
                <w:rFonts w:eastAsia="SimSun"/>
              </w:rPr>
              <w:t>Alt 2. PositionVelocity-r17.</w:t>
            </w:r>
          </w:p>
          <w:p w14:paraId="356FAD56" w14:textId="77777777" w:rsidR="00AD6947" w:rsidRDefault="00AD6947" w:rsidP="00AD6947">
            <w:pPr>
              <w:pStyle w:val="ListParagraph"/>
              <w:numPr>
                <w:ilvl w:val="1"/>
                <w:numId w:val="7"/>
              </w:numPr>
              <w:spacing w:after="120"/>
              <w:contextualSpacing w:val="0"/>
              <w:rPr>
                <w:rFonts w:eastAsia="SimSun"/>
              </w:rPr>
            </w:pPr>
            <w:r w:rsidRPr="003972EC">
              <w:rPr>
                <w:rFonts w:eastAsia="SimSun"/>
              </w:rPr>
              <w:t>Alt 3. ReferenceLocation-r17 or PositionVelocity-r17. It is up to NW implementation.</w:t>
            </w:r>
          </w:p>
          <w:p w14:paraId="18598B4B" w14:textId="77777777" w:rsidR="00AD6947" w:rsidRPr="00AB68A6" w:rsidRDefault="00AD6947" w:rsidP="00AD6947">
            <w:pPr>
              <w:spacing w:after="60"/>
              <w:rPr>
                <w:rFonts w:eastAsiaTheme="minorEastAsia"/>
                <w:iCs/>
              </w:rPr>
            </w:pPr>
            <w:r w:rsidRPr="00127534">
              <w:rPr>
                <w:rFonts w:eastAsiaTheme="minorEastAsia" w:hint="eastAsia"/>
                <w:iCs/>
              </w:rPr>
              <w:t>A</w:t>
            </w:r>
            <w:r w:rsidRPr="00127534">
              <w:rPr>
                <w:rFonts w:eastAsiaTheme="minorEastAsia"/>
                <w:iCs/>
              </w:rPr>
              <w:t>greement:</w:t>
            </w:r>
          </w:p>
          <w:p w14:paraId="3E4187ED" w14:textId="77777777" w:rsidR="00AD6947" w:rsidRPr="004D1F98" w:rsidRDefault="00AD6947" w:rsidP="00AD6947">
            <w:pPr>
              <w:pStyle w:val="ListParagraph"/>
              <w:numPr>
                <w:ilvl w:val="0"/>
                <w:numId w:val="7"/>
              </w:numPr>
              <w:spacing w:after="120"/>
              <w:ind w:hanging="357"/>
              <w:contextualSpacing w:val="0"/>
              <w:rPr>
                <w:rFonts w:eastAsia="SimSun"/>
              </w:rPr>
            </w:pPr>
            <w:r w:rsidRPr="003972EC">
              <w:rPr>
                <w:rFonts w:eastAsia="SimSun"/>
              </w:rPr>
              <w:t>PositionVelocity-r17 in TS 38.331 can be used to signal the BS location to ATG UE.</w:t>
            </w:r>
          </w:p>
          <w:p w14:paraId="5C3A6E26" w14:textId="6F89157B" w:rsidR="00A9447D" w:rsidRDefault="007115E6" w:rsidP="00EC0401">
            <w:pPr>
              <w:rPr>
                <w:rFonts w:ascii="Arial" w:hAnsi="Arial" w:cs="Arial"/>
                <w:sz w:val="24"/>
                <w:szCs w:val="24"/>
                <w:lang w:val="en-US"/>
              </w:rPr>
            </w:pPr>
            <w:r w:rsidRPr="007115E6">
              <w:rPr>
                <w:rFonts w:ascii="Arial" w:hAnsi="Arial" w:cs="Arial"/>
                <w:sz w:val="24"/>
                <w:szCs w:val="24"/>
                <w:lang w:val="en-US"/>
              </w:rPr>
              <w:t>3.2.</w:t>
            </w:r>
            <w:r w:rsidRPr="007115E6">
              <w:rPr>
                <w:rFonts w:ascii="Arial" w:hAnsi="Arial" w:cs="Arial"/>
                <w:sz w:val="24"/>
                <w:szCs w:val="24"/>
                <w:lang w:val="en-US"/>
              </w:rPr>
              <w:tab/>
              <w:t>Timing and frequency pre-compensation by UE</w:t>
            </w:r>
          </w:p>
          <w:p w14:paraId="2AF4E3E0" w14:textId="77777777" w:rsidR="005E5986" w:rsidRDefault="005E5986" w:rsidP="005E5986">
            <w:pPr>
              <w:rPr>
                <w:b/>
                <w:u w:val="single"/>
                <w:lang w:eastAsia="ko-KR"/>
              </w:rPr>
            </w:pPr>
            <w:r w:rsidRPr="00322B2B">
              <w:rPr>
                <w:b/>
                <w:u w:val="single"/>
                <w:lang w:eastAsia="ko-KR"/>
              </w:rPr>
              <w:t xml:space="preserve">Issue 3-2-1: Whether to introduce </w:t>
            </w:r>
            <w:bookmarkStart w:id="6" w:name="_Hlk127449719"/>
            <w:r w:rsidRPr="00322B2B">
              <w:rPr>
                <w:b/>
                <w:u w:val="single"/>
                <w:lang w:eastAsia="ko-KR"/>
              </w:rPr>
              <w:t>UE based Timing pre-compensation</w:t>
            </w:r>
          </w:p>
          <w:bookmarkEnd w:id="6"/>
          <w:p w14:paraId="0FD6D28F" w14:textId="77777777" w:rsidR="005E5986" w:rsidRPr="007C6368" w:rsidRDefault="005E5986" w:rsidP="005E5986">
            <w:pPr>
              <w:spacing w:after="60"/>
              <w:rPr>
                <w:rFonts w:eastAsiaTheme="minorEastAsia"/>
                <w:iCs/>
              </w:rPr>
            </w:pPr>
            <w:r w:rsidRPr="007C6368">
              <w:rPr>
                <w:rFonts w:eastAsiaTheme="minorEastAsia"/>
                <w:iCs/>
              </w:rPr>
              <w:t>Agreements</w:t>
            </w:r>
          </w:p>
          <w:p w14:paraId="3F5864AF" w14:textId="77777777" w:rsidR="005E5986" w:rsidRPr="007C6368" w:rsidRDefault="005E5986" w:rsidP="005E5986">
            <w:pPr>
              <w:pStyle w:val="ListParagraph"/>
              <w:numPr>
                <w:ilvl w:val="0"/>
                <w:numId w:val="7"/>
              </w:numPr>
              <w:spacing w:after="120"/>
              <w:ind w:hanging="357"/>
              <w:contextualSpacing w:val="0"/>
              <w:rPr>
                <w:rFonts w:eastAsia="SimSun"/>
              </w:rPr>
            </w:pPr>
            <w:r w:rsidRPr="007C6368">
              <w:rPr>
                <w:rFonts w:eastAsia="SimSun"/>
              </w:rPr>
              <w:t xml:space="preserve">Support UE-based timing pre-compensation for ATG networks </w:t>
            </w:r>
          </w:p>
          <w:p w14:paraId="3D1B51E9" w14:textId="77777777" w:rsidR="005E5986" w:rsidRPr="007C6368" w:rsidRDefault="005E5986" w:rsidP="005E5986">
            <w:pPr>
              <w:pStyle w:val="ListParagraph"/>
              <w:numPr>
                <w:ilvl w:val="1"/>
                <w:numId w:val="7"/>
              </w:numPr>
              <w:spacing w:after="120"/>
              <w:contextualSpacing w:val="0"/>
              <w:rPr>
                <w:rFonts w:eastAsia="SimSun"/>
              </w:rPr>
            </w:pPr>
            <w:r w:rsidRPr="007C6368">
              <w:rPr>
                <w:rFonts w:eastAsia="SimSun"/>
              </w:rPr>
              <w:t xml:space="preserve">FFS for details and whether NTN-based solution can be reused </w:t>
            </w:r>
          </w:p>
          <w:p w14:paraId="0F2AAA95" w14:textId="705600DA" w:rsidR="007115E6" w:rsidRDefault="00D84E05" w:rsidP="00EC0401">
            <w:pPr>
              <w:rPr>
                <w:rFonts w:ascii="Arial" w:hAnsi="Arial" w:cs="Arial"/>
                <w:sz w:val="24"/>
                <w:szCs w:val="24"/>
                <w:lang w:val="en-US"/>
              </w:rPr>
            </w:pPr>
            <w:r w:rsidRPr="00D84E05">
              <w:rPr>
                <w:rFonts w:ascii="Arial" w:hAnsi="Arial" w:cs="Arial"/>
                <w:sz w:val="24"/>
                <w:szCs w:val="24"/>
                <w:lang w:val="en-US"/>
              </w:rPr>
              <w:t>3.3.</w:t>
            </w:r>
            <w:r w:rsidRPr="00D84E05">
              <w:rPr>
                <w:rFonts w:ascii="Arial" w:hAnsi="Arial" w:cs="Arial"/>
                <w:sz w:val="24"/>
                <w:szCs w:val="24"/>
                <w:lang w:val="en-US"/>
              </w:rPr>
              <w:tab/>
              <w:t>Timing requirements</w:t>
            </w:r>
          </w:p>
          <w:p w14:paraId="3D71C95B" w14:textId="77777777" w:rsidR="00880E55" w:rsidRPr="00BB712F" w:rsidRDefault="00880E55" w:rsidP="00880E55">
            <w:pPr>
              <w:rPr>
                <w:b/>
                <w:u w:val="single"/>
                <w:lang w:eastAsia="ko-KR"/>
              </w:rPr>
            </w:pPr>
            <w:r w:rsidRPr="00BB712F">
              <w:rPr>
                <w:b/>
                <w:u w:val="single"/>
                <w:lang w:eastAsia="ko-KR"/>
              </w:rPr>
              <w:t xml:space="preserve">Issue 3-3-1: UE transmit timing </w:t>
            </w:r>
          </w:p>
          <w:p w14:paraId="51467802" w14:textId="77777777" w:rsidR="00880E55" w:rsidRDefault="00880E55" w:rsidP="00880E55">
            <w:pPr>
              <w:rPr>
                <w:b/>
                <w:u w:val="single"/>
                <w:lang w:eastAsia="ko-KR"/>
              </w:rPr>
            </w:pPr>
            <w:r w:rsidRPr="00BB712F">
              <w:rPr>
                <w:b/>
                <w:u w:val="single"/>
                <w:lang w:eastAsia="ko-KR"/>
              </w:rPr>
              <w:t xml:space="preserve">Issue 3-3-1-1: Initial transmit timing requirements </w:t>
            </w:r>
            <w:proofErr w:type="spellStart"/>
            <w:r w:rsidRPr="00BB712F">
              <w:rPr>
                <w:b/>
                <w:u w:val="single"/>
                <w:lang w:eastAsia="ko-KR"/>
              </w:rPr>
              <w:t>T</w:t>
            </w:r>
            <w:r w:rsidRPr="007B5179">
              <w:rPr>
                <w:b/>
                <w:u w:val="single"/>
                <w:vertAlign w:val="subscript"/>
                <w:lang w:eastAsia="ko-KR"/>
              </w:rPr>
              <w:t>e</w:t>
            </w:r>
            <w:proofErr w:type="spellEnd"/>
          </w:p>
          <w:p w14:paraId="1776B74D" w14:textId="77777777" w:rsidR="00880E55" w:rsidRDefault="00880E55" w:rsidP="00880E55">
            <w:pPr>
              <w:pStyle w:val="ListParagraph"/>
              <w:numPr>
                <w:ilvl w:val="0"/>
                <w:numId w:val="7"/>
              </w:numPr>
              <w:spacing w:after="120"/>
              <w:ind w:hanging="357"/>
              <w:contextualSpacing w:val="0"/>
              <w:rPr>
                <w:rFonts w:eastAsia="SimSun"/>
              </w:rPr>
            </w:pPr>
            <w:r w:rsidRPr="009C1141">
              <w:rPr>
                <w:rFonts w:eastAsia="SimSun"/>
              </w:rPr>
              <w:t xml:space="preserve">Option 1: The legacy R15 TN requirement for initial transmit timing requirement </w:t>
            </w:r>
            <w:proofErr w:type="spellStart"/>
            <w:r w:rsidRPr="009C1141">
              <w:rPr>
                <w:rFonts w:eastAsia="SimSun"/>
              </w:rPr>
              <w:t>Te</w:t>
            </w:r>
            <w:proofErr w:type="spellEnd"/>
            <w:r w:rsidRPr="009C1141">
              <w:rPr>
                <w:rFonts w:eastAsia="SimSun"/>
              </w:rPr>
              <w:t xml:space="preserve"> can be reused.</w:t>
            </w:r>
          </w:p>
          <w:p w14:paraId="4062BEE4" w14:textId="77777777" w:rsidR="00880E55" w:rsidRPr="004D1F98" w:rsidRDefault="00880E55" w:rsidP="00880E55">
            <w:pPr>
              <w:pStyle w:val="ListParagraph"/>
              <w:numPr>
                <w:ilvl w:val="0"/>
                <w:numId w:val="7"/>
              </w:numPr>
              <w:spacing w:after="120"/>
              <w:ind w:hanging="357"/>
              <w:contextualSpacing w:val="0"/>
              <w:rPr>
                <w:rFonts w:eastAsia="SimSun"/>
              </w:rPr>
            </w:pPr>
            <w:r>
              <w:rPr>
                <w:rFonts w:eastAsia="SimSun" w:hint="eastAsia"/>
              </w:rPr>
              <w:t>O</w:t>
            </w:r>
            <w:r>
              <w:rPr>
                <w:rFonts w:eastAsia="SimSun"/>
              </w:rPr>
              <w:t xml:space="preserve">ption 2: The </w:t>
            </w:r>
            <w:proofErr w:type="spellStart"/>
            <w:r>
              <w:rPr>
                <w:rFonts w:eastAsia="SimSun"/>
              </w:rPr>
              <w:t>T</w:t>
            </w:r>
            <w:r w:rsidRPr="004D1F98">
              <w:rPr>
                <w:rFonts w:eastAsia="SimSun"/>
                <w:vertAlign w:val="subscript"/>
              </w:rPr>
              <w:t>e</w:t>
            </w:r>
            <w:proofErr w:type="spellEnd"/>
            <w:r>
              <w:rPr>
                <w:rFonts w:eastAsia="SimSun"/>
              </w:rPr>
              <w:t xml:space="preserve"> should be revised, FFS the value.</w:t>
            </w:r>
          </w:p>
          <w:p w14:paraId="27421A54" w14:textId="77777777" w:rsidR="00880E55" w:rsidRDefault="00880E55" w:rsidP="00880E55">
            <w:pPr>
              <w:rPr>
                <w:b/>
                <w:u w:val="single"/>
                <w:lang w:eastAsia="ko-KR"/>
              </w:rPr>
            </w:pPr>
            <w:r w:rsidRPr="00C45113">
              <w:rPr>
                <w:b/>
                <w:u w:val="single"/>
                <w:lang w:eastAsia="ko-KR"/>
              </w:rPr>
              <w:t>Issue 3-3-1-2: Gradual timing adjustment</w:t>
            </w:r>
          </w:p>
          <w:p w14:paraId="2DF8D8C4" w14:textId="77777777" w:rsidR="00880E55" w:rsidRPr="009C1141" w:rsidRDefault="00880E55" w:rsidP="00880E55">
            <w:pPr>
              <w:pStyle w:val="ListParagraph"/>
              <w:numPr>
                <w:ilvl w:val="0"/>
                <w:numId w:val="7"/>
              </w:numPr>
              <w:spacing w:after="120"/>
              <w:ind w:hanging="357"/>
              <w:contextualSpacing w:val="0"/>
              <w:rPr>
                <w:rFonts w:eastAsia="SimSun"/>
              </w:rPr>
            </w:pPr>
            <w:r w:rsidRPr="009C1141">
              <w:rPr>
                <w:rFonts w:eastAsia="SimSun"/>
              </w:rPr>
              <w:t xml:space="preserve">Option 1: For ATG, the </w:t>
            </w:r>
            <w:proofErr w:type="spellStart"/>
            <w:r w:rsidRPr="009C1141">
              <w:rPr>
                <w:rFonts w:eastAsia="SimSun"/>
              </w:rPr>
              <w:t>T</w:t>
            </w:r>
            <w:r w:rsidRPr="009C1141">
              <w:rPr>
                <w:rFonts w:eastAsia="SimSun"/>
                <w:vertAlign w:val="subscript"/>
              </w:rPr>
              <w:t>q_ATG</w:t>
            </w:r>
            <w:proofErr w:type="spellEnd"/>
            <w:r w:rsidRPr="009C1141">
              <w:rPr>
                <w:rFonts w:eastAsia="SimSun"/>
              </w:rPr>
              <w:t xml:space="preserve"> and </w:t>
            </w:r>
            <w:proofErr w:type="spellStart"/>
            <w:r w:rsidRPr="009C1141">
              <w:rPr>
                <w:rFonts w:eastAsia="SimSun"/>
              </w:rPr>
              <w:t>T</w:t>
            </w:r>
            <w:r w:rsidRPr="009C1141">
              <w:rPr>
                <w:rFonts w:eastAsia="SimSun"/>
                <w:vertAlign w:val="subscript"/>
              </w:rPr>
              <w:t>p_ATG</w:t>
            </w:r>
            <w:proofErr w:type="spellEnd"/>
            <w:r w:rsidRPr="009C1141">
              <w:rPr>
                <w:rFonts w:eastAsia="SimSun"/>
              </w:rPr>
              <w:t xml:space="preserve"> should be 9.5*64*Tc in FR1 and UL SCS 15kHz and 30kHz SCS. (CMCC, Ericsson)</w:t>
            </w:r>
          </w:p>
          <w:p w14:paraId="3EA09F49" w14:textId="77777777" w:rsidR="00880E55" w:rsidRPr="009C1141" w:rsidRDefault="00880E55" w:rsidP="00880E55">
            <w:pPr>
              <w:pStyle w:val="ListParagraph"/>
              <w:numPr>
                <w:ilvl w:val="0"/>
                <w:numId w:val="7"/>
              </w:numPr>
              <w:spacing w:after="120"/>
              <w:ind w:hanging="357"/>
              <w:contextualSpacing w:val="0"/>
              <w:rPr>
                <w:rFonts w:eastAsia="SimSun"/>
              </w:rPr>
            </w:pPr>
            <w:r w:rsidRPr="009C1141">
              <w:rPr>
                <w:rFonts w:eastAsia="SimSun"/>
              </w:rPr>
              <w:t xml:space="preserve">Option 2: The maximum aggregate adjustment rate is changed to </w:t>
            </w:r>
            <w:proofErr w:type="spellStart"/>
            <w:r w:rsidRPr="009C1141">
              <w:rPr>
                <w:rFonts w:eastAsia="SimSun"/>
              </w:rPr>
              <w:t>Tq</w:t>
            </w:r>
            <w:proofErr w:type="spellEnd"/>
            <w:r w:rsidRPr="009C1141">
              <w:rPr>
                <w:rFonts w:eastAsia="SimSun"/>
              </w:rPr>
              <w:t xml:space="preserve"> per 100ms for ATG UE. (CATT)</w:t>
            </w:r>
          </w:p>
          <w:p w14:paraId="330B8352" w14:textId="77777777" w:rsidR="00880E55" w:rsidRPr="004D1F98" w:rsidRDefault="00880E55" w:rsidP="00880E55">
            <w:pPr>
              <w:pStyle w:val="ListParagraph"/>
              <w:numPr>
                <w:ilvl w:val="0"/>
                <w:numId w:val="7"/>
              </w:numPr>
              <w:spacing w:after="120"/>
              <w:ind w:hanging="357"/>
              <w:contextualSpacing w:val="0"/>
              <w:rPr>
                <w:rFonts w:eastAsia="SimSun"/>
              </w:rPr>
            </w:pPr>
            <w:r w:rsidRPr="009C1141">
              <w:rPr>
                <w:rFonts w:eastAsia="SimSun"/>
              </w:rPr>
              <w:t xml:space="preserve">Option 3: </w:t>
            </w:r>
            <w:proofErr w:type="spellStart"/>
            <w:r w:rsidRPr="009C1141">
              <w:rPr>
                <w:rFonts w:eastAsia="SimSun"/>
              </w:rPr>
              <w:t>T</w:t>
            </w:r>
            <w:r w:rsidRPr="009C1141">
              <w:rPr>
                <w:rFonts w:eastAsia="SimSun"/>
                <w:vertAlign w:val="subscript"/>
              </w:rPr>
              <w:t>p</w:t>
            </w:r>
            <w:proofErr w:type="spellEnd"/>
            <w:r w:rsidRPr="009C1141">
              <w:rPr>
                <w:rFonts w:eastAsia="SimSun"/>
              </w:rPr>
              <w:t xml:space="preserve"> and </w:t>
            </w:r>
            <w:proofErr w:type="spellStart"/>
            <w:r w:rsidRPr="009C1141">
              <w:rPr>
                <w:rFonts w:eastAsia="SimSun"/>
              </w:rPr>
              <w:t>T</w:t>
            </w:r>
            <w:r w:rsidRPr="009C1141">
              <w:rPr>
                <w:rFonts w:eastAsia="SimSun"/>
                <w:vertAlign w:val="subscript"/>
              </w:rPr>
              <w:t>q</w:t>
            </w:r>
            <w:proofErr w:type="spellEnd"/>
            <w:r w:rsidRPr="009C1141">
              <w:rPr>
                <w:rFonts w:eastAsia="SimSun"/>
              </w:rPr>
              <w:t xml:space="preserve"> shall be updated for ATG UE. (Apple, ZTE)</w:t>
            </w:r>
          </w:p>
          <w:p w14:paraId="5BB9A56C" w14:textId="77777777" w:rsidR="00880E55" w:rsidRDefault="00880E55" w:rsidP="00880E55">
            <w:pPr>
              <w:rPr>
                <w:b/>
                <w:u w:val="single"/>
                <w:lang w:eastAsia="ko-KR"/>
              </w:rPr>
            </w:pPr>
            <w:r w:rsidRPr="00322B2B">
              <w:rPr>
                <w:b/>
                <w:u w:val="single"/>
                <w:lang w:eastAsia="ko-KR"/>
              </w:rPr>
              <w:t>Issue 3-3-2: Timing advance</w:t>
            </w:r>
          </w:p>
          <w:p w14:paraId="7C0C08C2" w14:textId="77777777" w:rsidR="00880E55" w:rsidRPr="009C1141" w:rsidRDefault="00880E55" w:rsidP="00880E55">
            <w:pPr>
              <w:spacing w:after="60"/>
              <w:rPr>
                <w:rFonts w:eastAsiaTheme="minorEastAsia"/>
                <w:iCs/>
              </w:rPr>
            </w:pPr>
            <w:r w:rsidRPr="007C6368">
              <w:rPr>
                <w:rFonts w:eastAsiaTheme="minorEastAsia"/>
                <w:iCs/>
              </w:rPr>
              <w:t>Agreements</w:t>
            </w:r>
            <w:r>
              <w:rPr>
                <w:rFonts w:eastAsiaTheme="minorEastAsia"/>
                <w:iCs/>
              </w:rPr>
              <w:t>:</w:t>
            </w:r>
          </w:p>
          <w:p w14:paraId="74B8E339" w14:textId="77777777" w:rsidR="00880E55" w:rsidRPr="009C1141" w:rsidRDefault="00880E55" w:rsidP="00880E55">
            <w:pPr>
              <w:pStyle w:val="ListParagraph"/>
              <w:numPr>
                <w:ilvl w:val="0"/>
                <w:numId w:val="7"/>
              </w:numPr>
              <w:spacing w:after="120"/>
              <w:ind w:hanging="357"/>
              <w:contextualSpacing w:val="0"/>
              <w:rPr>
                <w:rFonts w:eastAsia="SimSun"/>
              </w:rPr>
            </w:pPr>
            <w:bookmarkStart w:id="7" w:name="_Hlk118881565"/>
            <w:r w:rsidRPr="009C1141">
              <w:rPr>
                <w:rFonts w:eastAsia="SimSun"/>
              </w:rPr>
              <w:t>For timing Advance adjustment accuracy requirement, legacy value can be reused.</w:t>
            </w:r>
          </w:p>
          <w:p w14:paraId="73F1FF82" w14:textId="77777777" w:rsidR="00880E55" w:rsidRPr="009C1141" w:rsidRDefault="00880E55" w:rsidP="00880E55">
            <w:pPr>
              <w:spacing w:after="60"/>
              <w:rPr>
                <w:rFonts w:eastAsiaTheme="minorEastAsia"/>
                <w:iCs/>
              </w:rPr>
            </w:pPr>
            <w:r w:rsidRPr="009C1141">
              <w:rPr>
                <w:rFonts w:eastAsiaTheme="minorEastAsia" w:hint="eastAsia"/>
                <w:iCs/>
              </w:rPr>
              <w:t>W</w:t>
            </w:r>
            <w:r w:rsidRPr="009C1141">
              <w:rPr>
                <w:rFonts w:eastAsiaTheme="minorEastAsia"/>
                <w:iCs/>
              </w:rPr>
              <w:t>ay forward:</w:t>
            </w:r>
          </w:p>
          <w:p w14:paraId="25E41D88" w14:textId="77777777" w:rsidR="00880E55" w:rsidRPr="004D1F98" w:rsidRDefault="00880E55" w:rsidP="00880E55">
            <w:pPr>
              <w:pStyle w:val="ListParagraph"/>
              <w:numPr>
                <w:ilvl w:val="0"/>
                <w:numId w:val="7"/>
              </w:numPr>
              <w:spacing w:after="120"/>
              <w:ind w:hanging="357"/>
              <w:contextualSpacing w:val="0"/>
              <w:rPr>
                <w:rFonts w:eastAsia="SimSun"/>
              </w:rPr>
            </w:pPr>
            <w:r w:rsidRPr="009C1141">
              <w:rPr>
                <w:rFonts w:eastAsia="SimSun"/>
              </w:rPr>
              <w:t>Further discuss timing advance adjustment delay requirement.</w:t>
            </w:r>
          </w:p>
          <w:bookmarkEnd w:id="7"/>
          <w:p w14:paraId="3B4DB543" w14:textId="77777777" w:rsidR="00880E55" w:rsidRDefault="00880E55" w:rsidP="00880E55">
            <w:pPr>
              <w:rPr>
                <w:b/>
                <w:u w:val="single"/>
                <w:lang w:eastAsia="ko-KR"/>
              </w:rPr>
            </w:pPr>
            <w:r w:rsidRPr="00322B2B">
              <w:rPr>
                <w:b/>
                <w:u w:val="single"/>
                <w:lang w:eastAsia="ko-KR"/>
              </w:rPr>
              <w:t xml:space="preserve">Issue 3-3-4: </w:t>
            </w:r>
            <w:proofErr w:type="spellStart"/>
            <w:r w:rsidRPr="00322B2B">
              <w:rPr>
                <w:b/>
                <w:u w:val="single"/>
                <w:lang w:eastAsia="ko-KR"/>
              </w:rPr>
              <w:t>deriveSSB-IndexFromCell</w:t>
            </w:r>
            <w:proofErr w:type="spellEnd"/>
            <w:r w:rsidRPr="00322B2B">
              <w:rPr>
                <w:b/>
                <w:u w:val="single"/>
                <w:lang w:eastAsia="ko-KR"/>
              </w:rPr>
              <w:t xml:space="preserve"> and </w:t>
            </w:r>
            <w:proofErr w:type="spellStart"/>
            <w:r w:rsidRPr="00322B2B">
              <w:rPr>
                <w:b/>
                <w:u w:val="single"/>
                <w:lang w:eastAsia="ko-KR"/>
              </w:rPr>
              <w:t>deriveSSB</w:t>
            </w:r>
            <w:proofErr w:type="spellEnd"/>
            <w:r w:rsidRPr="00322B2B">
              <w:rPr>
                <w:b/>
                <w:u w:val="single"/>
                <w:lang w:eastAsia="ko-KR"/>
              </w:rPr>
              <w:t>-</w:t>
            </w:r>
            <w:proofErr w:type="spellStart"/>
            <w:r w:rsidRPr="00322B2B">
              <w:rPr>
                <w:b/>
                <w:u w:val="single"/>
                <w:lang w:eastAsia="ko-KR"/>
              </w:rPr>
              <w:t>IndexFromCell</w:t>
            </w:r>
            <w:proofErr w:type="spellEnd"/>
            <w:r w:rsidRPr="00322B2B">
              <w:rPr>
                <w:b/>
                <w:u w:val="single"/>
                <w:lang w:eastAsia="ko-KR"/>
              </w:rPr>
              <w:t xml:space="preserve">-inter tolerance </w:t>
            </w:r>
          </w:p>
          <w:p w14:paraId="2F2F906D" w14:textId="77777777" w:rsidR="00880E55" w:rsidRPr="009C1141" w:rsidRDefault="00880E55" w:rsidP="00880E55">
            <w:pPr>
              <w:pStyle w:val="ListParagraph"/>
              <w:numPr>
                <w:ilvl w:val="0"/>
                <w:numId w:val="7"/>
              </w:numPr>
              <w:spacing w:after="120"/>
              <w:ind w:hanging="357"/>
              <w:contextualSpacing w:val="0"/>
              <w:rPr>
                <w:rFonts w:eastAsia="SimSun"/>
              </w:rPr>
            </w:pPr>
            <w:r w:rsidRPr="009C1141">
              <w:rPr>
                <w:rFonts w:eastAsia="SimSun"/>
              </w:rPr>
              <w:t>Option 1: Legacy TN requirement can be reused. It is up to network to decide whether to enable ‘</w:t>
            </w:r>
            <w:proofErr w:type="spellStart"/>
            <w:r w:rsidRPr="009C1141">
              <w:rPr>
                <w:rFonts w:eastAsia="SimSun"/>
              </w:rPr>
              <w:t>deriveSSB-IndexFromCell</w:t>
            </w:r>
            <w:proofErr w:type="spellEnd"/>
            <w:r w:rsidRPr="009C1141">
              <w:rPr>
                <w:rFonts w:eastAsia="SimSun"/>
              </w:rPr>
              <w:t>’ and ‘</w:t>
            </w:r>
            <w:proofErr w:type="spellStart"/>
            <w:r w:rsidRPr="009C1141">
              <w:rPr>
                <w:rFonts w:eastAsia="SimSun"/>
              </w:rPr>
              <w:t>deriveSSB</w:t>
            </w:r>
            <w:proofErr w:type="spellEnd"/>
            <w:r w:rsidRPr="009C1141">
              <w:rPr>
                <w:rFonts w:eastAsia="SimSun"/>
              </w:rPr>
              <w:t>-</w:t>
            </w:r>
            <w:proofErr w:type="spellStart"/>
            <w:r w:rsidRPr="009C1141">
              <w:rPr>
                <w:rFonts w:eastAsia="SimSun"/>
              </w:rPr>
              <w:t>IndexFromCell</w:t>
            </w:r>
            <w:proofErr w:type="spellEnd"/>
            <w:r w:rsidRPr="009C1141">
              <w:rPr>
                <w:rFonts w:eastAsia="SimSun"/>
              </w:rPr>
              <w:t>-inter’ or not (CATT, CMCC, Apple, HW, ZTE)</w:t>
            </w:r>
          </w:p>
          <w:p w14:paraId="4EC46B35" w14:textId="77777777" w:rsidR="00880E55" w:rsidRDefault="00880E55" w:rsidP="00880E55">
            <w:pPr>
              <w:pStyle w:val="ListParagraph"/>
              <w:numPr>
                <w:ilvl w:val="0"/>
                <w:numId w:val="7"/>
              </w:numPr>
              <w:spacing w:after="120"/>
              <w:ind w:hanging="357"/>
              <w:contextualSpacing w:val="0"/>
              <w:rPr>
                <w:rFonts w:eastAsia="SimSun"/>
              </w:rPr>
            </w:pPr>
            <w:r w:rsidRPr="009C1141">
              <w:rPr>
                <w:rFonts w:eastAsia="SimSun"/>
              </w:rPr>
              <w:t xml:space="preserve">Option 2: RAN4 to study to utilize the </w:t>
            </w:r>
            <w:proofErr w:type="spellStart"/>
            <w:r w:rsidRPr="009C1141">
              <w:rPr>
                <w:rFonts w:eastAsia="SimSun"/>
              </w:rPr>
              <w:t>deriveSSB-IndexFromCell</w:t>
            </w:r>
            <w:proofErr w:type="spellEnd"/>
            <w:r w:rsidRPr="009C1141">
              <w:rPr>
                <w:rFonts w:eastAsia="SimSun"/>
              </w:rPr>
              <w:t xml:space="preserve"> based on the propagation delay difference between serving and </w:t>
            </w:r>
            <w:proofErr w:type="spellStart"/>
            <w:r w:rsidRPr="009C1141">
              <w:rPr>
                <w:rFonts w:eastAsia="SimSun"/>
              </w:rPr>
              <w:t>neighbor</w:t>
            </w:r>
            <w:proofErr w:type="spellEnd"/>
            <w:r w:rsidRPr="009C1141">
              <w:rPr>
                <w:rFonts w:eastAsia="SimSun"/>
              </w:rPr>
              <w:t xml:space="preserve"> cell. (LGE)</w:t>
            </w:r>
          </w:p>
          <w:p w14:paraId="6051A047" w14:textId="77777777" w:rsidR="00880E55" w:rsidRDefault="00880E55" w:rsidP="00880E55">
            <w:pPr>
              <w:spacing w:after="120"/>
              <w:rPr>
                <w:rFonts w:eastAsia="SimSun"/>
              </w:rPr>
            </w:pPr>
            <w:r>
              <w:rPr>
                <w:rFonts w:eastAsia="SimSun" w:hint="eastAsia"/>
              </w:rPr>
              <w:t>A</w:t>
            </w:r>
            <w:r>
              <w:rPr>
                <w:rFonts w:eastAsia="SimSun"/>
              </w:rPr>
              <w:t>greement:</w:t>
            </w:r>
          </w:p>
          <w:p w14:paraId="367E9D55" w14:textId="77777777" w:rsidR="00880E55" w:rsidRPr="004D1F98" w:rsidRDefault="00880E55" w:rsidP="00880E55">
            <w:pPr>
              <w:pStyle w:val="ListParagraph"/>
              <w:numPr>
                <w:ilvl w:val="0"/>
                <w:numId w:val="7"/>
              </w:numPr>
              <w:spacing w:after="120"/>
              <w:ind w:hanging="357"/>
              <w:contextualSpacing w:val="0"/>
              <w:rPr>
                <w:rFonts w:eastAsia="SimSun"/>
              </w:rPr>
            </w:pPr>
            <w:r w:rsidRPr="009C1141">
              <w:rPr>
                <w:rFonts w:eastAsia="SimSun"/>
              </w:rPr>
              <w:lastRenderedPageBreak/>
              <w:t xml:space="preserve">Legacy TN requirement can be reused. </w:t>
            </w:r>
            <w:r>
              <w:rPr>
                <w:color w:val="000000"/>
                <w:shd w:val="clear" w:color="auto" w:fill="FFFFFF"/>
              </w:rPr>
              <w:t>Whether ‘</w:t>
            </w:r>
            <w:proofErr w:type="spellStart"/>
            <w:r>
              <w:rPr>
                <w:color w:val="000000"/>
                <w:shd w:val="clear" w:color="auto" w:fill="FFFFFF"/>
              </w:rPr>
              <w:t>deriveSSB-IndexFromCell</w:t>
            </w:r>
            <w:proofErr w:type="spellEnd"/>
            <w:r>
              <w:rPr>
                <w:color w:val="000000"/>
                <w:shd w:val="clear" w:color="auto" w:fill="FFFFFF"/>
              </w:rPr>
              <w:t>’ and/or ‘</w:t>
            </w:r>
            <w:proofErr w:type="spellStart"/>
            <w:r>
              <w:rPr>
                <w:color w:val="000000"/>
                <w:shd w:val="clear" w:color="auto" w:fill="FFFFFF"/>
              </w:rPr>
              <w:t>deriveSSB</w:t>
            </w:r>
            <w:proofErr w:type="spellEnd"/>
            <w:r>
              <w:rPr>
                <w:color w:val="000000"/>
                <w:shd w:val="clear" w:color="auto" w:fill="FFFFFF"/>
              </w:rPr>
              <w:t>-</w:t>
            </w:r>
            <w:proofErr w:type="spellStart"/>
            <w:r>
              <w:rPr>
                <w:color w:val="000000"/>
                <w:shd w:val="clear" w:color="auto" w:fill="FFFFFF"/>
              </w:rPr>
              <w:t>IndexFromCell</w:t>
            </w:r>
            <w:proofErr w:type="spellEnd"/>
            <w:r>
              <w:rPr>
                <w:color w:val="000000"/>
                <w:shd w:val="clear" w:color="auto" w:fill="FFFFFF"/>
              </w:rPr>
              <w:t>-inter’ are applicable to ATG scenarios is FFS</w:t>
            </w:r>
          </w:p>
          <w:p w14:paraId="7050C38B" w14:textId="1B6DEF1D" w:rsidR="00F21541" w:rsidRDefault="00F21541" w:rsidP="00F21541">
            <w:pPr>
              <w:rPr>
                <w:lang w:val="en-US"/>
              </w:rPr>
            </w:pPr>
            <w:r>
              <w:rPr>
                <w:lang w:val="en-US"/>
              </w:rPr>
              <w:t>…</w:t>
            </w:r>
          </w:p>
        </w:tc>
      </w:tr>
    </w:tbl>
    <w:p w14:paraId="5BA78C6C" w14:textId="77777777" w:rsidR="00F21541" w:rsidRPr="00F21541" w:rsidRDefault="00F21541" w:rsidP="00F21541">
      <w:pPr>
        <w:rPr>
          <w:lang w:val="en-US"/>
        </w:rPr>
      </w:pPr>
    </w:p>
    <w:p w14:paraId="038B2E86" w14:textId="70B35F83" w:rsidR="00C4067B" w:rsidRDefault="00A47B8E" w:rsidP="000340E3">
      <w:pPr>
        <w:pStyle w:val="Heading3"/>
        <w:numPr>
          <w:ilvl w:val="2"/>
          <w:numId w:val="12"/>
        </w:numPr>
      </w:pPr>
      <w:r w:rsidRPr="00A47B8E">
        <w:t>UE based Timing pre-compensation</w:t>
      </w:r>
    </w:p>
    <w:p w14:paraId="3FBF0CE9" w14:textId="22DD61EC" w:rsidR="00C4067B" w:rsidRPr="00AE36DD" w:rsidRDefault="00D76AB5" w:rsidP="00C4067B">
      <w:pPr>
        <w:rPr>
          <w:rFonts w:eastAsia="SimSun"/>
        </w:rPr>
      </w:pPr>
      <w:r>
        <w:rPr>
          <w:rFonts w:eastAsia="SimSun"/>
        </w:rPr>
        <w:t xml:space="preserve">Ericsson prefers the </w:t>
      </w:r>
      <w:r w:rsidR="005D5C1C">
        <w:rPr>
          <w:rFonts w:eastAsia="SimSun"/>
        </w:rPr>
        <w:t xml:space="preserve">ATG standard to be as general as possible supporting ISD of [14] – 200 km </w:t>
      </w:r>
      <w:r w:rsidR="00CF4154">
        <w:rPr>
          <w:rFonts w:eastAsia="SimSun"/>
        </w:rPr>
        <w:t xml:space="preserve">and cell ranges up to 300 km, as originally proposed in the WID. </w:t>
      </w:r>
      <w:r w:rsidR="00A47B8E">
        <w:rPr>
          <w:rFonts w:eastAsia="SimSun"/>
        </w:rPr>
        <w:t xml:space="preserve">It has already been agreed in WF </w:t>
      </w:r>
      <w:r w:rsidR="005E7A80">
        <w:rPr>
          <w:rFonts w:eastAsia="SimSun"/>
        </w:rPr>
        <w:t xml:space="preserve">[2] that </w:t>
      </w:r>
      <w:r w:rsidR="005E7A80" w:rsidRPr="005E7A80">
        <w:rPr>
          <w:rFonts w:eastAsia="SimSun"/>
        </w:rPr>
        <w:t xml:space="preserve">PositionVelocity-r17 in TS 38.331 can be used to signal the BS location to ATG </w:t>
      </w:r>
      <w:proofErr w:type="gramStart"/>
      <w:r w:rsidR="005E7A80" w:rsidRPr="005E7A80">
        <w:rPr>
          <w:rFonts w:eastAsia="SimSun"/>
        </w:rPr>
        <w:t>UE</w:t>
      </w:r>
      <w:proofErr w:type="gramEnd"/>
      <w:r w:rsidR="008668BA">
        <w:rPr>
          <w:rFonts w:eastAsia="SimSun"/>
        </w:rPr>
        <w:t xml:space="preserve"> and that UE-based pre-compensation shall</w:t>
      </w:r>
      <w:r w:rsidR="007B4466">
        <w:rPr>
          <w:rFonts w:eastAsia="SimSun"/>
        </w:rPr>
        <w:t xml:space="preserve"> be supported in ATG networks</w:t>
      </w:r>
      <w:r w:rsidR="005E7A80" w:rsidRPr="005E7A80">
        <w:rPr>
          <w:rFonts w:eastAsia="SimSun"/>
        </w:rPr>
        <w:t>.</w:t>
      </w:r>
      <w:r w:rsidR="00871DF7">
        <w:rPr>
          <w:rFonts w:eastAsia="SimSun"/>
        </w:rPr>
        <w:t xml:space="preserve"> Given that </w:t>
      </w:r>
      <w:r w:rsidR="00871DF7" w:rsidRPr="00871DF7">
        <w:rPr>
          <w:rFonts w:eastAsia="SimSun"/>
        </w:rPr>
        <w:t>PositionVelocity-r17</w:t>
      </w:r>
      <w:r w:rsidR="00871DF7">
        <w:rPr>
          <w:rFonts w:eastAsia="SimSun"/>
        </w:rPr>
        <w:t xml:space="preserve"> is already part of NTN standard in release-17 and NTN supports the desired</w:t>
      </w:r>
      <w:r w:rsidR="008E43DA">
        <w:rPr>
          <w:rFonts w:eastAsia="SimSun"/>
        </w:rPr>
        <w:t xml:space="preserve"> ISD of </w:t>
      </w:r>
      <w:r w:rsidR="008E43DA" w:rsidRPr="008E43DA">
        <w:rPr>
          <w:rFonts w:eastAsia="SimSun"/>
        </w:rPr>
        <w:t xml:space="preserve">[14] – 200 km and cell </w:t>
      </w:r>
      <w:proofErr w:type="gramStart"/>
      <w:r w:rsidR="008E43DA" w:rsidRPr="008E43DA">
        <w:rPr>
          <w:rFonts w:eastAsia="SimSun"/>
        </w:rPr>
        <w:t>ranges</w:t>
      </w:r>
      <w:proofErr w:type="gramEnd"/>
      <w:r w:rsidR="008E43DA" w:rsidRPr="008E43DA">
        <w:rPr>
          <w:rFonts w:eastAsia="SimSun"/>
        </w:rPr>
        <w:t xml:space="preserve"> up to 300 km</w:t>
      </w:r>
      <w:r w:rsidR="008E43DA">
        <w:rPr>
          <w:rFonts w:eastAsia="SimSun"/>
        </w:rPr>
        <w:t xml:space="preserve">, then we propose that the </w:t>
      </w:r>
      <w:r w:rsidR="007B4466">
        <w:rPr>
          <w:rFonts w:eastAsia="SimSun"/>
        </w:rPr>
        <w:t xml:space="preserve">NTN standard is used for </w:t>
      </w:r>
      <w:r w:rsidR="007B4466" w:rsidRPr="007B4466">
        <w:rPr>
          <w:rFonts w:eastAsia="SimSun"/>
        </w:rPr>
        <w:t>UE based Timing pre-compensation</w:t>
      </w:r>
      <w:r w:rsidR="007B4466">
        <w:rPr>
          <w:rFonts w:eastAsia="SimSun"/>
        </w:rPr>
        <w:t>.</w:t>
      </w:r>
      <w:r w:rsidR="00AE36DD">
        <w:rPr>
          <w:rFonts w:eastAsia="SimSun"/>
        </w:rPr>
        <w:br/>
      </w:r>
      <w:r w:rsidR="007E73D4" w:rsidRPr="007E73D4">
        <w:rPr>
          <w:b/>
          <w:bCs/>
        </w:rPr>
        <w:br/>
      </w:r>
      <w:r w:rsidR="00607B54" w:rsidRPr="004B27F1">
        <w:rPr>
          <w:b/>
          <w:bCs/>
        </w:rPr>
        <w:t>Proposa</w:t>
      </w:r>
      <w:r w:rsidR="00ED432E" w:rsidRPr="004B27F1">
        <w:rPr>
          <w:b/>
          <w:bCs/>
        </w:rPr>
        <w:t xml:space="preserve">l 2: </w:t>
      </w:r>
      <w:r w:rsidR="007B4466" w:rsidRPr="004B27F1">
        <w:rPr>
          <w:rFonts w:eastAsia="SimSun"/>
          <w:b/>
          <w:bCs/>
        </w:rPr>
        <w:t>The NTN standard is used for UE based Timing pre-compensation</w:t>
      </w:r>
      <w:r w:rsidR="000002E4">
        <w:rPr>
          <w:rFonts w:eastAsia="SimSun"/>
          <w:b/>
          <w:bCs/>
        </w:rPr>
        <w:t>.</w:t>
      </w:r>
    </w:p>
    <w:p w14:paraId="41B89EEA" w14:textId="349A9256" w:rsidR="00C13038" w:rsidRDefault="00632BE2" w:rsidP="00C13038">
      <w:pPr>
        <w:pStyle w:val="Heading3"/>
        <w:numPr>
          <w:ilvl w:val="2"/>
          <w:numId w:val="11"/>
        </w:numPr>
      </w:pPr>
      <w:r>
        <w:t>UE transmit timing</w:t>
      </w:r>
    </w:p>
    <w:p w14:paraId="097AF1C9" w14:textId="34534E2E" w:rsidR="00CB451A" w:rsidRDefault="00CA4E05" w:rsidP="00C13038">
      <w:r>
        <w:t xml:space="preserve">Given that we in </w:t>
      </w:r>
      <w:r w:rsidR="007E5FE1">
        <w:t xml:space="preserve">proposal 2 state that </w:t>
      </w:r>
      <w:r w:rsidR="007E5FE1" w:rsidRPr="007E5FE1">
        <w:t>NTN standard is used for UE based Timing pre-compensation</w:t>
      </w:r>
      <w:r w:rsidR="007E5FE1">
        <w:t xml:space="preserve">, then we inherit the </w:t>
      </w:r>
      <w:r w:rsidR="00CB451A">
        <w:t>UE initial transmit timing error requirements from the NTN standard.</w:t>
      </w:r>
    </w:p>
    <w:p w14:paraId="25864DA8" w14:textId="57A37671" w:rsidR="00CB451A" w:rsidRDefault="009C5135" w:rsidP="00C13038">
      <w:pPr>
        <w:rPr>
          <w:rFonts w:eastAsia="SimSun"/>
          <w:b/>
          <w:bCs/>
        </w:rPr>
      </w:pPr>
      <w:r w:rsidRPr="004B27F1">
        <w:rPr>
          <w:b/>
          <w:bCs/>
        </w:rPr>
        <w:t xml:space="preserve">Proposal </w:t>
      </w:r>
      <w:r>
        <w:rPr>
          <w:b/>
          <w:bCs/>
        </w:rPr>
        <w:t>3</w:t>
      </w:r>
      <w:r w:rsidRPr="004B27F1">
        <w:rPr>
          <w:b/>
          <w:bCs/>
        </w:rPr>
        <w:t xml:space="preserve">: </w:t>
      </w:r>
      <w:r w:rsidRPr="009C5135">
        <w:rPr>
          <w:rFonts w:eastAsia="SimSun"/>
          <w:b/>
          <w:bCs/>
        </w:rPr>
        <w:t>UE initial transmit timing error requirements</w:t>
      </w:r>
      <w:r w:rsidR="00C575C2">
        <w:rPr>
          <w:rFonts w:eastAsia="SimSun"/>
          <w:b/>
          <w:bCs/>
        </w:rPr>
        <w:t xml:space="preserve">, </w:t>
      </w:r>
      <w:proofErr w:type="spellStart"/>
      <w:proofErr w:type="gramStart"/>
      <w:r w:rsidR="00C575C2">
        <w:rPr>
          <w:rFonts w:eastAsia="SimSun"/>
          <w:b/>
          <w:bCs/>
        </w:rPr>
        <w:t>T</w:t>
      </w:r>
      <w:r w:rsidR="00C575C2">
        <w:rPr>
          <w:rFonts w:eastAsia="SimSun"/>
          <w:b/>
          <w:bCs/>
          <w:vertAlign w:val="subscript"/>
        </w:rPr>
        <w:t>e</w:t>
      </w:r>
      <w:proofErr w:type="spellEnd"/>
      <w:r w:rsidR="00483C9F">
        <w:rPr>
          <w:rFonts w:eastAsia="SimSun"/>
          <w:b/>
          <w:bCs/>
          <w:vertAlign w:val="subscript"/>
        </w:rPr>
        <w:t xml:space="preserve"> </w:t>
      </w:r>
      <w:r w:rsidR="00C575C2">
        <w:rPr>
          <w:rFonts w:eastAsia="SimSun"/>
          <w:b/>
          <w:bCs/>
        </w:rPr>
        <w:t>,</w:t>
      </w:r>
      <w:proofErr w:type="gramEnd"/>
      <w:r w:rsidRPr="009C5135">
        <w:rPr>
          <w:rFonts w:eastAsia="SimSun"/>
          <w:b/>
          <w:bCs/>
        </w:rPr>
        <w:t xml:space="preserve"> from the NTN standard</w:t>
      </w:r>
      <w:r>
        <w:rPr>
          <w:rFonts w:eastAsia="SimSun"/>
          <w:b/>
          <w:bCs/>
        </w:rPr>
        <w:t xml:space="preserve"> can be used, since we propose the NTN standard to be the base for UE timing pre-compensation.</w:t>
      </w:r>
    </w:p>
    <w:p w14:paraId="097F1FF8" w14:textId="28093700" w:rsidR="00B572E5" w:rsidRPr="00B572E5" w:rsidRDefault="00B572E5" w:rsidP="00C13038">
      <w:pPr>
        <w:pStyle w:val="Heading3"/>
        <w:numPr>
          <w:ilvl w:val="2"/>
          <w:numId w:val="11"/>
        </w:numPr>
        <w:ind w:left="360" w:hanging="360"/>
      </w:pPr>
      <w:r>
        <w:t>UE gradual tim</w:t>
      </w:r>
      <w:r w:rsidR="00D337CD">
        <w:t>ing requirements</w:t>
      </w:r>
    </w:p>
    <w:p w14:paraId="7582380F" w14:textId="21988A62" w:rsidR="00345F7D" w:rsidRDefault="00483C9F" w:rsidP="00345F7D">
      <w:pPr>
        <w:rPr>
          <w:rFonts w:eastAsia="SimSun"/>
        </w:rPr>
      </w:pPr>
      <w:r>
        <w:rPr>
          <w:rFonts w:eastAsia="SimSun"/>
        </w:rPr>
        <w:t xml:space="preserve">The gradual </w:t>
      </w:r>
      <w:r w:rsidR="00D20233">
        <w:rPr>
          <w:rFonts w:eastAsia="SimSun"/>
        </w:rPr>
        <w:t xml:space="preserve">timing requirements can be adapted </w:t>
      </w:r>
      <w:r w:rsidR="00F409E4">
        <w:rPr>
          <w:rFonts w:eastAsia="SimSun"/>
        </w:rPr>
        <w:t xml:space="preserve">for ATG. </w:t>
      </w:r>
      <w:r w:rsidR="00D20233" w:rsidRPr="00D20233">
        <w:rPr>
          <w:rFonts w:eastAsia="SimSun"/>
        </w:rPr>
        <w:t xml:space="preserve">For ATG, the </w:t>
      </w:r>
      <w:proofErr w:type="spellStart"/>
      <w:r w:rsidR="00D20233" w:rsidRPr="00D20233">
        <w:rPr>
          <w:rFonts w:eastAsia="SimSun"/>
        </w:rPr>
        <w:t>Tq_ATG</w:t>
      </w:r>
      <w:proofErr w:type="spellEnd"/>
      <w:r w:rsidR="00D20233" w:rsidRPr="00D20233">
        <w:rPr>
          <w:rFonts w:eastAsia="SimSun"/>
        </w:rPr>
        <w:t xml:space="preserve"> and </w:t>
      </w:r>
      <w:proofErr w:type="spellStart"/>
      <w:r w:rsidR="00D20233" w:rsidRPr="00D20233">
        <w:rPr>
          <w:rFonts w:eastAsia="SimSun"/>
        </w:rPr>
        <w:t>Tp_ATG</w:t>
      </w:r>
      <w:proofErr w:type="spellEnd"/>
      <w:r w:rsidR="00D20233" w:rsidRPr="00D20233">
        <w:rPr>
          <w:rFonts w:eastAsia="SimSun"/>
        </w:rPr>
        <w:t xml:space="preserve"> should be 9.5*64*Tc in FR1 and UL SCS 15kHz and 30kHz SCS</w:t>
      </w:r>
      <w:r w:rsidR="00F409E4">
        <w:rPr>
          <w:rFonts w:eastAsia="SimSun"/>
        </w:rPr>
        <w:t>.</w:t>
      </w:r>
    </w:p>
    <w:p w14:paraId="7B5ACAEA" w14:textId="2299A5F6" w:rsidR="00F409E4" w:rsidRDefault="00F409E4" w:rsidP="00345F7D">
      <w:pPr>
        <w:rPr>
          <w:rFonts w:eastAsia="SimSun"/>
          <w:b/>
          <w:bCs/>
        </w:rPr>
      </w:pPr>
      <w:r w:rsidRPr="00F409E4">
        <w:rPr>
          <w:b/>
          <w:bCs/>
        </w:rPr>
        <w:t xml:space="preserve">Proposal 4: </w:t>
      </w:r>
      <w:r w:rsidRPr="00F409E4">
        <w:rPr>
          <w:rFonts w:eastAsia="SimSun"/>
          <w:b/>
          <w:bCs/>
        </w:rPr>
        <w:t xml:space="preserve">The gradual timing requirements can be adapted for ATG. For ATG, the </w:t>
      </w:r>
      <w:proofErr w:type="spellStart"/>
      <w:r w:rsidRPr="00F409E4">
        <w:rPr>
          <w:rFonts w:eastAsia="SimSun"/>
          <w:b/>
          <w:bCs/>
        </w:rPr>
        <w:t>Tq_ATG</w:t>
      </w:r>
      <w:proofErr w:type="spellEnd"/>
      <w:r w:rsidRPr="00F409E4">
        <w:rPr>
          <w:rFonts w:eastAsia="SimSun"/>
          <w:b/>
          <w:bCs/>
        </w:rPr>
        <w:t xml:space="preserve"> and </w:t>
      </w:r>
      <w:proofErr w:type="spellStart"/>
      <w:r w:rsidRPr="00F409E4">
        <w:rPr>
          <w:rFonts w:eastAsia="SimSun"/>
          <w:b/>
          <w:bCs/>
        </w:rPr>
        <w:t>Tp_ATG</w:t>
      </w:r>
      <w:proofErr w:type="spellEnd"/>
      <w:r w:rsidRPr="00F409E4">
        <w:rPr>
          <w:rFonts w:eastAsia="SimSun"/>
          <w:b/>
          <w:bCs/>
        </w:rPr>
        <w:t xml:space="preserve"> should be 9.5*64*Tc in FR1 and UL SCS 15kHz and 30kHz SCS.</w:t>
      </w:r>
    </w:p>
    <w:p w14:paraId="5A414E3C" w14:textId="67444376" w:rsidR="00731673" w:rsidRDefault="000002E4" w:rsidP="00731673">
      <w:pPr>
        <w:pStyle w:val="Heading3"/>
        <w:numPr>
          <w:ilvl w:val="2"/>
          <w:numId w:val="11"/>
        </w:numPr>
        <w:ind w:left="360" w:hanging="360"/>
      </w:pPr>
      <w:r>
        <w:t>Timing advance</w:t>
      </w:r>
    </w:p>
    <w:p w14:paraId="0415747B" w14:textId="04BE937D" w:rsidR="00272570" w:rsidRPr="00272570" w:rsidRDefault="00272570" w:rsidP="00272570">
      <w:pPr>
        <w:rPr>
          <w:rFonts w:eastAsia="SimSun"/>
        </w:rPr>
      </w:pPr>
      <w:r>
        <w:rPr>
          <w:rFonts w:eastAsia="SimSun"/>
        </w:rPr>
        <w:t xml:space="preserve">Regarding </w:t>
      </w:r>
      <w:r w:rsidRPr="00272570">
        <w:rPr>
          <w:rFonts w:eastAsia="SimSun"/>
        </w:rPr>
        <w:t>Issue 3-3-2</w:t>
      </w:r>
      <w:r>
        <w:rPr>
          <w:rFonts w:eastAsia="SimSun"/>
        </w:rPr>
        <w:t xml:space="preserve">, </w:t>
      </w:r>
      <w:r w:rsidRPr="00272570">
        <w:rPr>
          <w:rFonts w:eastAsia="SimSun"/>
        </w:rPr>
        <w:t>For timing Advance adjustment accuracy requirement</w:t>
      </w:r>
      <w:r>
        <w:rPr>
          <w:rFonts w:eastAsia="SimSun"/>
        </w:rPr>
        <w:t xml:space="preserve">, the WF [2] states that </w:t>
      </w:r>
      <w:r w:rsidRPr="00272570">
        <w:rPr>
          <w:rFonts w:eastAsia="SimSun"/>
        </w:rPr>
        <w:t>legacy value can be reused.</w:t>
      </w:r>
      <w:r w:rsidR="00FE57FF">
        <w:rPr>
          <w:rFonts w:eastAsia="SimSun"/>
        </w:rPr>
        <w:t xml:space="preserve"> That is fine, but WF also states:</w:t>
      </w:r>
    </w:p>
    <w:p w14:paraId="46223B98" w14:textId="77777777" w:rsidR="00272570" w:rsidRPr="00272570" w:rsidRDefault="00272570" w:rsidP="00FE57FF">
      <w:pPr>
        <w:ind w:left="284"/>
        <w:rPr>
          <w:rFonts w:eastAsia="SimSun"/>
        </w:rPr>
      </w:pPr>
      <w:r w:rsidRPr="00272570">
        <w:rPr>
          <w:rFonts w:eastAsia="SimSun"/>
        </w:rPr>
        <w:t>Way forward:</w:t>
      </w:r>
    </w:p>
    <w:p w14:paraId="784A88B6" w14:textId="2A5516CE" w:rsidR="000002E4" w:rsidRPr="000002E4" w:rsidRDefault="00272570" w:rsidP="00FE57FF">
      <w:pPr>
        <w:ind w:left="284"/>
        <w:rPr>
          <w:rFonts w:eastAsia="SimSun"/>
        </w:rPr>
      </w:pPr>
      <w:r w:rsidRPr="00272570">
        <w:rPr>
          <w:rFonts w:eastAsia="SimSun"/>
        </w:rPr>
        <w:t>•</w:t>
      </w:r>
      <w:r w:rsidRPr="00272570">
        <w:rPr>
          <w:rFonts w:eastAsia="SimSun"/>
        </w:rPr>
        <w:tab/>
        <w:t>Further discuss timing advance adjustment delay requirement.</w:t>
      </w:r>
    </w:p>
    <w:p w14:paraId="0B7F7924" w14:textId="43BCBF3D" w:rsidR="00B572E5" w:rsidRDefault="00FE57FF" w:rsidP="00345F7D">
      <w:pPr>
        <w:rPr>
          <w:rFonts w:eastAsia="SimSun"/>
        </w:rPr>
      </w:pPr>
      <w:r>
        <w:rPr>
          <w:rFonts w:eastAsia="SimSun"/>
        </w:rPr>
        <w:t xml:space="preserve">Since we in </w:t>
      </w:r>
      <w:r w:rsidRPr="00FE57FF">
        <w:rPr>
          <w:rFonts w:eastAsia="SimSun"/>
        </w:rPr>
        <w:t xml:space="preserve">Proposal </w:t>
      </w:r>
      <w:r>
        <w:rPr>
          <w:rFonts w:eastAsia="SimSun"/>
        </w:rPr>
        <w:t>2 state that t</w:t>
      </w:r>
      <w:r w:rsidRPr="00FE57FF">
        <w:rPr>
          <w:rFonts w:eastAsia="SimSun"/>
        </w:rPr>
        <w:t>he NTN standard is used for UE based Timing pre-compensation</w:t>
      </w:r>
      <w:r>
        <w:rPr>
          <w:rFonts w:eastAsia="SimSun"/>
        </w:rPr>
        <w:t xml:space="preserve">, then we inherit the </w:t>
      </w:r>
      <w:r w:rsidR="0076231F">
        <w:rPr>
          <w:rFonts w:eastAsia="SimSun"/>
        </w:rPr>
        <w:t xml:space="preserve">timing advance </w:t>
      </w:r>
      <w:r w:rsidR="002208CE">
        <w:rPr>
          <w:rFonts w:eastAsia="SimSun"/>
        </w:rPr>
        <w:t>mechanism of NTN:</w:t>
      </w:r>
    </w:p>
    <w:p w14:paraId="32E86479" w14:textId="5343DD0E" w:rsidR="00B208BB" w:rsidRDefault="00B208BB" w:rsidP="002C5C4E">
      <w:pPr>
        <w:ind w:left="284"/>
      </w:pPr>
      <w:r>
        <w:t>U</w:t>
      </w:r>
      <w:r w:rsidRPr="00C12953">
        <w:t xml:space="preserve">plink frame number </w:t>
      </w:r>
      <w:r w:rsidRPr="00C12953">
        <w:rPr>
          <w:position w:val="-6"/>
        </w:rPr>
        <w:object w:dxaOrig="139" w:dyaOrig="240" w14:anchorId="59447925">
          <v:shape id="_x0000_i1026" type="#_x0000_t75" style="width:7.2pt;height:14.4pt" o:ole="">
            <v:imagedata r:id="rId20" o:title=""/>
          </v:shape>
          <o:OLEObject Type="Embed" ProgID="Equation.3" ShapeID="_x0000_i1026" DrawAspect="Content" ObjectID="_1738160376" r:id="rId21"/>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rsidR="002C5C4E">
        <w:t>.</w:t>
      </w:r>
    </w:p>
    <w:p w14:paraId="4162D29C" w14:textId="17495F4E" w:rsidR="002208CE" w:rsidRPr="00FE57FF" w:rsidRDefault="002C5C4E" w:rsidP="00345F7D">
      <w:pPr>
        <w:rPr>
          <w:rFonts w:eastAsia="SimSun"/>
        </w:rPr>
      </w:pPr>
      <w:r w:rsidRPr="00F409E4">
        <w:rPr>
          <w:b/>
          <w:bCs/>
        </w:rPr>
        <w:t xml:space="preserve">Proposal </w:t>
      </w:r>
      <w:r>
        <w:rPr>
          <w:b/>
          <w:bCs/>
        </w:rPr>
        <w:t>5: Since we in proposal 2</w:t>
      </w:r>
      <w:r w:rsidRPr="002C5C4E">
        <w:rPr>
          <w:b/>
          <w:bCs/>
        </w:rPr>
        <w:t xml:space="preserve"> state that the NTN standard is used for UE based Timing pre-compensation, then we inherit the timing advance mechanism of NTN:</w:t>
      </w:r>
      <w:r>
        <w:rPr>
          <w:b/>
          <w:bCs/>
        </w:rPr>
        <w:t xml:space="preserve"> </w:t>
      </w:r>
      <m:oMath>
        <m:sSub>
          <m:sSubPr>
            <m:ctrlPr>
              <w:rPr>
                <w:rFonts w:ascii="Cambria Math" w:hAnsi="Cambria Math"/>
                <w:b/>
                <w:bCs/>
                <w:i/>
              </w:rPr>
            </m:ctrlPr>
          </m:sSubPr>
          <m:e>
            <m:r>
              <m:rPr>
                <m:sty m:val="bi"/>
              </m:rPr>
              <w:rPr>
                <w:rFonts w:ascii="Cambria Math" w:hAnsi="Cambria Math"/>
              </w:rPr>
              <m:t>T</m:t>
            </m:r>
          </m:e>
          <m:sub>
            <m:r>
              <m:rPr>
                <m:nor/>
              </m:rPr>
              <w:rPr>
                <w:rFonts w:ascii="Cambria Math" w:hAnsi="Cambria Math"/>
                <w:b/>
                <w:bCs/>
                <w:lang w:val="sv-SE"/>
              </w:rPr>
              <m:t>TA</m:t>
            </m:r>
          </m:sub>
        </m:sSub>
        <m:r>
          <m:rPr>
            <m:sty m:val="bi"/>
          </m:rPr>
          <w:rPr>
            <w:rFonts w:ascii="Cambria Math" w:hAnsi="Cambria Math"/>
            <w:lang w:val="sv-SE"/>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lang w:val="sv-SE"/>
                  </w:rPr>
                  <m:t>TA</m:t>
                </m:r>
              </m:sub>
            </m:sSub>
            <m:r>
              <m:rPr>
                <m:sty m:val="bi"/>
              </m:rPr>
              <w:rPr>
                <w:rFonts w:ascii="Cambria Math" w:hAnsi="Cambria Math"/>
                <w:lang w:val="sv-SE"/>
              </w:rPr>
              <m:t>+</m:t>
            </m:r>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lang w:val="sv-SE"/>
                  </w:rPr>
                  <m:t>TA,offset</m:t>
                </m:r>
              </m:sub>
            </m:sSub>
            <m:r>
              <m:rPr>
                <m:sty m:val="bi"/>
              </m:rPr>
              <w:rPr>
                <w:rFonts w:ascii="Cambria Math" w:hAnsi="Cambria Math"/>
                <w:lang w:val="sv-SE"/>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lang w:val="sv-SE"/>
                  </w:rPr>
                  <m:t>TA,adj</m:t>
                </m:r>
              </m:sub>
              <m:sup>
                <m:r>
                  <m:rPr>
                    <m:nor/>
                  </m:rPr>
                  <w:rPr>
                    <w:rFonts w:ascii="Cambria Math" w:hAnsi="Cambria Math"/>
                    <w:b/>
                    <w:bCs/>
                    <w:lang w:val="sv-SE"/>
                  </w:rPr>
                  <m:t>common</m:t>
                </m:r>
              </m:sup>
            </m:sSubSup>
            <m:r>
              <m:rPr>
                <m:sty m:val="bi"/>
              </m:rPr>
              <w:rPr>
                <w:rFonts w:ascii="Cambria Math" w:hAnsi="Cambria Math"/>
                <w:lang w:val="sv-SE"/>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lang w:val="sv-SE"/>
                  </w:rPr>
                  <m:t>TA,adj</m:t>
                </m:r>
              </m:sub>
              <m:sup>
                <m:r>
                  <m:rPr>
                    <m:nor/>
                  </m:rPr>
                  <w:rPr>
                    <w:rFonts w:ascii="Cambria Math" w:hAnsi="Cambria Math"/>
                    <w:b/>
                    <w:bCs/>
                    <w:lang w:val="sv-SE"/>
                  </w:rPr>
                  <m:t>UE</m:t>
                </m:r>
              </m:sup>
            </m:sSubSup>
          </m:e>
        </m:d>
        <m:sSub>
          <m:sSubPr>
            <m:ctrlPr>
              <w:rPr>
                <w:rFonts w:ascii="Cambria Math" w:hAnsi="Cambria Math"/>
                <w:b/>
                <w:bCs/>
                <w:i/>
              </w:rPr>
            </m:ctrlPr>
          </m:sSubPr>
          <m:e>
            <m:r>
              <m:rPr>
                <m:sty m:val="bi"/>
              </m:rPr>
              <w:rPr>
                <w:rFonts w:ascii="Cambria Math" w:hAnsi="Cambria Math"/>
              </w:rPr>
              <m:t>T</m:t>
            </m:r>
          </m:e>
          <m:sub>
            <m:r>
              <m:rPr>
                <m:nor/>
              </m:rPr>
              <w:rPr>
                <w:rFonts w:ascii="Cambria Math" w:hAnsi="Cambria Math"/>
                <w:b/>
                <w:bCs/>
                <w:lang w:val="sv-SE"/>
              </w:rPr>
              <m:t>c</m:t>
            </m:r>
          </m:sub>
        </m:sSub>
      </m:oMath>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7D6FEDAB" w14:textId="19C58D38" w:rsidR="00623163" w:rsidRPr="00B20663" w:rsidRDefault="00623163" w:rsidP="00623163">
      <w:pPr>
        <w:rPr>
          <w:b/>
          <w:bCs/>
          <w:lang w:eastAsia="ja-JP"/>
        </w:rPr>
      </w:pPr>
      <w:r w:rsidRPr="00B20663">
        <w:rPr>
          <w:b/>
          <w:bCs/>
          <w:lang w:eastAsia="ja-JP"/>
        </w:rPr>
        <w:t xml:space="preserve">Observation 1: </w:t>
      </w:r>
      <w:r>
        <w:rPr>
          <w:b/>
          <w:bCs/>
          <w:lang w:eastAsia="ja-JP"/>
        </w:rPr>
        <w:t xml:space="preserve">The cell radius can be more than 200 km for ISD </w:t>
      </w:r>
      <w:r w:rsidRPr="000826D7">
        <w:rPr>
          <w:b/>
          <w:bCs/>
          <w:lang w:eastAsia="ja-JP"/>
        </w:rPr>
        <w:t>200km</w:t>
      </w:r>
      <w:r>
        <w:rPr>
          <w:b/>
          <w:bCs/>
          <w:lang w:eastAsia="ja-JP"/>
        </w:rPr>
        <w:t>.</w:t>
      </w:r>
    </w:p>
    <w:p w14:paraId="22E157C0" w14:textId="3BA8EA96" w:rsidR="00623163" w:rsidRPr="00C52C68" w:rsidRDefault="00623163" w:rsidP="00623163">
      <w:pPr>
        <w:rPr>
          <w:b/>
          <w:bCs/>
          <w:lang w:val="en-US"/>
        </w:rPr>
      </w:pPr>
      <w:r w:rsidRPr="00C52C68">
        <w:rPr>
          <w:b/>
          <w:bCs/>
          <w:lang w:eastAsia="ja-JP"/>
        </w:rPr>
        <w:t xml:space="preserve">Observation 2: The </w:t>
      </w:r>
      <w:r w:rsidR="006661F0" w:rsidRPr="00C52C68">
        <w:rPr>
          <w:b/>
          <w:bCs/>
          <w:lang w:eastAsia="ja-JP"/>
        </w:rPr>
        <w:t>Guard period</w:t>
      </w:r>
      <w:r w:rsidRPr="00C52C68">
        <w:rPr>
          <w:b/>
          <w:bCs/>
          <w:lang w:eastAsia="ja-JP"/>
        </w:rPr>
        <w:t xml:space="preserve">, </w:t>
      </w:r>
      <w:r w:rsidRPr="00C52C68">
        <w:rPr>
          <w:b/>
          <w:bCs/>
          <w:lang w:val="en-US"/>
        </w:rPr>
        <w:t>T</w:t>
      </w:r>
      <w:r w:rsidRPr="00C52C68">
        <w:rPr>
          <w:b/>
          <w:bCs/>
          <w:vertAlign w:val="subscript"/>
          <w:lang w:val="en-US"/>
        </w:rPr>
        <w:t>GUARD</w:t>
      </w:r>
      <w:r>
        <w:rPr>
          <w:b/>
          <w:bCs/>
          <w:lang w:val="en-US"/>
        </w:rPr>
        <w:t xml:space="preserve"> &gt; 1.33 </w:t>
      </w:r>
      <w:proofErr w:type="spellStart"/>
      <w:r>
        <w:rPr>
          <w:b/>
          <w:bCs/>
          <w:lang w:val="en-US"/>
        </w:rPr>
        <w:t>ms</w:t>
      </w:r>
      <w:proofErr w:type="spellEnd"/>
      <w:r>
        <w:rPr>
          <w:b/>
          <w:bCs/>
          <w:lang w:val="en-US"/>
        </w:rPr>
        <w:t xml:space="preserve"> for a cell radius of 200 km.</w:t>
      </w:r>
    </w:p>
    <w:p w14:paraId="4CE2889C" w14:textId="67FD2004" w:rsidR="00623163" w:rsidRDefault="00623163" w:rsidP="00623163">
      <w:pPr>
        <w:rPr>
          <w:b/>
          <w:bCs/>
          <w:lang w:eastAsia="ja-JP"/>
        </w:rPr>
      </w:pPr>
      <w:r w:rsidRPr="00C52C68">
        <w:rPr>
          <w:b/>
          <w:bCs/>
          <w:lang w:eastAsia="ja-JP"/>
        </w:rPr>
        <w:t xml:space="preserve">Observation </w:t>
      </w:r>
      <w:r>
        <w:rPr>
          <w:b/>
          <w:bCs/>
          <w:lang w:eastAsia="ja-JP"/>
        </w:rPr>
        <w:t>3</w:t>
      </w:r>
      <w:r w:rsidRPr="00C52C68">
        <w:rPr>
          <w:b/>
          <w:bCs/>
          <w:lang w:eastAsia="ja-JP"/>
        </w:rPr>
        <w:t>:</w:t>
      </w:r>
      <w:r>
        <w:rPr>
          <w:b/>
          <w:bCs/>
          <w:lang w:eastAsia="ja-JP"/>
        </w:rPr>
        <w:t xml:space="preserve"> Large TDD cells are inefficient du</w:t>
      </w:r>
      <w:r w:rsidR="00E90060">
        <w:rPr>
          <w:b/>
          <w:bCs/>
          <w:lang w:eastAsia="ja-JP"/>
        </w:rPr>
        <w:t>e</w:t>
      </w:r>
      <w:r>
        <w:rPr>
          <w:b/>
          <w:bCs/>
          <w:lang w:eastAsia="ja-JP"/>
        </w:rPr>
        <w:t xml:space="preserve"> to large GP, if we switch often.</w:t>
      </w:r>
    </w:p>
    <w:p w14:paraId="6BEDEFFA" w14:textId="77777777" w:rsidR="00623163" w:rsidRDefault="00623163" w:rsidP="00623163">
      <w:pPr>
        <w:rPr>
          <w:b/>
          <w:bCs/>
          <w:lang w:eastAsia="ja-JP"/>
        </w:rPr>
      </w:pPr>
      <w:r>
        <w:rPr>
          <w:b/>
          <w:bCs/>
          <w:lang w:eastAsia="ja-JP"/>
        </w:rPr>
        <w:lastRenderedPageBreak/>
        <w:t>Observation 4: The largest cell radius will define the GP for all TDD cells and UL/DL configuration has to be the same for all coexisting (overlapping) TDD networks.</w:t>
      </w:r>
    </w:p>
    <w:p w14:paraId="33948DA7" w14:textId="595A60A3" w:rsidR="003D429A" w:rsidRDefault="00623163" w:rsidP="003D429A">
      <w:pPr>
        <w:rPr>
          <w:b/>
          <w:bCs/>
        </w:rPr>
      </w:pPr>
      <w:r w:rsidRPr="00881F4F">
        <w:rPr>
          <w:b/>
          <w:bCs/>
        </w:rPr>
        <w:t xml:space="preserve">Proposal 1: </w:t>
      </w:r>
      <w:r>
        <w:rPr>
          <w:b/>
          <w:bCs/>
        </w:rPr>
        <w:t>RAN4 to investigate remedies to large TDD cells and ATG and TN TDD coexistence like: TDD stand alone, surrendering slots or Full Duplex at AT</w:t>
      </w:r>
      <w:r w:rsidR="00E90060">
        <w:rPr>
          <w:b/>
          <w:bCs/>
        </w:rPr>
        <w:t>G</w:t>
      </w:r>
      <w:r>
        <w:rPr>
          <w:b/>
          <w:bCs/>
        </w:rPr>
        <w:t xml:space="preserve"> UE terminal.</w:t>
      </w:r>
    </w:p>
    <w:p w14:paraId="77B4998A" w14:textId="77777777" w:rsidR="00576F49" w:rsidRDefault="00576F49" w:rsidP="00CB0EF8">
      <w:pPr>
        <w:rPr>
          <w:b/>
          <w:bCs/>
          <w:lang w:eastAsia="ja-JP"/>
        </w:rPr>
      </w:pPr>
      <w:r w:rsidRPr="00576F49">
        <w:rPr>
          <w:b/>
          <w:bCs/>
          <w:lang w:eastAsia="ja-JP"/>
        </w:rPr>
        <w:t xml:space="preserve">Observation 5: If the </w:t>
      </w:r>
      <w:proofErr w:type="spellStart"/>
      <w:r w:rsidRPr="00576F49">
        <w:rPr>
          <w:b/>
          <w:bCs/>
          <w:lang w:eastAsia="ja-JP"/>
        </w:rPr>
        <w:t>gNB</w:t>
      </w:r>
      <w:proofErr w:type="spellEnd"/>
      <w:r w:rsidRPr="00576F49">
        <w:rPr>
          <w:b/>
          <w:bCs/>
          <w:lang w:eastAsia="ja-JP"/>
        </w:rPr>
        <w:t xml:space="preserve"> receives information on the propagation delay to the UE, then at least half of the GP could be removed.</w:t>
      </w:r>
    </w:p>
    <w:p w14:paraId="25143800" w14:textId="7966CC32" w:rsidR="00CB0EF8" w:rsidRPr="00AE36DD" w:rsidRDefault="00CB0EF8" w:rsidP="00CB0EF8">
      <w:pPr>
        <w:rPr>
          <w:rFonts w:eastAsia="SimSun"/>
        </w:rPr>
      </w:pPr>
      <w:r w:rsidRPr="004B27F1">
        <w:rPr>
          <w:b/>
          <w:bCs/>
        </w:rPr>
        <w:t xml:space="preserve">Proposal 2: </w:t>
      </w:r>
      <w:r w:rsidRPr="004B27F1">
        <w:rPr>
          <w:rFonts w:eastAsia="SimSun"/>
          <w:b/>
          <w:bCs/>
        </w:rPr>
        <w:t>The NTN standard is used for UE based Timing pre-compensation</w:t>
      </w:r>
      <w:r>
        <w:rPr>
          <w:rFonts w:eastAsia="SimSun"/>
          <w:b/>
          <w:bCs/>
        </w:rPr>
        <w:t>.</w:t>
      </w:r>
    </w:p>
    <w:p w14:paraId="6CA601B4" w14:textId="77777777" w:rsidR="00CB0EF8" w:rsidRDefault="00CB0EF8" w:rsidP="00CB0EF8">
      <w:pPr>
        <w:rPr>
          <w:rFonts w:eastAsia="SimSun"/>
          <w:b/>
          <w:bCs/>
        </w:rPr>
      </w:pPr>
      <w:r w:rsidRPr="004B27F1">
        <w:rPr>
          <w:b/>
          <w:bCs/>
        </w:rPr>
        <w:t xml:space="preserve">Proposal </w:t>
      </w:r>
      <w:r>
        <w:rPr>
          <w:b/>
          <w:bCs/>
        </w:rPr>
        <w:t>3</w:t>
      </w:r>
      <w:r w:rsidRPr="004B27F1">
        <w:rPr>
          <w:b/>
          <w:bCs/>
        </w:rPr>
        <w:t xml:space="preserve">: </w:t>
      </w:r>
      <w:r w:rsidRPr="009C5135">
        <w:rPr>
          <w:rFonts w:eastAsia="SimSun"/>
          <w:b/>
          <w:bCs/>
        </w:rPr>
        <w:t>UE initial transmit timing error requirements</w:t>
      </w:r>
      <w:r>
        <w:rPr>
          <w:rFonts w:eastAsia="SimSun"/>
          <w:b/>
          <w:bCs/>
        </w:rPr>
        <w:t xml:space="preserve">, </w:t>
      </w:r>
      <w:proofErr w:type="spellStart"/>
      <w:proofErr w:type="gramStart"/>
      <w:r>
        <w:rPr>
          <w:rFonts w:eastAsia="SimSun"/>
          <w:b/>
          <w:bCs/>
        </w:rPr>
        <w:t>T</w:t>
      </w:r>
      <w:r>
        <w:rPr>
          <w:rFonts w:eastAsia="SimSun"/>
          <w:b/>
          <w:bCs/>
          <w:vertAlign w:val="subscript"/>
        </w:rPr>
        <w:t>e</w:t>
      </w:r>
      <w:proofErr w:type="spellEnd"/>
      <w:r>
        <w:rPr>
          <w:rFonts w:eastAsia="SimSun"/>
          <w:b/>
          <w:bCs/>
          <w:vertAlign w:val="subscript"/>
        </w:rPr>
        <w:t xml:space="preserve"> </w:t>
      </w:r>
      <w:r>
        <w:rPr>
          <w:rFonts w:eastAsia="SimSun"/>
          <w:b/>
          <w:bCs/>
        </w:rPr>
        <w:t>,</w:t>
      </w:r>
      <w:proofErr w:type="gramEnd"/>
      <w:r w:rsidRPr="009C5135">
        <w:rPr>
          <w:rFonts w:eastAsia="SimSun"/>
          <w:b/>
          <w:bCs/>
        </w:rPr>
        <w:t xml:space="preserve"> from the NTN standard</w:t>
      </w:r>
      <w:r>
        <w:rPr>
          <w:rFonts w:eastAsia="SimSun"/>
          <w:b/>
          <w:bCs/>
        </w:rPr>
        <w:t xml:space="preserve"> can be used, since we propose the NTN standard to be the base for UE timing pre-compensation.</w:t>
      </w:r>
    </w:p>
    <w:p w14:paraId="59E31962" w14:textId="77777777" w:rsidR="00D262FB" w:rsidRDefault="00D262FB" w:rsidP="00D262FB">
      <w:pPr>
        <w:rPr>
          <w:rFonts w:eastAsia="SimSun"/>
          <w:b/>
          <w:bCs/>
        </w:rPr>
      </w:pPr>
      <w:r w:rsidRPr="00F409E4">
        <w:rPr>
          <w:b/>
          <w:bCs/>
        </w:rPr>
        <w:t xml:space="preserve">Proposal 4: </w:t>
      </w:r>
      <w:r w:rsidRPr="00F409E4">
        <w:rPr>
          <w:rFonts w:eastAsia="SimSun"/>
          <w:b/>
          <w:bCs/>
        </w:rPr>
        <w:t xml:space="preserve">The gradual timing requirements can be adapted for ATG. For ATG, the </w:t>
      </w:r>
      <w:proofErr w:type="spellStart"/>
      <w:r w:rsidRPr="00F409E4">
        <w:rPr>
          <w:rFonts w:eastAsia="SimSun"/>
          <w:b/>
          <w:bCs/>
        </w:rPr>
        <w:t>Tq_ATG</w:t>
      </w:r>
      <w:proofErr w:type="spellEnd"/>
      <w:r w:rsidRPr="00F409E4">
        <w:rPr>
          <w:rFonts w:eastAsia="SimSun"/>
          <w:b/>
          <w:bCs/>
        </w:rPr>
        <w:t xml:space="preserve"> and </w:t>
      </w:r>
      <w:proofErr w:type="spellStart"/>
      <w:r w:rsidRPr="00F409E4">
        <w:rPr>
          <w:rFonts w:eastAsia="SimSun"/>
          <w:b/>
          <w:bCs/>
        </w:rPr>
        <w:t>Tp_ATG</w:t>
      </w:r>
      <w:proofErr w:type="spellEnd"/>
      <w:r w:rsidRPr="00F409E4">
        <w:rPr>
          <w:rFonts w:eastAsia="SimSun"/>
          <w:b/>
          <w:bCs/>
        </w:rPr>
        <w:t xml:space="preserve"> should be 9.5*64*Tc in FR1 and UL SCS 15kHz and 30kHz SCS.</w:t>
      </w:r>
    </w:p>
    <w:p w14:paraId="599D34A2" w14:textId="6594654A" w:rsidR="00CB0EF8" w:rsidRPr="00593EC0" w:rsidRDefault="00593EC0" w:rsidP="003D429A">
      <w:pPr>
        <w:rPr>
          <w:rFonts w:eastAsia="SimSun"/>
        </w:rPr>
      </w:pPr>
      <w:r w:rsidRPr="00F409E4">
        <w:rPr>
          <w:b/>
          <w:bCs/>
        </w:rPr>
        <w:t xml:space="preserve">Proposal </w:t>
      </w:r>
      <w:r>
        <w:rPr>
          <w:b/>
          <w:bCs/>
        </w:rPr>
        <w:t>5: Since we in proposal 2</w:t>
      </w:r>
      <w:r w:rsidRPr="002C5C4E">
        <w:rPr>
          <w:b/>
          <w:bCs/>
        </w:rPr>
        <w:t xml:space="preserve"> state that the NTN standard is used for UE based Timing pre-compensation, then we inherit the timing advance mechanism of NTN:</w:t>
      </w:r>
      <w:r>
        <w:rPr>
          <w:b/>
          <w:bCs/>
        </w:rPr>
        <w:t xml:space="preserve"> </w:t>
      </w:r>
      <m:oMath>
        <m:sSub>
          <m:sSubPr>
            <m:ctrlPr>
              <w:rPr>
                <w:rFonts w:ascii="Cambria Math" w:hAnsi="Cambria Math"/>
                <w:b/>
                <w:bCs/>
                <w:i/>
              </w:rPr>
            </m:ctrlPr>
          </m:sSubPr>
          <m:e>
            <m:r>
              <m:rPr>
                <m:sty m:val="bi"/>
              </m:rPr>
              <w:rPr>
                <w:rFonts w:ascii="Cambria Math" w:hAnsi="Cambria Math"/>
              </w:rPr>
              <m:t>T</m:t>
            </m:r>
          </m:e>
          <m:sub>
            <m:r>
              <m:rPr>
                <m:nor/>
              </m:rPr>
              <w:rPr>
                <w:rFonts w:ascii="Cambria Math" w:hAnsi="Cambria Math"/>
                <w:b/>
                <w:bCs/>
                <w:lang w:val="sv-SE"/>
              </w:rPr>
              <m:t>TA</m:t>
            </m:r>
          </m:sub>
        </m:sSub>
        <m:r>
          <m:rPr>
            <m:sty m:val="bi"/>
          </m:rPr>
          <w:rPr>
            <w:rFonts w:ascii="Cambria Math" w:hAnsi="Cambria Math"/>
            <w:lang w:val="sv-SE"/>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lang w:val="sv-SE"/>
                  </w:rPr>
                  <m:t>TA</m:t>
                </m:r>
              </m:sub>
            </m:sSub>
            <m:r>
              <m:rPr>
                <m:sty m:val="bi"/>
              </m:rPr>
              <w:rPr>
                <w:rFonts w:ascii="Cambria Math" w:hAnsi="Cambria Math"/>
                <w:lang w:val="sv-SE"/>
              </w:rPr>
              <m:t>+</m:t>
            </m:r>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lang w:val="sv-SE"/>
                  </w:rPr>
                  <m:t>TA,offset</m:t>
                </m:r>
              </m:sub>
            </m:sSub>
            <m:r>
              <m:rPr>
                <m:sty m:val="bi"/>
              </m:rPr>
              <w:rPr>
                <w:rFonts w:ascii="Cambria Math" w:hAnsi="Cambria Math"/>
                <w:lang w:val="sv-SE"/>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lang w:val="sv-SE"/>
                  </w:rPr>
                  <m:t>TA,adj</m:t>
                </m:r>
              </m:sub>
              <m:sup>
                <m:r>
                  <m:rPr>
                    <m:nor/>
                  </m:rPr>
                  <w:rPr>
                    <w:rFonts w:ascii="Cambria Math" w:hAnsi="Cambria Math"/>
                    <w:b/>
                    <w:bCs/>
                    <w:lang w:val="sv-SE"/>
                  </w:rPr>
                  <m:t>common</m:t>
                </m:r>
              </m:sup>
            </m:sSubSup>
            <m:r>
              <m:rPr>
                <m:sty m:val="bi"/>
              </m:rPr>
              <w:rPr>
                <w:rFonts w:ascii="Cambria Math" w:hAnsi="Cambria Math"/>
                <w:lang w:val="sv-SE"/>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lang w:val="sv-SE"/>
                  </w:rPr>
                  <m:t>TA,adj</m:t>
                </m:r>
              </m:sub>
              <m:sup>
                <m:r>
                  <m:rPr>
                    <m:nor/>
                  </m:rPr>
                  <w:rPr>
                    <w:rFonts w:ascii="Cambria Math" w:hAnsi="Cambria Math"/>
                    <w:b/>
                    <w:bCs/>
                    <w:lang w:val="sv-SE"/>
                  </w:rPr>
                  <m:t>UE</m:t>
                </m:r>
              </m:sup>
            </m:sSubSup>
          </m:e>
        </m:d>
        <m:sSub>
          <m:sSubPr>
            <m:ctrlPr>
              <w:rPr>
                <w:rFonts w:ascii="Cambria Math" w:hAnsi="Cambria Math"/>
                <w:b/>
                <w:bCs/>
                <w:i/>
              </w:rPr>
            </m:ctrlPr>
          </m:sSubPr>
          <m:e>
            <m:r>
              <m:rPr>
                <m:sty m:val="bi"/>
              </m:rPr>
              <w:rPr>
                <w:rFonts w:ascii="Cambria Math" w:hAnsi="Cambria Math"/>
              </w:rPr>
              <m:t>T</m:t>
            </m:r>
          </m:e>
          <m:sub>
            <m:r>
              <m:rPr>
                <m:nor/>
              </m:rPr>
              <w:rPr>
                <w:rFonts w:ascii="Cambria Math" w:hAnsi="Cambria Math"/>
                <w:b/>
                <w:bCs/>
                <w:lang w:val="sv-SE"/>
              </w:rPr>
              <m:t>c</m:t>
            </m:r>
          </m:sub>
        </m:sSub>
      </m:oMath>
    </w:p>
    <w:p w14:paraId="42C2E795" w14:textId="1C544FD8" w:rsidR="003D429A" w:rsidRDefault="003D429A" w:rsidP="003D429A">
      <w:pPr>
        <w:pStyle w:val="Heading1"/>
        <w:rPr>
          <w:lang w:val="en-US"/>
        </w:rPr>
      </w:pPr>
      <w:r>
        <w:rPr>
          <w:lang w:val="en-US"/>
        </w:rPr>
        <w:t>References</w:t>
      </w:r>
    </w:p>
    <w:p w14:paraId="32FC54DF" w14:textId="428BA882" w:rsidR="0083684A" w:rsidRDefault="00BE4FE5" w:rsidP="00A434FD">
      <w:bookmarkStart w:id="8" w:name="_Ref508638450"/>
      <w:bookmarkStart w:id="9" w:name="_Ref3386619"/>
      <w:r>
        <w:t xml:space="preserve">[1] </w:t>
      </w:r>
      <w:r>
        <w:tab/>
      </w:r>
      <w:r>
        <w:tab/>
      </w:r>
      <w:r w:rsidR="00B543D7" w:rsidRPr="00B543D7">
        <w:t>RP-221369</w:t>
      </w:r>
      <w:r w:rsidR="00B543D7">
        <w:t>,</w:t>
      </w:r>
      <w:r w:rsidR="00A468F3">
        <w:t xml:space="preserve"> </w:t>
      </w:r>
      <w:r w:rsidR="00A468F3" w:rsidRPr="00A468F3">
        <w:t>Revised WID on Air-to-ground network for NR</w:t>
      </w:r>
      <w:r w:rsidR="00A468F3">
        <w:t xml:space="preserve">, </w:t>
      </w:r>
      <w:r w:rsidR="008E0F1E">
        <w:t>CMCC</w:t>
      </w:r>
    </w:p>
    <w:bookmarkEnd w:id="8"/>
    <w:bookmarkEnd w:id="9"/>
    <w:p w14:paraId="0CECF971" w14:textId="46F32C8F" w:rsidR="008E0F1E" w:rsidRDefault="008E0F1E" w:rsidP="008E0F1E">
      <w:r>
        <w:t>[</w:t>
      </w:r>
      <w:r w:rsidR="00871B2D">
        <w:t>2</w:t>
      </w:r>
      <w:r>
        <w:t xml:space="preserve">] </w:t>
      </w:r>
      <w:r>
        <w:tab/>
      </w:r>
      <w:r>
        <w:tab/>
      </w:r>
      <w:r w:rsidR="006A48B0" w:rsidRPr="006A48B0">
        <w:t>R4-2220361</w:t>
      </w:r>
      <w:r w:rsidR="006A48B0">
        <w:t xml:space="preserve">, </w:t>
      </w:r>
      <w:r w:rsidR="006D192D" w:rsidRPr="006D192D">
        <w:t>WF on NR ATG RRM requirements</w:t>
      </w:r>
      <w:r w:rsidR="006D192D">
        <w:t xml:space="preserve">, </w:t>
      </w:r>
      <w:r w:rsidR="00083C54">
        <w:t>CMCC</w:t>
      </w:r>
    </w:p>
    <w:p w14:paraId="204FCE80" w14:textId="41A3AD17" w:rsidR="00871B2D" w:rsidRDefault="00871B2D" w:rsidP="008E0F1E">
      <w:r>
        <w:t>[3]</w:t>
      </w:r>
      <w:r>
        <w:tab/>
      </w:r>
      <w:r>
        <w:tab/>
      </w:r>
      <w:r w:rsidR="00484A16" w:rsidRPr="00484A16">
        <w:t>R4-1703013</w:t>
      </w:r>
      <w:r w:rsidR="00484A16">
        <w:t xml:space="preserve">, </w:t>
      </w:r>
      <w:r w:rsidR="00C92AD8" w:rsidRPr="00C92AD8">
        <w:t>TDD timing budget</w:t>
      </w:r>
      <w:r w:rsidR="00C92AD8">
        <w:t>, CR to TR 38.803 NR study item.</w:t>
      </w:r>
    </w:p>
    <w:p w14:paraId="406C1D4A" w14:textId="05691297" w:rsidR="003D429A" w:rsidRPr="00D23BAB" w:rsidRDefault="003D429A" w:rsidP="003D429A"/>
    <w:sectPr w:rsidR="003D429A" w:rsidRPr="00D23BAB" w:rsidSect="00064D3F">
      <w:footerReference w:type="default" r:id="rId22"/>
      <w:footnotePr>
        <w:numRestart w:val="eachSect"/>
      </w:footnotePr>
      <w:pgSz w:w="11907" w:h="16840" w:code="9"/>
      <w:pgMar w:top="1416" w:right="850"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6E00E" w14:textId="77777777" w:rsidR="00031549" w:rsidRDefault="00031549">
      <w:r>
        <w:separator/>
      </w:r>
    </w:p>
  </w:endnote>
  <w:endnote w:type="continuationSeparator" w:id="0">
    <w:p w14:paraId="162625FB" w14:textId="77777777" w:rsidR="00031549" w:rsidRDefault="00031549">
      <w:r>
        <w:continuationSeparator/>
      </w:r>
    </w:p>
  </w:endnote>
  <w:endnote w:type="continuationNotice" w:id="1">
    <w:p w14:paraId="1D65F880" w14:textId="77777777" w:rsidR="00031549" w:rsidRDefault="00031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C873" w14:textId="77777777" w:rsidR="00031549" w:rsidRDefault="00031549">
      <w:r>
        <w:separator/>
      </w:r>
    </w:p>
  </w:footnote>
  <w:footnote w:type="continuationSeparator" w:id="0">
    <w:p w14:paraId="266200A5" w14:textId="77777777" w:rsidR="00031549" w:rsidRDefault="00031549">
      <w:r>
        <w:continuationSeparator/>
      </w:r>
    </w:p>
  </w:footnote>
  <w:footnote w:type="continuationNotice" w:id="1">
    <w:p w14:paraId="051FD92A" w14:textId="77777777" w:rsidR="00031549" w:rsidRDefault="000315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46599E"/>
    <w:multiLevelType w:val="multilevel"/>
    <w:tmpl w:val="7AC4575A"/>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ABF71D7"/>
    <w:multiLevelType w:val="hybridMultilevel"/>
    <w:tmpl w:val="342CD6A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2C2EB8"/>
    <w:multiLevelType w:val="multilevel"/>
    <w:tmpl w:val="07DE4A96"/>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09769C"/>
    <w:multiLevelType w:val="hybridMultilevel"/>
    <w:tmpl w:val="083A0B7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8277A5"/>
    <w:multiLevelType w:val="hybridMultilevel"/>
    <w:tmpl w:val="55C604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507207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0717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119">
    <w:abstractNumId w:val="1"/>
  </w:num>
  <w:num w:numId="4" w16cid:durableId="1919166422">
    <w:abstractNumId w:val="9"/>
  </w:num>
  <w:num w:numId="5" w16cid:durableId="1778717642">
    <w:abstractNumId w:val="7"/>
  </w:num>
  <w:num w:numId="6" w16cid:durableId="1454397429">
    <w:abstractNumId w:val="4"/>
  </w:num>
  <w:num w:numId="7" w16cid:durableId="137653658">
    <w:abstractNumId w:val="6"/>
  </w:num>
  <w:num w:numId="8" w16cid:durableId="200091478">
    <w:abstractNumId w:val="10"/>
  </w:num>
  <w:num w:numId="9" w16cid:durableId="1427119957">
    <w:abstractNumId w:val="8"/>
  </w:num>
  <w:num w:numId="10" w16cid:durableId="1220635184">
    <w:abstractNumId w:val="3"/>
  </w:num>
  <w:num w:numId="11" w16cid:durableId="1921912887">
    <w:abstractNumId w:val="5"/>
  </w:num>
  <w:num w:numId="12" w16cid:durableId="1428387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E4"/>
    <w:rsid w:val="00005DB4"/>
    <w:rsid w:val="00024593"/>
    <w:rsid w:val="000306A0"/>
    <w:rsid w:val="00031549"/>
    <w:rsid w:val="00033397"/>
    <w:rsid w:val="000340E3"/>
    <w:rsid w:val="00034220"/>
    <w:rsid w:val="00040095"/>
    <w:rsid w:val="000402A8"/>
    <w:rsid w:val="00044C53"/>
    <w:rsid w:val="000455F6"/>
    <w:rsid w:val="00051834"/>
    <w:rsid w:val="00054A22"/>
    <w:rsid w:val="00056A26"/>
    <w:rsid w:val="00061F9D"/>
    <w:rsid w:val="00062023"/>
    <w:rsid w:val="00062956"/>
    <w:rsid w:val="00064D3F"/>
    <w:rsid w:val="000655A6"/>
    <w:rsid w:val="00075C5D"/>
    <w:rsid w:val="00080512"/>
    <w:rsid w:val="000826D7"/>
    <w:rsid w:val="00083C54"/>
    <w:rsid w:val="000A4A3D"/>
    <w:rsid w:val="000A7791"/>
    <w:rsid w:val="000C47C3"/>
    <w:rsid w:val="000C55B7"/>
    <w:rsid w:val="000D5143"/>
    <w:rsid w:val="000D58AB"/>
    <w:rsid w:val="000E1789"/>
    <w:rsid w:val="000F7246"/>
    <w:rsid w:val="00103A7F"/>
    <w:rsid w:val="0010580C"/>
    <w:rsid w:val="0010649B"/>
    <w:rsid w:val="00110785"/>
    <w:rsid w:val="00111782"/>
    <w:rsid w:val="00112AD7"/>
    <w:rsid w:val="00126B17"/>
    <w:rsid w:val="00132EB4"/>
    <w:rsid w:val="00133525"/>
    <w:rsid w:val="00135D03"/>
    <w:rsid w:val="001361B5"/>
    <w:rsid w:val="0014066D"/>
    <w:rsid w:val="00145447"/>
    <w:rsid w:val="00150680"/>
    <w:rsid w:val="00152C5A"/>
    <w:rsid w:val="00157DBB"/>
    <w:rsid w:val="001672DF"/>
    <w:rsid w:val="001762F3"/>
    <w:rsid w:val="00182A4B"/>
    <w:rsid w:val="00183929"/>
    <w:rsid w:val="001861F8"/>
    <w:rsid w:val="0018668A"/>
    <w:rsid w:val="001939F5"/>
    <w:rsid w:val="00195042"/>
    <w:rsid w:val="001A4C42"/>
    <w:rsid w:val="001A7420"/>
    <w:rsid w:val="001B26A8"/>
    <w:rsid w:val="001B4EAA"/>
    <w:rsid w:val="001B5287"/>
    <w:rsid w:val="001B6637"/>
    <w:rsid w:val="001C21C3"/>
    <w:rsid w:val="001D02C2"/>
    <w:rsid w:val="001D2CC0"/>
    <w:rsid w:val="001D36D0"/>
    <w:rsid w:val="001D438E"/>
    <w:rsid w:val="001D45AB"/>
    <w:rsid w:val="001E5263"/>
    <w:rsid w:val="001F0C1D"/>
    <w:rsid w:val="001F1132"/>
    <w:rsid w:val="001F168B"/>
    <w:rsid w:val="002061D2"/>
    <w:rsid w:val="002109FA"/>
    <w:rsid w:val="002208CE"/>
    <w:rsid w:val="002218A4"/>
    <w:rsid w:val="00224F15"/>
    <w:rsid w:val="00232A49"/>
    <w:rsid w:val="002330DB"/>
    <w:rsid w:val="00234748"/>
    <w:rsid w:val="002347A2"/>
    <w:rsid w:val="00235C98"/>
    <w:rsid w:val="00236E2C"/>
    <w:rsid w:val="002378BF"/>
    <w:rsid w:val="002426BA"/>
    <w:rsid w:val="00254B21"/>
    <w:rsid w:val="00262ABE"/>
    <w:rsid w:val="002675F0"/>
    <w:rsid w:val="00272570"/>
    <w:rsid w:val="00273DDD"/>
    <w:rsid w:val="002840A1"/>
    <w:rsid w:val="00290B8C"/>
    <w:rsid w:val="00292F18"/>
    <w:rsid w:val="00296289"/>
    <w:rsid w:val="002A0349"/>
    <w:rsid w:val="002B538C"/>
    <w:rsid w:val="002B6339"/>
    <w:rsid w:val="002C3594"/>
    <w:rsid w:val="002C5C4E"/>
    <w:rsid w:val="002C648E"/>
    <w:rsid w:val="002E00EE"/>
    <w:rsid w:val="002E2F78"/>
    <w:rsid w:val="002E7823"/>
    <w:rsid w:val="002F253D"/>
    <w:rsid w:val="002F331D"/>
    <w:rsid w:val="002F5F50"/>
    <w:rsid w:val="00300699"/>
    <w:rsid w:val="0031513E"/>
    <w:rsid w:val="003172DC"/>
    <w:rsid w:val="00327EBD"/>
    <w:rsid w:val="0033338C"/>
    <w:rsid w:val="00345F7D"/>
    <w:rsid w:val="003467EC"/>
    <w:rsid w:val="00347191"/>
    <w:rsid w:val="0035462D"/>
    <w:rsid w:val="003765B8"/>
    <w:rsid w:val="00377727"/>
    <w:rsid w:val="00384CDA"/>
    <w:rsid w:val="003A39A4"/>
    <w:rsid w:val="003A6F5B"/>
    <w:rsid w:val="003A71A1"/>
    <w:rsid w:val="003B59DB"/>
    <w:rsid w:val="003C3971"/>
    <w:rsid w:val="003D429A"/>
    <w:rsid w:val="00407B4B"/>
    <w:rsid w:val="00411B5B"/>
    <w:rsid w:val="00414C0E"/>
    <w:rsid w:val="00420232"/>
    <w:rsid w:val="00423334"/>
    <w:rsid w:val="00423C8E"/>
    <w:rsid w:val="00423DF2"/>
    <w:rsid w:val="004345EC"/>
    <w:rsid w:val="0044364B"/>
    <w:rsid w:val="00445C54"/>
    <w:rsid w:val="00450EDE"/>
    <w:rsid w:val="00451988"/>
    <w:rsid w:val="00452AF0"/>
    <w:rsid w:val="00454B1B"/>
    <w:rsid w:val="00465515"/>
    <w:rsid w:val="00472B41"/>
    <w:rsid w:val="00475B10"/>
    <w:rsid w:val="00483C9F"/>
    <w:rsid w:val="00484894"/>
    <w:rsid w:val="00484A16"/>
    <w:rsid w:val="00486F5F"/>
    <w:rsid w:val="00495068"/>
    <w:rsid w:val="004A226A"/>
    <w:rsid w:val="004B27F1"/>
    <w:rsid w:val="004B5C79"/>
    <w:rsid w:val="004C776A"/>
    <w:rsid w:val="004D3578"/>
    <w:rsid w:val="004E161A"/>
    <w:rsid w:val="004E213A"/>
    <w:rsid w:val="004E6C36"/>
    <w:rsid w:val="004F01AA"/>
    <w:rsid w:val="004F03B1"/>
    <w:rsid w:val="004F0988"/>
    <w:rsid w:val="004F2D74"/>
    <w:rsid w:val="004F3340"/>
    <w:rsid w:val="0051173F"/>
    <w:rsid w:val="0053388B"/>
    <w:rsid w:val="00535773"/>
    <w:rsid w:val="00542321"/>
    <w:rsid w:val="00543E6C"/>
    <w:rsid w:val="00546D44"/>
    <w:rsid w:val="0056254B"/>
    <w:rsid w:val="00565087"/>
    <w:rsid w:val="0056760F"/>
    <w:rsid w:val="0057305F"/>
    <w:rsid w:val="00576F49"/>
    <w:rsid w:val="005808F4"/>
    <w:rsid w:val="00586E2E"/>
    <w:rsid w:val="005923A9"/>
    <w:rsid w:val="00593183"/>
    <w:rsid w:val="00593E0F"/>
    <w:rsid w:val="00593EC0"/>
    <w:rsid w:val="00596248"/>
    <w:rsid w:val="00597B11"/>
    <w:rsid w:val="005C45A2"/>
    <w:rsid w:val="005D0EB1"/>
    <w:rsid w:val="005D18F9"/>
    <w:rsid w:val="005D2E01"/>
    <w:rsid w:val="005D5C1C"/>
    <w:rsid w:val="005D7526"/>
    <w:rsid w:val="005E4BB2"/>
    <w:rsid w:val="005E51F9"/>
    <w:rsid w:val="005E5986"/>
    <w:rsid w:val="005E7A80"/>
    <w:rsid w:val="005E7F30"/>
    <w:rsid w:val="005F4FE2"/>
    <w:rsid w:val="00602AEA"/>
    <w:rsid w:val="00603E91"/>
    <w:rsid w:val="00607B54"/>
    <w:rsid w:val="00610B5C"/>
    <w:rsid w:val="00614FDF"/>
    <w:rsid w:val="006222B1"/>
    <w:rsid w:val="00623163"/>
    <w:rsid w:val="00632BE2"/>
    <w:rsid w:val="0063543D"/>
    <w:rsid w:val="0063585B"/>
    <w:rsid w:val="00640D05"/>
    <w:rsid w:val="00647114"/>
    <w:rsid w:val="00662D15"/>
    <w:rsid w:val="006661F0"/>
    <w:rsid w:val="00672D43"/>
    <w:rsid w:val="00675FCD"/>
    <w:rsid w:val="00680114"/>
    <w:rsid w:val="006948A0"/>
    <w:rsid w:val="00696171"/>
    <w:rsid w:val="006A00B6"/>
    <w:rsid w:val="006A2A21"/>
    <w:rsid w:val="006A323F"/>
    <w:rsid w:val="006A48B0"/>
    <w:rsid w:val="006A5D36"/>
    <w:rsid w:val="006A6F17"/>
    <w:rsid w:val="006B30D0"/>
    <w:rsid w:val="006B670F"/>
    <w:rsid w:val="006C1584"/>
    <w:rsid w:val="006C351C"/>
    <w:rsid w:val="006C3D95"/>
    <w:rsid w:val="006D192D"/>
    <w:rsid w:val="006E5C86"/>
    <w:rsid w:val="006F421F"/>
    <w:rsid w:val="006F5478"/>
    <w:rsid w:val="006F61D7"/>
    <w:rsid w:val="00701116"/>
    <w:rsid w:val="00705E35"/>
    <w:rsid w:val="00710209"/>
    <w:rsid w:val="007115E6"/>
    <w:rsid w:val="00713C44"/>
    <w:rsid w:val="00722260"/>
    <w:rsid w:val="00731673"/>
    <w:rsid w:val="00734654"/>
    <w:rsid w:val="00734A5B"/>
    <w:rsid w:val="0074026F"/>
    <w:rsid w:val="007429F6"/>
    <w:rsid w:val="00743C79"/>
    <w:rsid w:val="00744E76"/>
    <w:rsid w:val="0076231F"/>
    <w:rsid w:val="0076407B"/>
    <w:rsid w:val="007653FD"/>
    <w:rsid w:val="00772808"/>
    <w:rsid w:val="00774DA4"/>
    <w:rsid w:val="00780EC9"/>
    <w:rsid w:val="00781F0F"/>
    <w:rsid w:val="00781F59"/>
    <w:rsid w:val="007900DB"/>
    <w:rsid w:val="00791FAD"/>
    <w:rsid w:val="007946D3"/>
    <w:rsid w:val="007B1BED"/>
    <w:rsid w:val="007B4466"/>
    <w:rsid w:val="007B600E"/>
    <w:rsid w:val="007C165C"/>
    <w:rsid w:val="007E5FE1"/>
    <w:rsid w:val="007E73D4"/>
    <w:rsid w:val="007F0F4A"/>
    <w:rsid w:val="007F3ED2"/>
    <w:rsid w:val="007F4A99"/>
    <w:rsid w:val="008001A8"/>
    <w:rsid w:val="008013BC"/>
    <w:rsid w:val="0080192B"/>
    <w:rsid w:val="008028A4"/>
    <w:rsid w:val="0082076C"/>
    <w:rsid w:val="008231D4"/>
    <w:rsid w:val="008274FE"/>
    <w:rsid w:val="00830747"/>
    <w:rsid w:val="00832A3A"/>
    <w:rsid w:val="0083684A"/>
    <w:rsid w:val="00842966"/>
    <w:rsid w:val="00843332"/>
    <w:rsid w:val="00854B77"/>
    <w:rsid w:val="008579F0"/>
    <w:rsid w:val="008651E7"/>
    <w:rsid w:val="008668BA"/>
    <w:rsid w:val="00871B2D"/>
    <w:rsid w:val="00871DF7"/>
    <w:rsid w:val="008768CA"/>
    <w:rsid w:val="00880E55"/>
    <w:rsid w:val="00881F4F"/>
    <w:rsid w:val="00885367"/>
    <w:rsid w:val="00896866"/>
    <w:rsid w:val="008A6463"/>
    <w:rsid w:val="008B02D1"/>
    <w:rsid w:val="008C384C"/>
    <w:rsid w:val="008D47A7"/>
    <w:rsid w:val="008D6563"/>
    <w:rsid w:val="008D70EA"/>
    <w:rsid w:val="008E0F1E"/>
    <w:rsid w:val="008E43DA"/>
    <w:rsid w:val="008F0377"/>
    <w:rsid w:val="0090271F"/>
    <w:rsid w:val="00902E23"/>
    <w:rsid w:val="009114D7"/>
    <w:rsid w:val="0091348E"/>
    <w:rsid w:val="00914428"/>
    <w:rsid w:val="00917CCB"/>
    <w:rsid w:val="00923F88"/>
    <w:rsid w:val="00930FD4"/>
    <w:rsid w:val="00942EC2"/>
    <w:rsid w:val="009462B5"/>
    <w:rsid w:val="009630D3"/>
    <w:rsid w:val="00963932"/>
    <w:rsid w:val="0097169C"/>
    <w:rsid w:val="00973023"/>
    <w:rsid w:val="0097332E"/>
    <w:rsid w:val="00981345"/>
    <w:rsid w:val="00983389"/>
    <w:rsid w:val="00985F99"/>
    <w:rsid w:val="009C3867"/>
    <w:rsid w:val="009C3E5A"/>
    <w:rsid w:val="009C5135"/>
    <w:rsid w:val="009E41DD"/>
    <w:rsid w:val="009E568E"/>
    <w:rsid w:val="009F37B7"/>
    <w:rsid w:val="00A10F02"/>
    <w:rsid w:val="00A164B4"/>
    <w:rsid w:val="00A26956"/>
    <w:rsid w:val="00A27486"/>
    <w:rsid w:val="00A34E9E"/>
    <w:rsid w:val="00A434FD"/>
    <w:rsid w:val="00A468F3"/>
    <w:rsid w:val="00A47B8E"/>
    <w:rsid w:val="00A53724"/>
    <w:rsid w:val="00A56066"/>
    <w:rsid w:val="00A56A48"/>
    <w:rsid w:val="00A66B71"/>
    <w:rsid w:val="00A73129"/>
    <w:rsid w:val="00A807CC"/>
    <w:rsid w:val="00A82346"/>
    <w:rsid w:val="00A92102"/>
    <w:rsid w:val="00A92BA1"/>
    <w:rsid w:val="00A9447D"/>
    <w:rsid w:val="00A9540C"/>
    <w:rsid w:val="00AA6D53"/>
    <w:rsid w:val="00AB40C6"/>
    <w:rsid w:val="00AC6BC6"/>
    <w:rsid w:val="00AD4258"/>
    <w:rsid w:val="00AD6947"/>
    <w:rsid w:val="00AE023D"/>
    <w:rsid w:val="00AE36DD"/>
    <w:rsid w:val="00AE5D66"/>
    <w:rsid w:val="00AE65E2"/>
    <w:rsid w:val="00AF7EA1"/>
    <w:rsid w:val="00B038CD"/>
    <w:rsid w:val="00B15449"/>
    <w:rsid w:val="00B20663"/>
    <w:rsid w:val="00B208BB"/>
    <w:rsid w:val="00B2124D"/>
    <w:rsid w:val="00B239FE"/>
    <w:rsid w:val="00B543D7"/>
    <w:rsid w:val="00B572E5"/>
    <w:rsid w:val="00B65921"/>
    <w:rsid w:val="00B66DD7"/>
    <w:rsid w:val="00B90487"/>
    <w:rsid w:val="00B93086"/>
    <w:rsid w:val="00B93FB3"/>
    <w:rsid w:val="00B94061"/>
    <w:rsid w:val="00BA0236"/>
    <w:rsid w:val="00BA19ED"/>
    <w:rsid w:val="00BA4B8D"/>
    <w:rsid w:val="00BA5D61"/>
    <w:rsid w:val="00BB49FE"/>
    <w:rsid w:val="00BC04A7"/>
    <w:rsid w:val="00BC0F7D"/>
    <w:rsid w:val="00BC6718"/>
    <w:rsid w:val="00BD7D31"/>
    <w:rsid w:val="00BE3255"/>
    <w:rsid w:val="00BE4FE5"/>
    <w:rsid w:val="00BE6E7D"/>
    <w:rsid w:val="00BF128E"/>
    <w:rsid w:val="00C049D7"/>
    <w:rsid w:val="00C074DD"/>
    <w:rsid w:val="00C13038"/>
    <w:rsid w:val="00C14771"/>
    <w:rsid w:val="00C1496A"/>
    <w:rsid w:val="00C16951"/>
    <w:rsid w:val="00C17068"/>
    <w:rsid w:val="00C327B0"/>
    <w:rsid w:val="00C33079"/>
    <w:rsid w:val="00C35F1F"/>
    <w:rsid w:val="00C36043"/>
    <w:rsid w:val="00C4067B"/>
    <w:rsid w:val="00C40FDC"/>
    <w:rsid w:val="00C41F2A"/>
    <w:rsid w:val="00C4285F"/>
    <w:rsid w:val="00C45231"/>
    <w:rsid w:val="00C52C68"/>
    <w:rsid w:val="00C575C2"/>
    <w:rsid w:val="00C62105"/>
    <w:rsid w:val="00C71E62"/>
    <w:rsid w:val="00C72833"/>
    <w:rsid w:val="00C7725F"/>
    <w:rsid w:val="00C804A7"/>
    <w:rsid w:val="00C80F1D"/>
    <w:rsid w:val="00C818D1"/>
    <w:rsid w:val="00C92AD8"/>
    <w:rsid w:val="00C93F40"/>
    <w:rsid w:val="00CA22A6"/>
    <w:rsid w:val="00CA3D0C"/>
    <w:rsid w:val="00CA4E05"/>
    <w:rsid w:val="00CB0749"/>
    <w:rsid w:val="00CB0EF8"/>
    <w:rsid w:val="00CB2233"/>
    <w:rsid w:val="00CB451A"/>
    <w:rsid w:val="00CB648E"/>
    <w:rsid w:val="00CC3C70"/>
    <w:rsid w:val="00CE035D"/>
    <w:rsid w:val="00CF4154"/>
    <w:rsid w:val="00D11643"/>
    <w:rsid w:val="00D12A57"/>
    <w:rsid w:val="00D13A35"/>
    <w:rsid w:val="00D20233"/>
    <w:rsid w:val="00D2154D"/>
    <w:rsid w:val="00D23BAB"/>
    <w:rsid w:val="00D262FB"/>
    <w:rsid w:val="00D337CD"/>
    <w:rsid w:val="00D42C3A"/>
    <w:rsid w:val="00D544DE"/>
    <w:rsid w:val="00D55A71"/>
    <w:rsid w:val="00D55AE4"/>
    <w:rsid w:val="00D560A3"/>
    <w:rsid w:val="00D57972"/>
    <w:rsid w:val="00D6299F"/>
    <w:rsid w:val="00D675A9"/>
    <w:rsid w:val="00D738D6"/>
    <w:rsid w:val="00D74DEB"/>
    <w:rsid w:val="00D755EB"/>
    <w:rsid w:val="00D76048"/>
    <w:rsid w:val="00D76AB5"/>
    <w:rsid w:val="00D84E05"/>
    <w:rsid w:val="00D87E00"/>
    <w:rsid w:val="00D9134D"/>
    <w:rsid w:val="00D9274F"/>
    <w:rsid w:val="00D94519"/>
    <w:rsid w:val="00DA199A"/>
    <w:rsid w:val="00DA7A03"/>
    <w:rsid w:val="00DA7B2A"/>
    <w:rsid w:val="00DB1818"/>
    <w:rsid w:val="00DB6220"/>
    <w:rsid w:val="00DC0DCB"/>
    <w:rsid w:val="00DC12DB"/>
    <w:rsid w:val="00DC309B"/>
    <w:rsid w:val="00DC4DA2"/>
    <w:rsid w:val="00DD1E30"/>
    <w:rsid w:val="00DD4C17"/>
    <w:rsid w:val="00DD74A5"/>
    <w:rsid w:val="00DE1C8A"/>
    <w:rsid w:val="00DF2B1F"/>
    <w:rsid w:val="00DF62CD"/>
    <w:rsid w:val="00DF7857"/>
    <w:rsid w:val="00E0069D"/>
    <w:rsid w:val="00E11766"/>
    <w:rsid w:val="00E16509"/>
    <w:rsid w:val="00E24525"/>
    <w:rsid w:val="00E24725"/>
    <w:rsid w:val="00E44582"/>
    <w:rsid w:val="00E52C2B"/>
    <w:rsid w:val="00E54BB3"/>
    <w:rsid w:val="00E5635A"/>
    <w:rsid w:val="00E6410F"/>
    <w:rsid w:val="00E7470F"/>
    <w:rsid w:val="00E77645"/>
    <w:rsid w:val="00E81F74"/>
    <w:rsid w:val="00E90060"/>
    <w:rsid w:val="00EA15B0"/>
    <w:rsid w:val="00EA2E98"/>
    <w:rsid w:val="00EA52C4"/>
    <w:rsid w:val="00EA5EA7"/>
    <w:rsid w:val="00EC0401"/>
    <w:rsid w:val="00EC3D06"/>
    <w:rsid w:val="00EC4A25"/>
    <w:rsid w:val="00ED3326"/>
    <w:rsid w:val="00ED432E"/>
    <w:rsid w:val="00ED77FA"/>
    <w:rsid w:val="00EF2B6B"/>
    <w:rsid w:val="00F025A2"/>
    <w:rsid w:val="00F04712"/>
    <w:rsid w:val="00F13360"/>
    <w:rsid w:val="00F21541"/>
    <w:rsid w:val="00F22EC7"/>
    <w:rsid w:val="00F25CF4"/>
    <w:rsid w:val="00F325C8"/>
    <w:rsid w:val="00F409E4"/>
    <w:rsid w:val="00F43BC8"/>
    <w:rsid w:val="00F653B8"/>
    <w:rsid w:val="00F730FD"/>
    <w:rsid w:val="00F76708"/>
    <w:rsid w:val="00F9008D"/>
    <w:rsid w:val="00F96AEF"/>
    <w:rsid w:val="00F96B57"/>
    <w:rsid w:val="00FA1266"/>
    <w:rsid w:val="00FB7427"/>
    <w:rsid w:val="00FC08B0"/>
    <w:rsid w:val="00FC1192"/>
    <w:rsid w:val="00FC5247"/>
    <w:rsid w:val="00FC5F8D"/>
    <w:rsid w:val="00FD0E98"/>
    <w:rsid w:val="00FE57FF"/>
    <w:rsid w:val="00FF1224"/>
    <w:rsid w:val="00FF2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ED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清單段落1,列表段落11"/>
    <w:basedOn w:val="Normal"/>
    <w:link w:val="ListParagraphChar"/>
    <w:uiPriority w:val="34"/>
    <w:qFormat/>
    <w:rsid w:val="00452AF0"/>
    <w:pPr>
      <w:ind w:left="720"/>
      <w:contextualSpacing/>
    </w:pPr>
  </w:style>
  <w:style w:type="paragraph" w:styleId="NormalWeb">
    <w:name w:val="Normal (Web)"/>
    <w:basedOn w:val="Normal"/>
    <w:uiPriority w:val="99"/>
    <w:unhideWhenUsed/>
    <w:rsid w:val="00D2154D"/>
    <w:pPr>
      <w:spacing w:before="100" w:beforeAutospacing="1" w:after="100" w:afterAutospacing="1"/>
    </w:pPr>
    <w:rPr>
      <w:sz w:val="24"/>
      <w:szCs w:val="24"/>
      <w:lang w:val="en-US"/>
    </w:rPr>
  </w:style>
  <w:style w:type="paragraph" w:styleId="Caption">
    <w:name w:val="caption"/>
    <w:basedOn w:val="Normal"/>
    <w:next w:val="Normal"/>
    <w:qFormat/>
    <w:rsid w:val="00420232"/>
    <w:pPr>
      <w:spacing w:before="120" w:after="120" w:line="259" w:lineRule="auto"/>
    </w:pPr>
    <w:rPr>
      <w:rFonts w:ascii="Arial" w:eastAsiaTheme="minorHAnsi" w:hAnsi="Arial" w:cstheme="minorBidi"/>
      <w:b/>
      <w:szCs w:val="22"/>
      <w:lang w:val="en-US" w:eastAsia="en-GB"/>
    </w:rPr>
  </w:style>
  <w:style w:type="character" w:customStyle="1" w:styleId="Heading2Char">
    <w:name w:val="Heading 2 Char"/>
    <w:basedOn w:val="DefaultParagraphFont"/>
    <w:link w:val="Heading2"/>
    <w:rsid w:val="0082076C"/>
    <w:rPr>
      <w:rFonts w:ascii="Arial" w:hAnsi="Arial"/>
      <w:sz w:val="32"/>
      <w:lang w:eastAsia="en-US"/>
    </w:rPr>
  </w:style>
  <w:style w:type="character" w:styleId="CommentReference">
    <w:name w:val="annotation reference"/>
    <w:basedOn w:val="DefaultParagraphFont"/>
    <w:rsid w:val="009462B5"/>
    <w:rPr>
      <w:sz w:val="16"/>
      <w:szCs w:val="16"/>
    </w:rPr>
  </w:style>
  <w:style w:type="paragraph" w:styleId="CommentText">
    <w:name w:val="annotation text"/>
    <w:basedOn w:val="Normal"/>
    <w:link w:val="CommentTextChar"/>
    <w:rsid w:val="009462B5"/>
  </w:style>
  <w:style w:type="character" w:customStyle="1" w:styleId="CommentTextChar">
    <w:name w:val="Comment Text Char"/>
    <w:basedOn w:val="DefaultParagraphFont"/>
    <w:link w:val="CommentText"/>
    <w:rsid w:val="009462B5"/>
    <w:rPr>
      <w:lang w:eastAsia="en-US"/>
    </w:rPr>
  </w:style>
  <w:style w:type="paragraph" w:styleId="CommentSubject">
    <w:name w:val="annotation subject"/>
    <w:basedOn w:val="CommentText"/>
    <w:next w:val="CommentText"/>
    <w:link w:val="CommentSubjectChar"/>
    <w:rsid w:val="009462B5"/>
    <w:rPr>
      <w:b/>
      <w:bCs/>
    </w:rPr>
  </w:style>
  <w:style w:type="character" w:customStyle="1" w:styleId="CommentSubjectChar">
    <w:name w:val="Comment Subject Char"/>
    <w:basedOn w:val="CommentTextChar"/>
    <w:link w:val="CommentSubject"/>
    <w:rsid w:val="009462B5"/>
    <w:rPr>
      <w:b/>
      <w:bCs/>
      <w:lang w:eastAsia="en-US"/>
    </w:rPr>
  </w:style>
  <w:style w:type="paragraph" w:styleId="Revision">
    <w:name w:val="Revision"/>
    <w:hidden/>
    <w:uiPriority w:val="99"/>
    <w:semiHidden/>
    <w:rsid w:val="00D55A71"/>
    <w:rPr>
      <w:lang w:eastAsia="en-US"/>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111782"/>
    <w:rPr>
      <w:lang w:eastAsia="en-US"/>
    </w:rPr>
  </w:style>
  <w:style w:type="character" w:customStyle="1" w:styleId="Heading3Char">
    <w:name w:val="Heading 3 Char"/>
    <w:basedOn w:val="DefaultParagraphFont"/>
    <w:link w:val="Heading3"/>
    <w:rsid w:val="00B572E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874215">
      <w:bodyDiv w:val="1"/>
      <w:marLeft w:val="0"/>
      <w:marRight w:val="0"/>
      <w:marTop w:val="0"/>
      <w:marBottom w:val="0"/>
      <w:divBdr>
        <w:top w:val="none" w:sz="0" w:space="0" w:color="auto"/>
        <w:left w:val="none" w:sz="0" w:space="0" w:color="auto"/>
        <w:bottom w:val="none" w:sz="0" w:space="0" w:color="auto"/>
        <w:right w:val="none" w:sz="0" w:space="0" w:color="auto"/>
      </w:divBdr>
    </w:div>
    <w:div w:id="126276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3.vsdx"/><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2023-02-17T16:33:00Z</dcterms:created>
  <dcterms:modified xsi:type="dcterms:W3CDTF">2023-02-17T16:33:00Z</dcterms:modified>
</cp:coreProperties>
</file>