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30CC" w:rsidRPr="004A029C" w:rsidRDefault="005730CC" w:rsidP="005730C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Pr>
          <w:rFonts w:cs="Arial"/>
          <w:sz w:val="24"/>
          <w:szCs w:val="24"/>
        </w:rPr>
        <w:t>10</w:t>
      </w:r>
      <w:r w:rsidR="00D36C60">
        <w:rPr>
          <w:rFonts w:cs="Arial"/>
          <w:sz w:val="24"/>
          <w:szCs w:val="24"/>
        </w:rPr>
        <w:t>6</w:t>
      </w:r>
      <w:r w:rsidRPr="004A029C">
        <w:rPr>
          <w:rFonts w:cs="Arial"/>
          <w:sz w:val="24"/>
          <w:szCs w:val="24"/>
        </w:rPr>
        <w:tab/>
      </w:r>
      <w:r w:rsidR="00D4205C" w:rsidRPr="00D4205C">
        <w:rPr>
          <w:rFonts w:cs="Arial"/>
          <w:sz w:val="24"/>
          <w:szCs w:val="24"/>
        </w:rPr>
        <w:t>R4-2301813</w:t>
      </w:r>
      <w:bookmarkStart w:id="0" w:name="_GoBack"/>
      <w:bookmarkEnd w:id="0"/>
    </w:p>
    <w:p w:rsidR="00D36C60" w:rsidRPr="00E13633" w:rsidRDefault="00D36C60" w:rsidP="00D36C60">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E96047">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36C60">
        <w:rPr>
          <w:rFonts w:ascii="Arial" w:hAnsi="Arial"/>
          <w:sz w:val="24"/>
          <w:lang w:val="en-US"/>
        </w:rPr>
        <w:t>9</w:t>
      </w:r>
      <w:r w:rsidR="00AB319F" w:rsidRPr="00AB319F">
        <w:rPr>
          <w:rFonts w:ascii="Arial" w:hAnsi="Arial"/>
          <w:sz w:val="24"/>
          <w:lang w:val="en-US"/>
        </w:rPr>
        <w:t>.8.3.</w:t>
      </w:r>
      <w:r w:rsidR="005730CC">
        <w:rPr>
          <w:rFonts w:ascii="Arial" w:hAnsi="Arial"/>
          <w:sz w:val="24"/>
          <w:lang w:val="en-US"/>
        </w:rPr>
        <w:t>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C35AD">
        <w:rPr>
          <w:rFonts w:ascii="Arial" w:hAnsi="Arial"/>
          <w:sz w:val="24"/>
          <w:lang w:val="en-US"/>
        </w:rPr>
        <w:t>Discussion on r</w:t>
      </w:r>
      <w:r w:rsidR="00D36C60">
        <w:rPr>
          <w:rFonts w:ascii="Arial" w:hAnsi="Arial"/>
          <w:sz w:val="24"/>
          <w:lang w:val="en-US"/>
        </w:rPr>
        <w:t>eceiving</w:t>
      </w:r>
      <w:r w:rsidR="00D36C60" w:rsidRPr="008B367C">
        <w:rPr>
          <w:rFonts w:ascii="Arial" w:hAnsi="Arial"/>
          <w:sz w:val="24"/>
          <w:lang w:val="en-US"/>
        </w:rPr>
        <w:t xml:space="preserve"> timing difference between different directions</w:t>
      </w:r>
      <w:r w:rsidR="00D36C60">
        <w:rPr>
          <w:rFonts w:ascii="Arial" w:hAnsi="Arial"/>
          <w:sz w:val="24"/>
          <w:lang w:val="en-US"/>
        </w:rPr>
        <w:t xml:space="preserve"> for NR FR2 multi-Rx</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B61CA6" w:rsidRPr="00622EBC" w:rsidRDefault="00D36C60" w:rsidP="00622EBC">
      <w:pPr>
        <w:rPr>
          <w:rFonts w:eastAsiaTheme="minorEastAsia"/>
          <w:lang w:val="en-US" w:eastAsia="zh-CN"/>
        </w:rPr>
      </w:pPr>
      <w:r w:rsidRPr="00D36C60">
        <w:rPr>
          <w:rFonts w:eastAsiaTheme="minorEastAsia"/>
          <w:lang w:val="en-US" w:eastAsia="zh-CN"/>
        </w:rPr>
        <w:t xml:space="preserve">In last RAN4 meeting, the RRM impacts of NR FR2 multi-Rx chain DL reception were initially discussed, with agreement captured in [1][2][3]. </w:t>
      </w:r>
      <w:r w:rsidR="00122C1F">
        <w:rPr>
          <w:rFonts w:eastAsiaTheme="minorEastAsia"/>
          <w:lang w:val="en-US" w:eastAsia="zh-CN"/>
        </w:rPr>
        <w:t>Due to the limited time for online discussion, the issue related to the r</w:t>
      </w:r>
      <w:r w:rsidR="00122C1F" w:rsidRPr="00122C1F">
        <w:rPr>
          <w:rFonts w:eastAsiaTheme="minorEastAsia"/>
          <w:lang w:val="en-US" w:eastAsia="zh-CN"/>
        </w:rPr>
        <w:t xml:space="preserve">eceiving timing difference between different directions </w:t>
      </w:r>
      <w:r w:rsidR="00122C1F">
        <w:rPr>
          <w:rFonts w:eastAsiaTheme="minorEastAsia"/>
          <w:lang w:val="en-US" w:eastAsia="zh-CN"/>
        </w:rPr>
        <w:t>was not well discussed.</w:t>
      </w:r>
      <w:r w:rsidR="00122C1F" w:rsidRPr="00122C1F">
        <w:rPr>
          <w:rFonts w:eastAsiaTheme="minorEastAsia"/>
          <w:lang w:val="en-US" w:eastAsia="zh-CN"/>
        </w:rPr>
        <w:t xml:space="preserve"> </w:t>
      </w:r>
      <w:r w:rsidRPr="00D36C60">
        <w:rPr>
          <w:rFonts w:eastAsiaTheme="minorEastAsia"/>
          <w:lang w:val="en-US" w:eastAsia="zh-CN"/>
        </w:rPr>
        <w:t>In this paper, we further provide our views on Receiving timing difference between different directions for NR FR2 multi-Rx chain</w:t>
      </w:r>
    </w:p>
    <w:p w:rsidR="00A26C29" w:rsidRDefault="00DF0231" w:rsidP="00A26C29">
      <w:pPr>
        <w:pStyle w:val="Heading1"/>
        <w:numPr>
          <w:ilvl w:val="0"/>
          <w:numId w:val="1"/>
        </w:numPr>
        <w:rPr>
          <w:lang w:val="en-US"/>
        </w:rPr>
      </w:pPr>
      <w:r w:rsidRPr="002D2977">
        <w:rPr>
          <w:lang w:val="en-US"/>
        </w:rPr>
        <w:t>Discussion</w:t>
      </w:r>
    </w:p>
    <w:p w:rsidR="00B61CA6" w:rsidRDefault="00B04CB0" w:rsidP="00B61CA6">
      <w:r>
        <w:t xml:space="preserve">Regarding the receiving timing difference conditions, the current status </w:t>
      </w:r>
      <w:proofErr w:type="gramStart"/>
      <w:r>
        <w:t>are</w:t>
      </w:r>
      <w:proofErr w:type="gramEnd"/>
      <w:r>
        <w:t xml:space="preserve"> summarized as follows with tentative agreements in GTW.</w:t>
      </w:r>
    </w:p>
    <w:tbl>
      <w:tblPr>
        <w:tblStyle w:val="TableGrid"/>
        <w:tblW w:w="0" w:type="auto"/>
        <w:tblLook w:val="04A0" w:firstRow="1" w:lastRow="0" w:firstColumn="1" w:lastColumn="0" w:noHBand="0" w:noVBand="1"/>
      </w:tblPr>
      <w:tblGrid>
        <w:gridCol w:w="9562"/>
      </w:tblGrid>
      <w:tr w:rsidR="00B04CB0" w:rsidTr="00B04CB0">
        <w:tc>
          <w:tcPr>
            <w:tcW w:w="9562" w:type="dxa"/>
          </w:tcPr>
          <w:p w:rsidR="00B04CB0" w:rsidRDefault="00B04CB0" w:rsidP="00B04CB0">
            <w:pPr>
              <w:rPr>
                <w:rFonts w:eastAsia="宋体"/>
                <w:b/>
                <w:color w:val="000000" w:themeColor="text1"/>
                <w:u w:val="single"/>
                <w:lang w:eastAsia="ko-KR"/>
              </w:rPr>
            </w:pPr>
            <w:r>
              <w:rPr>
                <w:b/>
                <w:color w:val="000000" w:themeColor="text1"/>
                <w:u w:val="single"/>
                <w:lang w:eastAsia="ko-KR"/>
              </w:rPr>
              <w:t>Issue 1-3-1: Receive timing difference</w:t>
            </w:r>
          </w:p>
          <w:p w:rsidR="00B04CB0" w:rsidRDefault="00B04CB0" w:rsidP="00B04CB0">
            <w:pPr>
              <w:pStyle w:val="ListParagraph"/>
              <w:numPr>
                <w:ilvl w:val="0"/>
                <w:numId w:val="21"/>
              </w:numPr>
              <w:autoSpaceDN w:val="0"/>
              <w:spacing w:after="120" w:line="256" w:lineRule="auto"/>
              <w:ind w:left="720" w:firstLineChars="0"/>
              <w:rPr>
                <w:rFonts w:eastAsia="宋体"/>
                <w:color w:val="000000" w:themeColor="text1"/>
                <w:szCs w:val="24"/>
                <w:lang w:eastAsia="zh-CN"/>
              </w:rPr>
            </w:pPr>
            <w:r>
              <w:rPr>
                <w:rFonts w:eastAsia="宋体"/>
                <w:color w:val="000000" w:themeColor="text1"/>
                <w:szCs w:val="24"/>
                <w:lang w:eastAsia="zh-CN"/>
              </w:rPr>
              <w:t>Proposals</w:t>
            </w:r>
          </w:p>
          <w:p w:rsidR="00B04CB0" w:rsidRDefault="00B04CB0" w:rsidP="00B04CB0">
            <w:pPr>
              <w:pStyle w:val="ListParagraph"/>
              <w:numPr>
                <w:ilvl w:val="1"/>
                <w:numId w:val="21"/>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Option 1 (Apple, Xiaomi, Qualcomm, Intel, MTK, LGE, OPPO, Ericsson): The receive timing difference between different directions is within CP in R18.</w:t>
            </w:r>
          </w:p>
          <w:p w:rsidR="00B04CB0" w:rsidRDefault="00B04CB0" w:rsidP="00B04CB0">
            <w:pPr>
              <w:pStyle w:val="ListParagraph"/>
              <w:numPr>
                <w:ilvl w:val="2"/>
                <w:numId w:val="21"/>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Option 1b (Qualcomm, Apple): Receive time difference for configured different QCL Type D RSs is not larger than CP. FFS whether and how much additional margin within the CP length is needed.</w:t>
            </w:r>
          </w:p>
          <w:p w:rsidR="00B04CB0" w:rsidRDefault="00B04CB0" w:rsidP="00B04CB0">
            <w:pPr>
              <w:pStyle w:val="ListParagraph"/>
              <w:numPr>
                <w:ilvl w:val="1"/>
                <w:numId w:val="21"/>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Option 2 (vivo, Huawei, Samsung, CMCC, ZTE): The receive timing difference between different directions is within CP at least. FFS whether to define requirements with timing difference larger than CP.</w:t>
            </w:r>
          </w:p>
          <w:p w:rsidR="00B04CB0" w:rsidRDefault="00B04CB0" w:rsidP="00B04CB0">
            <w:pPr>
              <w:pStyle w:val="ListParagraph"/>
              <w:numPr>
                <w:ilvl w:val="1"/>
                <w:numId w:val="21"/>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Option 3 (Nokia): Consider receive time differences larger than CP.</w:t>
            </w:r>
          </w:p>
          <w:p w:rsidR="00B04CB0" w:rsidRDefault="00B04CB0" w:rsidP="00B04CB0">
            <w:pPr>
              <w:pStyle w:val="ListParagraph"/>
              <w:numPr>
                <w:ilvl w:val="2"/>
                <w:numId w:val="21"/>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rsidR="00B04CB0" w:rsidRDefault="00B04CB0" w:rsidP="00B04CB0">
            <w:pPr>
              <w:pStyle w:val="ListParagraph"/>
              <w:numPr>
                <w:ilvl w:val="1"/>
                <w:numId w:val="21"/>
              </w:numPr>
              <w:autoSpaceDN w:val="0"/>
              <w:spacing w:after="120" w:line="256" w:lineRule="auto"/>
              <w:ind w:left="1440" w:firstLineChars="0"/>
              <w:rPr>
                <w:rFonts w:eastAsia="宋体"/>
                <w:color w:val="000000" w:themeColor="text1"/>
                <w:szCs w:val="24"/>
                <w:lang w:eastAsia="zh-CN"/>
              </w:rPr>
            </w:pPr>
            <w:r>
              <w:rPr>
                <w:rFonts w:eastAsia="宋体"/>
                <w:color w:val="000000" w:themeColor="text1"/>
                <w:szCs w:val="24"/>
                <w:lang w:eastAsia="zh-CN"/>
              </w:rPr>
              <w:t>Option 4 (Tentative agreement in GTW): The receive timing difference considered for data reception and L1 measurements between different directions (2AOAs) is within CP</w:t>
            </w:r>
          </w:p>
          <w:p w:rsidR="00B04CB0" w:rsidRDefault="00B04CB0" w:rsidP="00B04CB0">
            <w:pPr>
              <w:pStyle w:val="ListParagraph"/>
              <w:numPr>
                <w:ilvl w:val="2"/>
                <w:numId w:val="21"/>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Receive time differences between any configured different QCL Type D RSs is not larger than CP.</w:t>
            </w:r>
          </w:p>
          <w:p w:rsidR="00B04CB0" w:rsidRPr="00B04CB0" w:rsidRDefault="00B04CB0" w:rsidP="00B61CA6">
            <w:pPr>
              <w:pStyle w:val="ListParagraph"/>
              <w:numPr>
                <w:ilvl w:val="2"/>
                <w:numId w:val="21"/>
              </w:numPr>
              <w:autoSpaceDN w:val="0"/>
              <w:spacing w:after="120" w:line="256" w:lineRule="auto"/>
              <w:ind w:firstLineChars="0"/>
              <w:rPr>
                <w:rFonts w:eastAsia="宋体"/>
                <w:color w:val="000000" w:themeColor="text1"/>
                <w:szCs w:val="24"/>
                <w:lang w:eastAsia="zh-CN"/>
              </w:rPr>
            </w:pPr>
            <w:r>
              <w:rPr>
                <w:rFonts w:eastAsia="宋体"/>
                <w:color w:val="000000" w:themeColor="text1"/>
                <w:szCs w:val="24"/>
                <w:lang w:eastAsia="zh-CN"/>
              </w:rPr>
              <w:t>FFS whether to define requirements with timing difference larger than CP.</w:t>
            </w:r>
          </w:p>
        </w:tc>
      </w:tr>
    </w:tbl>
    <w:p w:rsidR="00B04CB0" w:rsidRDefault="00B04CB0" w:rsidP="00B61CA6"/>
    <w:p w:rsidR="00B04CB0" w:rsidRDefault="00B04CB0" w:rsidP="00B61CA6">
      <w:r>
        <w:t xml:space="preserve">This is a trade-off problem since Rel-16 when RTD within CP is the basic assumptions. In Rel-18 </w:t>
      </w:r>
      <w:proofErr w:type="spellStart"/>
      <w:r>
        <w:t>MIMO_evo</w:t>
      </w:r>
      <w:proofErr w:type="spellEnd"/>
      <w:r>
        <w:t xml:space="preserve"> discussion, there was related agreements achieved in last RAN1 meeting which is shown as follows. It was agreed to consider RTD lager than CP as an optional UE capability. Though one can argue that RAN1’s agreement is related to UL transmission discussed in different WI, as described in WID, the two TA operation is highly depending on multiple panel architecture. </w:t>
      </w:r>
    </w:p>
    <w:tbl>
      <w:tblPr>
        <w:tblStyle w:val="TableGrid"/>
        <w:tblW w:w="0" w:type="auto"/>
        <w:tblLook w:val="04A0" w:firstRow="1" w:lastRow="0" w:firstColumn="1" w:lastColumn="0" w:noHBand="0" w:noVBand="1"/>
      </w:tblPr>
      <w:tblGrid>
        <w:gridCol w:w="9562"/>
      </w:tblGrid>
      <w:tr w:rsidR="00B04CB0" w:rsidTr="00B04CB0">
        <w:tc>
          <w:tcPr>
            <w:tcW w:w="9562" w:type="dxa"/>
          </w:tcPr>
          <w:p w:rsidR="00B04CB0" w:rsidRPr="00B04CB0" w:rsidRDefault="00B04CB0" w:rsidP="00B04CB0">
            <w:pPr>
              <w:spacing w:after="0"/>
              <w:rPr>
                <w:rFonts w:eastAsia="Batang"/>
              </w:rPr>
            </w:pPr>
            <w:r w:rsidRPr="00B04CB0">
              <w:rPr>
                <w:rFonts w:eastAsia="Batang"/>
              </w:rPr>
              <w:t>From Oct 10th GTW session</w:t>
            </w:r>
          </w:p>
          <w:p w:rsidR="00B04CB0" w:rsidRPr="00B04CB0" w:rsidRDefault="00B04CB0" w:rsidP="00B04CB0">
            <w:pPr>
              <w:spacing w:after="0"/>
              <w:rPr>
                <w:rFonts w:ascii="Times" w:eastAsia="Batang" w:hAnsi="Times"/>
                <w:szCs w:val="24"/>
                <w:highlight w:val="green"/>
              </w:rPr>
            </w:pPr>
            <w:r w:rsidRPr="00B04CB0">
              <w:rPr>
                <w:rFonts w:ascii="Times" w:eastAsia="Batang" w:hAnsi="Times"/>
                <w:szCs w:val="24"/>
                <w:highlight w:val="green"/>
              </w:rPr>
              <w:t>Agreement</w:t>
            </w:r>
          </w:p>
          <w:p w:rsidR="00B04CB0" w:rsidRPr="00B04CB0" w:rsidRDefault="00B04CB0" w:rsidP="00B04CB0">
            <w:pPr>
              <w:spacing w:after="0"/>
              <w:rPr>
                <w:rFonts w:ascii="Times" w:eastAsia="Batang" w:hAnsi="Times"/>
                <w:szCs w:val="24"/>
              </w:rPr>
            </w:pPr>
            <w:r w:rsidRPr="00B04CB0">
              <w:rPr>
                <w:rFonts w:ascii="Times" w:eastAsia="Batang" w:hAnsi="Times"/>
                <w:szCs w:val="24"/>
              </w:rPr>
              <w:lastRenderedPageBreak/>
              <w:t>For multi-DCI multi-TRP operation with two TAs in a CC, two DL reference timings are supported where each DL reference timing is associated with one TAG</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 xml:space="preserve">baseline assumption is that the Rx timing difference between the two DL reference timings is no larger than CP length </w:t>
            </w:r>
          </w:p>
          <w:p w:rsidR="00B04CB0" w:rsidRPr="00B04CB0" w:rsidRDefault="00B04CB0" w:rsidP="00B04CB0">
            <w:pPr>
              <w:numPr>
                <w:ilvl w:val="0"/>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as an optional UE capability, Rx timing difference between the two DL reference timings can be assumed to be larger than CP length</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FFS: the maximum Rx timing difference (could be up to RAN4)</w:t>
            </w:r>
          </w:p>
          <w:p w:rsidR="00B04CB0" w:rsidRPr="00B04CB0" w:rsidRDefault="00B04CB0" w:rsidP="00B04CB0">
            <w:pPr>
              <w:numPr>
                <w:ilvl w:val="1"/>
                <w:numId w:val="22"/>
              </w:numPr>
              <w:overflowPunct w:val="0"/>
              <w:autoSpaceDE w:val="0"/>
              <w:autoSpaceDN w:val="0"/>
              <w:adjustRightInd w:val="0"/>
              <w:spacing w:after="160" w:line="259" w:lineRule="auto"/>
              <w:contextualSpacing/>
              <w:textAlignment w:val="baseline"/>
              <w:rPr>
                <w:rFonts w:eastAsia="宋体"/>
                <w:lang w:eastAsia="x-none"/>
              </w:rPr>
            </w:pPr>
            <w:r w:rsidRPr="00B04CB0">
              <w:rPr>
                <w:rFonts w:eastAsia="宋体"/>
                <w:lang w:eastAsia="x-none"/>
              </w:rPr>
              <w:t>Other than UE capability details and relevant configuration, no additional RAN1 specification enhancement specific for this case is expected</w:t>
            </w:r>
          </w:p>
          <w:p w:rsidR="00B04CB0" w:rsidRDefault="00B04CB0" w:rsidP="00B61CA6"/>
        </w:tc>
      </w:tr>
    </w:tbl>
    <w:p w:rsidR="00B04CB0" w:rsidRDefault="00B04CB0" w:rsidP="00B61CA6"/>
    <w:p w:rsidR="00B04CB0" w:rsidRPr="00A1304B" w:rsidRDefault="00B04CB0" w:rsidP="002A6A68">
      <w:pPr>
        <w:jc w:val="both"/>
        <w:rPr>
          <w:b/>
        </w:rPr>
      </w:pPr>
      <w:r w:rsidRPr="00A1304B">
        <w:rPr>
          <w:b/>
        </w:rPr>
        <w:t>Observation 1: Optional UE capability for Rx timing difference larger than CP was agreed in RAN1.</w:t>
      </w:r>
    </w:p>
    <w:p w:rsidR="00B04CB0" w:rsidRDefault="00B04CB0" w:rsidP="002A6A68">
      <w:pPr>
        <w:jc w:val="both"/>
      </w:pPr>
      <w:r>
        <w:t xml:space="preserve">Thus, it is reasonable to </w:t>
      </w:r>
      <w:r w:rsidR="00A1304B">
        <w:t xml:space="preserve">follow the direction of RAN1 conclusion to further investigate the details of supporting RTD larger than CP. From RAN4 perspective, some aspects needs to be further investigated before we confirm the UE capability can be supported in multi-Rx WI. </w:t>
      </w:r>
      <w:r w:rsidR="00BF53FD">
        <w:t>Firstly, a</w:t>
      </w:r>
      <w:r w:rsidR="00A1304B">
        <w:t xml:space="preserve">s could be observed from RAN1 agreements, it is only for multi-DCI </w:t>
      </w:r>
      <w:proofErr w:type="spellStart"/>
      <w:r w:rsidR="00A1304B">
        <w:t>mTRP</w:t>
      </w:r>
      <w:proofErr w:type="spellEnd"/>
      <w:r w:rsidR="00A1304B">
        <w:t xml:space="preserve"> scenarios. One interpretation would be that this capability is only supported when UE also supports </w:t>
      </w:r>
      <w:r w:rsidR="00A1304B" w:rsidRPr="00A1304B">
        <w:t>multiDCI-MultiTRP-r16</w:t>
      </w:r>
      <w:r w:rsidR="00A1304B">
        <w:t xml:space="preserve">. Another interpretation could be </w:t>
      </w:r>
      <w:r w:rsidR="00DB0A88">
        <w:t xml:space="preserve">that </w:t>
      </w:r>
      <w:r w:rsidR="00A1304B">
        <w:t xml:space="preserve">it is only about data transmission scheduled by multi-DCI. In RAN4 discussion, there is enhancement about L1/L3 measurement which is not directly related to </w:t>
      </w:r>
      <w:proofErr w:type="spellStart"/>
      <w:r w:rsidR="00A1304B">
        <w:t>sDCI</w:t>
      </w:r>
      <w:proofErr w:type="spellEnd"/>
      <w:r w:rsidR="00A1304B">
        <w:t xml:space="preserve"> or </w:t>
      </w:r>
      <w:proofErr w:type="spellStart"/>
      <w:r w:rsidR="00A1304B">
        <w:t>mDCI</w:t>
      </w:r>
      <w:proofErr w:type="spellEnd"/>
      <w:r w:rsidR="00A1304B">
        <w:t>. Then whether this capability is also about L1 measurement needs further investigation.</w:t>
      </w:r>
      <w:r w:rsidR="00BF53FD">
        <w:t xml:space="preserve"> Secondly, the applicability of intra-cell and inter-cell is also under discussion in general part of the multi-Rx WI. Whether the RTD is related to inter-cell should also be discussed. Besides, RAN4 only reached very high level description on the receiving signals for the RTD which is </w:t>
      </w:r>
      <w:r w:rsidR="00BF53FD">
        <w:rPr>
          <w:rFonts w:eastAsia="宋体"/>
          <w:color w:val="000000" w:themeColor="text1"/>
          <w:szCs w:val="24"/>
          <w:lang w:eastAsia="zh-CN"/>
        </w:rPr>
        <w:t xml:space="preserve">data reception and L1 measurements. It needs to be further investigated whether it involve </w:t>
      </w:r>
      <w:r w:rsidR="00DB0A88">
        <w:rPr>
          <w:rFonts w:eastAsia="宋体"/>
          <w:color w:val="000000" w:themeColor="text1"/>
          <w:szCs w:val="24"/>
          <w:lang w:eastAsia="zh-CN"/>
        </w:rPr>
        <w:t>all</w:t>
      </w:r>
      <w:r w:rsidR="00BF53FD">
        <w:rPr>
          <w:rFonts w:eastAsia="宋体"/>
          <w:color w:val="000000" w:themeColor="text1"/>
          <w:szCs w:val="24"/>
          <w:lang w:eastAsia="zh-CN"/>
        </w:rPr>
        <w:t xml:space="preserve"> kinds of combinations of receiving signals. For instance, L1 measurement and L1 measurement, L1 measurement and data reception. Also, the type of RS for L1-measurment to be considered for L1 measurement enhancement is also under discussion, which is highly related to the intra-cell/inter-cell assumptions. </w:t>
      </w:r>
    </w:p>
    <w:p w:rsidR="00A1304B" w:rsidRPr="00BF53FD" w:rsidRDefault="00A1304B" w:rsidP="002A6A68">
      <w:pPr>
        <w:jc w:val="both"/>
        <w:rPr>
          <w:b/>
          <w:lang w:val="en-US"/>
        </w:rPr>
      </w:pPr>
      <w:r w:rsidRPr="00BF53FD">
        <w:rPr>
          <w:b/>
          <w:lang w:val="en-US"/>
        </w:rPr>
        <w:t xml:space="preserve">Observation 2: The applicable scenario of </w:t>
      </w:r>
      <w:r w:rsidR="00BF53FD" w:rsidRPr="00BF53FD">
        <w:rPr>
          <w:b/>
          <w:lang w:val="en-US"/>
        </w:rPr>
        <w:t xml:space="preserve">RTD larger than CP need further investigation in terms of </w:t>
      </w:r>
      <w:proofErr w:type="spellStart"/>
      <w:r w:rsidR="00BF53FD" w:rsidRPr="00BF53FD">
        <w:rPr>
          <w:b/>
          <w:lang w:val="en-US"/>
        </w:rPr>
        <w:t>sDCI</w:t>
      </w:r>
      <w:proofErr w:type="spellEnd"/>
      <w:r w:rsidR="00BF53FD" w:rsidRPr="00BF53FD">
        <w:rPr>
          <w:b/>
          <w:lang w:val="en-US"/>
        </w:rPr>
        <w:t>/</w:t>
      </w:r>
      <w:proofErr w:type="spellStart"/>
      <w:r w:rsidR="00BF53FD" w:rsidRPr="00BF53FD">
        <w:rPr>
          <w:b/>
          <w:lang w:val="en-US"/>
        </w:rPr>
        <w:t>mDCI</w:t>
      </w:r>
      <w:proofErr w:type="spellEnd"/>
      <w:r w:rsidR="00BF53FD" w:rsidRPr="00BF53FD">
        <w:rPr>
          <w:b/>
          <w:lang w:val="en-US"/>
        </w:rPr>
        <w:t>, intra-cell/inter-cell and combinations for receiving signals (e.g. type of RS for L1-measurment, L1-measurement and data)</w:t>
      </w:r>
    </w:p>
    <w:p w:rsidR="00BF53FD" w:rsidRDefault="00BF53FD" w:rsidP="002A6A68">
      <w:pPr>
        <w:jc w:val="both"/>
        <w:rPr>
          <w:rFonts w:eastAsia="宋体"/>
          <w:color w:val="000000" w:themeColor="text1"/>
          <w:szCs w:val="24"/>
          <w:lang w:eastAsia="zh-CN"/>
        </w:rPr>
      </w:pPr>
      <w:r>
        <w:rPr>
          <w:lang w:val="en-US"/>
        </w:rPr>
        <w:t xml:space="preserve">Based on analysis above, RAN4 should consider </w:t>
      </w:r>
      <w:r>
        <w:rPr>
          <w:rFonts w:eastAsia="宋体"/>
          <w:color w:val="000000" w:themeColor="text1"/>
          <w:szCs w:val="24"/>
          <w:lang w:eastAsia="zh-CN"/>
        </w:rPr>
        <w:t xml:space="preserve">defining requirements with timing difference larger than CP, and the applicable scenario needs further investigation in terms of </w:t>
      </w:r>
      <w:proofErr w:type="spellStart"/>
      <w:r w:rsidRPr="00BF53FD">
        <w:rPr>
          <w:rFonts w:eastAsia="宋体"/>
          <w:color w:val="000000" w:themeColor="text1"/>
          <w:szCs w:val="24"/>
          <w:lang w:eastAsia="zh-CN"/>
        </w:rPr>
        <w:t>sDCI</w:t>
      </w:r>
      <w:proofErr w:type="spellEnd"/>
      <w:r w:rsidRPr="00BF53FD">
        <w:rPr>
          <w:rFonts w:eastAsia="宋体"/>
          <w:color w:val="000000" w:themeColor="text1"/>
          <w:szCs w:val="24"/>
          <w:lang w:eastAsia="zh-CN"/>
        </w:rPr>
        <w:t>/</w:t>
      </w:r>
      <w:proofErr w:type="spellStart"/>
      <w:r w:rsidRPr="00BF53FD">
        <w:rPr>
          <w:rFonts w:eastAsia="宋体"/>
          <w:color w:val="000000" w:themeColor="text1"/>
          <w:szCs w:val="24"/>
          <w:lang w:eastAsia="zh-CN"/>
        </w:rPr>
        <w:t>mDCI</w:t>
      </w:r>
      <w:proofErr w:type="spellEnd"/>
      <w:r>
        <w:rPr>
          <w:rFonts w:eastAsia="宋体"/>
          <w:color w:val="000000" w:themeColor="text1"/>
          <w:szCs w:val="24"/>
          <w:lang w:eastAsia="zh-CN"/>
        </w:rPr>
        <w:t>,</w:t>
      </w:r>
      <w:r w:rsidRPr="00BF53FD">
        <w:t xml:space="preserve"> </w:t>
      </w:r>
      <w:r w:rsidRPr="00BF53FD">
        <w:rPr>
          <w:rFonts w:eastAsia="宋体"/>
          <w:color w:val="000000" w:themeColor="text1"/>
          <w:szCs w:val="24"/>
          <w:lang w:eastAsia="zh-CN"/>
        </w:rPr>
        <w:t>intra-cell/inter-cell</w:t>
      </w:r>
      <w:r>
        <w:rPr>
          <w:rFonts w:eastAsia="宋体"/>
          <w:color w:val="000000" w:themeColor="text1"/>
          <w:szCs w:val="24"/>
          <w:lang w:eastAsia="zh-CN"/>
        </w:rPr>
        <w:t xml:space="preserve"> and combinations of receiving signals. </w:t>
      </w:r>
    </w:p>
    <w:p w:rsidR="00682C64" w:rsidRPr="003E0F93" w:rsidRDefault="00682C64" w:rsidP="002A6A68">
      <w:pPr>
        <w:jc w:val="both"/>
        <w:rPr>
          <w:rFonts w:eastAsia="宋体"/>
          <w:b/>
          <w:color w:val="000000" w:themeColor="text1"/>
          <w:szCs w:val="24"/>
          <w:lang w:eastAsia="zh-CN"/>
        </w:rPr>
      </w:pPr>
      <w:r w:rsidRPr="00682C64">
        <w:rPr>
          <w:rFonts w:eastAsia="宋体"/>
          <w:b/>
          <w:color w:val="000000" w:themeColor="text1"/>
          <w:szCs w:val="24"/>
          <w:lang w:eastAsia="zh-CN"/>
        </w:rPr>
        <w:t xml:space="preserve">Proposal 1: </w:t>
      </w:r>
      <w:r w:rsidRPr="00682C64">
        <w:rPr>
          <w:b/>
          <w:lang w:val="en-US"/>
        </w:rPr>
        <w:t xml:space="preserve">RAN4 to consider </w:t>
      </w:r>
      <w:r w:rsidRPr="00682C64">
        <w:rPr>
          <w:rFonts w:eastAsia="宋体"/>
          <w:b/>
          <w:color w:val="000000" w:themeColor="text1"/>
          <w:szCs w:val="24"/>
          <w:lang w:eastAsia="zh-CN"/>
        </w:rPr>
        <w:t xml:space="preserve">defining requirements with timing difference larger than CP, and the applicable scenario needs further investigation in terms of </w:t>
      </w:r>
      <w:proofErr w:type="spellStart"/>
      <w:r w:rsidRPr="00682C64">
        <w:rPr>
          <w:rFonts w:eastAsia="宋体"/>
          <w:b/>
          <w:color w:val="000000" w:themeColor="text1"/>
          <w:szCs w:val="24"/>
          <w:lang w:eastAsia="zh-CN"/>
        </w:rPr>
        <w:t>sDCI</w:t>
      </w:r>
      <w:proofErr w:type="spellEnd"/>
      <w:r w:rsidRPr="00682C64">
        <w:rPr>
          <w:rFonts w:eastAsia="宋体"/>
          <w:b/>
          <w:color w:val="000000" w:themeColor="text1"/>
          <w:szCs w:val="24"/>
          <w:lang w:eastAsia="zh-CN"/>
        </w:rPr>
        <w:t>/</w:t>
      </w:r>
      <w:proofErr w:type="spellStart"/>
      <w:r w:rsidRPr="00682C64">
        <w:rPr>
          <w:rFonts w:eastAsia="宋体"/>
          <w:b/>
          <w:color w:val="000000" w:themeColor="text1"/>
          <w:szCs w:val="24"/>
          <w:lang w:eastAsia="zh-CN"/>
        </w:rPr>
        <w:t>mDCI</w:t>
      </w:r>
      <w:proofErr w:type="spellEnd"/>
      <w:r w:rsidRPr="00682C64">
        <w:rPr>
          <w:rFonts w:eastAsia="宋体"/>
          <w:b/>
          <w:color w:val="000000" w:themeColor="text1"/>
          <w:szCs w:val="24"/>
          <w:lang w:eastAsia="zh-CN"/>
        </w:rPr>
        <w:t>,</w:t>
      </w:r>
      <w:r w:rsidRPr="00682C64">
        <w:rPr>
          <w:b/>
        </w:rPr>
        <w:t xml:space="preserve"> </w:t>
      </w:r>
      <w:r w:rsidRPr="00682C64">
        <w:rPr>
          <w:rFonts w:eastAsia="宋体"/>
          <w:b/>
          <w:color w:val="000000" w:themeColor="text1"/>
          <w:szCs w:val="24"/>
          <w:lang w:eastAsia="zh-CN"/>
        </w:rPr>
        <w:t xml:space="preserve">intra-cell/inter-cell and combinations of receiving signals. </w:t>
      </w:r>
    </w:p>
    <w:p w:rsidR="00DF0231" w:rsidRDefault="00DF0231" w:rsidP="00DF0231">
      <w:pPr>
        <w:pStyle w:val="Heading1"/>
        <w:numPr>
          <w:ilvl w:val="0"/>
          <w:numId w:val="1"/>
        </w:numPr>
        <w:rPr>
          <w:lang w:val="en-US"/>
        </w:rPr>
      </w:pPr>
      <w:r w:rsidRPr="002D2977">
        <w:rPr>
          <w:lang w:val="en-US"/>
        </w:rPr>
        <w:t>Conclusions</w:t>
      </w:r>
    </w:p>
    <w:p w:rsidR="003E0F93" w:rsidRPr="00A1304B" w:rsidRDefault="003E0F93" w:rsidP="003E0F93">
      <w:pPr>
        <w:rPr>
          <w:b/>
        </w:rPr>
      </w:pPr>
      <w:r w:rsidRPr="00A1304B">
        <w:rPr>
          <w:b/>
        </w:rPr>
        <w:t>Observation 1: Optional UE capability for Rx timing difference larger than CP was agreed in RAN1.</w:t>
      </w:r>
    </w:p>
    <w:p w:rsidR="003E0F93" w:rsidRPr="00BF53FD" w:rsidRDefault="003E0F93" w:rsidP="003E0F93">
      <w:pPr>
        <w:rPr>
          <w:b/>
          <w:lang w:val="en-US"/>
        </w:rPr>
      </w:pPr>
      <w:r w:rsidRPr="00BF53FD">
        <w:rPr>
          <w:b/>
          <w:lang w:val="en-US"/>
        </w:rPr>
        <w:t xml:space="preserve">Observation 2: The applicable scenario of RTD larger than CP need further investigation in terms of </w:t>
      </w:r>
      <w:proofErr w:type="spellStart"/>
      <w:r w:rsidRPr="00BF53FD">
        <w:rPr>
          <w:b/>
          <w:lang w:val="en-US"/>
        </w:rPr>
        <w:t>sDCI</w:t>
      </w:r>
      <w:proofErr w:type="spellEnd"/>
      <w:r w:rsidRPr="00BF53FD">
        <w:rPr>
          <w:b/>
          <w:lang w:val="en-US"/>
        </w:rPr>
        <w:t>/</w:t>
      </w:r>
      <w:proofErr w:type="spellStart"/>
      <w:r w:rsidRPr="00BF53FD">
        <w:rPr>
          <w:b/>
          <w:lang w:val="en-US"/>
        </w:rPr>
        <w:t>mDCI</w:t>
      </w:r>
      <w:proofErr w:type="spellEnd"/>
      <w:r w:rsidRPr="00BF53FD">
        <w:rPr>
          <w:b/>
          <w:lang w:val="en-US"/>
        </w:rPr>
        <w:t>, intra-cell/inter-cell and combinations for receiving signals (e.g. type of RS for L1-measurment, L1-measurement and data)</w:t>
      </w:r>
    </w:p>
    <w:p w:rsidR="003E0F93" w:rsidRPr="003E0F93" w:rsidRDefault="003E0F93" w:rsidP="003E0F93">
      <w:pPr>
        <w:rPr>
          <w:rFonts w:eastAsia="宋体"/>
          <w:b/>
          <w:color w:val="000000" w:themeColor="text1"/>
          <w:szCs w:val="24"/>
          <w:lang w:eastAsia="zh-CN"/>
        </w:rPr>
      </w:pPr>
      <w:r w:rsidRPr="00682C64">
        <w:rPr>
          <w:rFonts w:eastAsia="宋体"/>
          <w:b/>
          <w:color w:val="000000" w:themeColor="text1"/>
          <w:szCs w:val="24"/>
          <w:lang w:eastAsia="zh-CN"/>
        </w:rPr>
        <w:t xml:space="preserve">Proposal 1: </w:t>
      </w:r>
      <w:r w:rsidRPr="00682C64">
        <w:rPr>
          <w:b/>
          <w:lang w:val="en-US"/>
        </w:rPr>
        <w:t xml:space="preserve">RAN4 to consider </w:t>
      </w:r>
      <w:r w:rsidRPr="00682C64">
        <w:rPr>
          <w:rFonts w:eastAsia="宋体"/>
          <w:b/>
          <w:color w:val="000000" w:themeColor="text1"/>
          <w:szCs w:val="24"/>
          <w:lang w:eastAsia="zh-CN"/>
        </w:rPr>
        <w:t xml:space="preserve">defining requirements with timing difference larger than CP, and the applicable scenario needs further investigation in terms of </w:t>
      </w:r>
      <w:proofErr w:type="spellStart"/>
      <w:r w:rsidRPr="00682C64">
        <w:rPr>
          <w:rFonts w:eastAsia="宋体"/>
          <w:b/>
          <w:color w:val="000000" w:themeColor="text1"/>
          <w:szCs w:val="24"/>
          <w:lang w:eastAsia="zh-CN"/>
        </w:rPr>
        <w:t>sDCI</w:t>
      </w:r>
      <w:proofErr w:type="spellEnd"/>
      <w:r w:rsidRPr="00682C64">
        <w:rPr>
          <w:rFonts w:eastAsia="宋体"/>
          <w:b/>
          <w:color w:val="000000" w:themeColor="text1"/>
          <w:szCs w:val="24"/>
          <w:lang w:eastAsia="zh-CN"/>
        </w:rPr>
        <w:t>/</w:t>
      </w:r>
      <w:proofErr w:type="spellStart"/>
      <w:r w:rsidRPr="00682C64">
        <w:rPr>
          <w:rFonts w:eastAsia="宋体"/>
          <w:b/>
          <w:color w:val="000000" w:themeColor="text1"/>
          <w:szCs w:val="24"/>
          <w:lang w:eastAsia="zh-CN"/>
        </w:rPr>
        <w:t>mDCI</w:t>
      </w:r>
      <w:proofErr w:type="spellEnd"/>
      <w:r w:rsidRPr="00682C64">
        <w:rPr>
          <w:rFonts w:eastAsia="宋体"/>
          <w:b/>
          <w:color w:val="000000" w:themeColor="text1"/>
          <w:szCs w:val="24"/>
          <w:lang w:eastAsia="zh-CN"/>
        </w:rPr>
        <w:t>,</w:t>
      </w:r>
      <w:r w:rsidRPr="00682C64">
        <w:rPr>
          <w:b/>
        </w:rPr>
        <w:t xml:space="preserve"> </w:t>
      </w:r>
      <w:r w:rsidRPr="00682C64">
        <w:rPr>
          <w:rFonts w:eastAsia="宋体"/>
          <w:b/>
          <w:color w:val="000000" w:themeColor="text1"/>
          <w:szCs w:val="24"/>
          <w:lang w:eastAsia="zh-CN"/>
        </w:rPr>
        <w:t xml:space="preserve">intra-cell/inter-cell and combinations of receiving signals. </w:t>
      </w:r>
    </w:p>
    <w:p w:rsidR="00DF0231" w:rsidRPr="002D2977" w:rsidRDefault="00DF0231" w:rsidP="00DF0231">
      <w:pPr>
        <w:pStyle w:val="Heading1"/>
        <w:tabs>
          <w:tab w:val="clear" w:pos="432"/>
        </w:tabs>
        <w:ind w:left="0" w:firstLine="0"/>
        <w:rPr>
          <w:lang w:val="en-US"/>
        </w:rPr>
      </w:pPr>
      <w:r w:rsidRPr="002D2977">
        <w:rPr>
          <w:lang w:val="en-US"/>
        </w:rPr>
        <w:t>References</w:t>
      </w:r>
    </w:p>
    <w:p w:rsidR="003E0F93" w:rsidRPr="000A18E6" w:rsidRDefault="003E0F93" w:rsidP="003E0F93">
      <w:pPr>
        <w:rPr>
          <w:rFonts w:eastAsiaTheme="minorEastAsia"/>
          <w:lang w:eastAsia="zh-CN"/>
        </w:rPr>
      </w:pPr>
      <w:r>
        <w:rPr>
          <w:rFonts w:eastAsiaTheme="minorEastAsia"/>
          <w:lang w:eastAsia="zh-CN"/>
        </w:rPr>
        <w:t xml:space="preserve">[1] </w:t>
      </w:r>
      <w:r w:rsidRPr="000A18E6">
        <w:rPr>
          <w:rFonts w:eastAsiaTheme="minorEastAsia"/>
          <w:lang w:eastAsia="zh-CN"/>
        </w:rPr>
        <w:t>R4-2220742</w:t>
      </w:r>
      <w:r w:rsidRPr="000A18E6">
        <w:rPr>
          <w:rFonts w:eastAsiaTheme="minorEastAsia"/>
          <w:lang w:eastAsia="zh-CN"/>
        </w:rPr>
        <w:tab/>
        <w:t>WF on NR FR2 multi-Rx chain DL reception – Part 1</w:t>
      </w:r>
      <w:r>
        <w:rPr>
          <w:rFonts w:eastAsiaTheme="minorEastAsia"/>
          <w:lang w:eastAsia="zh-CN"/>
        </w:rPr>
        <w:t xml:space="preserve">, </w:t>
      </w:r>
      <w:r w:rsidRPr="000A18E6">
        <w:rPr>
          <w:rFonts w:eastAsiaTheme="minorEastAsia"/>
          <w:lang w:eastAsia="zh-CN"/>
        </w:rPr>
        <w:t>vivo</w:t>
      </w:r>
    </w:p>
    <w:p w:rsidR="003E0F93" w:rsidRPr="000A18E6" w:rsidRDefault="003E0F93" w:rsidP="003E0F93">
      <w:pPr>
        <w:rPr>
          <w:rFonts w:eastAsiaTheme="minorEastAsia"/>
          <w:lang w:eastAsia="zh-CN"/>
        </w:rPr>
      </w:pPr>
      <w:r>
        <w:rPr>
          <w:rFonts w:eastAsiaTheme="minorEastAsia"/>
          <w:lang w:eastAsia="zh-CN"/>
        </w:rPr>
        <w:t xml:space="preserve">[2] </w:t>
      </w:r>
      <w:r w:rsidRPr="000A18E6">
        <w:rPr>
          <w:rFonts w:eastAsiaTheme="minorEastAsia"/>
          <w:lang w:eastAsia="zh-CN"/>
        </w:rPr>
        <w:t>R4-2220743</w:t>
      </w:r>
      <w:r w:rsidRPr="000A18E6">
        <w:rPr>
          <w:rFonts w:eastAsiaTheme="minorEastAsia"/>
          <w:lang w:eastAsia="zh-CN"/>
        </w:rPr>
        <w:tab/>
        <w:t>WF on NR FR2 multi-Rx chain DL reception – Part 2</w:t>
      </w:r>
      <w:r>
        <w:rPr>
          <w:rFonts w:eastAsiaTheme="minorEastAsia"/>
          <w:lang w:eastAsia="zh-CN"/>
        </w:rPr>
        <w:t xml:space="preserve">, </w:t>
      </w:r>
      <w:r w:rsidRPr="000A18E6">
        <w:rPr>
          <w:rFonts w:eastAsiaTheme="minorEastAsia"/>
          <w:lang w:eastAsia="zh-CN"/>
        </w:rPr>
        <w:t>Qualcomm</w:t>
      </w:r>
    </w:p>
    <w:p w:rsidR="003E0F93" w:rsidRPr="000A18E6" w:rsidRDefault="003E0F93" w:rsidP="003E0F93">
      <w:pPr>
        <w:rPr>
          <w:rFonts w:eastAsiaTheme="minorEastAsia"/>
          <w:lang w:eastAsia="zh-CN"/>
        </w:rPr>
      </w:pPr>
      <w:r>
        <w:rPr>
          <w:rFonts w:eastAsiaTheme="minorEastAsia"/>
          <w:lang w:eastAsia="zh-CN"/>
        </w:rPr>
        <w:t xml:space="preserve">[3] </w:t>
      </w:r>
      <w:r w:rsidRPr="000A18E6">
        <w:rPr>
          <w:rFonts w:eastAsiaTheme="minorEastAsia"/>
          <w:lang w:eastAsia="zh-CN"/>
        </w:rPr>
        <w:t>R4-2220402</w:t>
      </w:r>
      <w:r w:rsidRPr="000A18E6">
        <w:rPr>
          <w:rFonts w:eastAsiaTheme="minorEastAsia"/>
          <w:lang w:eastAsia="zh-CN"/>
        </w:rPr>
        <w:tab/>
        <w:t>WF on NR FR2 multi-Rx chain DL reception – Part 3</w:t>
      </w:r>
      <w:r>
        <w:rPr>
          <w:rFonts w:eastAsiaTheme="minorEastAsia"/>
          <w:lang w:eastAsia="zh-CN"/>
        </w:rPr>
        <w:t xml:space="preserve">, </w:t>
      </w:r>
      <w:r w:rsidRPr="000A18E6">
        <w:rPr>
          <w:rFonts w:eastAsiaTheme="minorEastAsia"/>
          <w:lang w:eastAsia="zh-CN"/>
        </w:rPr>
        <w:t>Ericsson</w:t>
      </w:r>
    </w:p>
    <w:p w:rsidR="004118D3" w:rsidRPr="003E0F93" w:rsidRDefault="004118D3">
      <w:pPr>
        <w:rPr>
          <w:rFonts w:eastAsiaTheme="minorEastAsia"/>
          <w:lang w:eastAsia="zh-CN"/>
        </w:rPr>
      </w:pPr>
    </w:p>
    <w:sectPr w:rsidR="004118D3" w:rsidRPr="003E0F9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5D75" w:rsidRDefault="00A25D75">
      <w:pPr>
        <w:spacing w:after="0"/>
      </w:pPr>
      <w:r>
        <w:separator/>
      </w:r>
    </w:p>
  </w:endnote>
  <w:endnote w:type="continuationSeparator" w:id="0">
    <w:p w:rsidR="00A25D75" w:rsidRDefault="00A25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04A0B" w:rsidRDefault="00604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4A0B" w:rsidRDefault="00604A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B0A88">
      <w:rPr>
        <w:rStyle w:val="PageNumber"/>
      </w:rPr>
      <w:t>2</w:t>
    </w:r>
    <w:r>
      <w:rPr>
        <w:rStyle w:val="PageNumber"/>
      </w:rPr>
      <w:fldChar w:fldCharType="end"/>
    </w:r>
  </w:p>
  <w:p w:rsidR="00604A0B" w:rsidRDefault="00604A0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5D75" w:rsidRDefault="00A25D75">
      <w:pPr>
        <w:spacing w:after="0"/>
      </w:pPr>
      <w:r>
        <w:separator/>
      </w:r>
    </w:p>
  </w:footnote>
  <w:footnote w:type="continuationSeparator" w:id="0">
    <w:p w:rsidR="00A25D75" w:rsidRDefault="00A25D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10CF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244A0"/>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C4A24"/>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983462"/>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5532870"/>
    <w:multiLevelType w:val="hybridMultilevel"/>
    <w:tmpl w:val="86247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B65DD5"/>
    <w:multiLevelType w:val="hybridMultilevel"/>
    <w:tmpl w:val="EF3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603F0D2F"/>
    <w:multiLevelType w:val="hybridMultilevel"/>
    <w:tmpl w:val="C9681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DD538C"/>
    <w:multiLevelType w:val="hybridMultilevel"/>
    <w:tmpl w:val="2CD2E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C7595"/>
    <w:multiLevelType w:val="hybridMultilevel"/>
    <w:tmpl w:val="6D561C5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5"/>
  </w:num>
  <w:num w:numId="2">
    <w:abstractNumId w:val="17"/>
  </w:num>
  <w:num w:numId="3">
    <w:abstractNumId w:val="10"/>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11"/>
  </w:num>
  <w:num w:numId="7">
    <w:abstractNumId w:val="3"/>
  </w:num>
  <w:num w:numId="8">
    <w:abstractNumId w:val="4"/>
  </w:num>
  <w:num w:numId="9">
    <w:abstractNumId w:val="14"/>
  </w:num>
  <w:num w:numId="10">
    <w:abstractNumId w:val="2"/>
  </w:num>
  <w:num w:numId="11">
    <w:abstractNumId w:val="0"/>
  </w:num>
  <w:num w:numId="12">
    <w:abstractNumId w:val="8"/>
  </w:num>
  <w:num w:numId="13">
    <w:abstractNumId w:val="9"/>
  </w:num>
  <w:num w:numId="14">
    <w:abstractNumId w:val="12"/>
  </w:num>
  <w:num w:numId="15">
    <w:abstractNumId w:val="13"/>
  </w:num>
  <w:num w:numId="16">
    <w:abstractNumId w:val="10"/>
  </w:num>
  <w:num w:numId="17">
    <w:abstractNumId w:val="15"/>
  </w:num>
  <w:num w:numId="18">
    <w:abstractNumId w:val="7"/>
  </w:num>
  <w:num w:numId="19">
    <w:abstractNumId w:val="1"/>
  </w:num>
  <w:num w:numId="20">
    <w:abstractNumId w:val="16"/>
  </w:num>
  <w:num w:numId="21">
    <w:abstractNumId w:val="10"/>
  </w:num>
  <w:num w:numId="22">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EC2"/>
    <w:rsid w:val="000131D4"/>
    <w:rsid w:val="000141FA"/>
    <w:rsid w:val="00025036"/>
    <w:rsid w:val="000344E2"/>
    <w:rsid w:val="00035B7C"/>
    <w:rsid w:val="00035D42"/>
    <w:rsid w:val="00035D9A"/>
    <w:rsid w:val="00040779"/>
    <w:rsid w:val="0004356B"/>
    <w:rsid w:val="0004558E"/>
    <w:rsid w:val="00046547"/>
    <w:rsid w:val="00055B5D"/>
    <w:rsid w:val="00063B55"/>
    <w:rsid w:val="00063E08"/>
    <w:rsid w:val="000676A1"/>
    <w:rsid w:val="00067A48"/>
    <w:rsid w:val="00067B89"/>
    <w:rsid w:val="000731A5"/>
    <w:rsid w:val="00076C0A"/>
    <w:rsid w:val="00086874"/>
    <w:rsid w:val="00087858"/>
    <w:rsid w:val="000903D2"/>
    <w:rsid w:val="00092907"/>
    <w:rsid w:val="00096503"/>
    <w:rsid w:val="00097E39"/>
    <w:rsid w:val="000A1106"/>
    <w:rsid w:val="000A12FD"/>
    <w:rsid w:val="000A1878"/>
    <w:rsid w:val="000A2ED7"/>
    <w:rsid w:val="000A4BCB"/>
    <w:rsid w:val="000A5097"/>
    <w:rsid w:val="000A7A19"/>
    <w:rsid w:val="000B15EC"/>
    <w:rsid w:val="000B5083"/>
    <w:rsid w:val="000B707B"/>
    <w:rsid w:val="000C2147"/>
    <w:rsid w:val="000C3708"/>
    <w:rsid w:val="000C77B2"/>
    <w:rsid w:val="000D2930"/>
    <w:rsid w:val="000D59F6"/>
    <w:rsid w:val="000D6B9B"/>
    <w:rsid w:val="000E0A8A"/>
    <w:rsid w:val="000E2C03"/>
    <w:rsid w:val="000F04C6"/>
    <w:rsid w:val="000F39EE"/>
    <w:rsid w:val="000F4F43"/>
    <w:rsid w:val="000F7DE7"/>
    <w:rsid w:val="0010016B"/>
    <w:rsid w:val="00100360"/>
    <w:rsid w:val="0010262D"/>
    <w:rsid w:val="00104362"/>
    <w:rsid w:val="00107AF6"/>
    <w:rsid w:val="00110BAD"/>
    <w:rsid w:val="0011207E"/>
    <w:rsid w:val="001125B8"/>
    <w:rsid w:val="001137CA"/>
    <w:rsid w:val="00122C1F"/>
    <w:rsid w:val="001230FF"/>
    <w:rsid w:val="001241FC"/>
    <w:rsid w:val="00124231"/>
    <w:rsid w:val="00127EDD"/>
    <w:rsid w:val="001328F2"/>
    <w:rsid w:val="00132B63"/>
    <w:rsid w:val="00133BA3"/>
    <w:rsid w:val="001343DA"/>
    <w:rsid w:val="001365E9"/>
    <w:rsid w:val="001406A8"/>
    <w:rsid w:val="0014128A"/>
    <w:rsid w:val="00141870"/>
    <w:rsid w:val="001435CB"/>
    <w:rsid w:val="00151949"/>
    <w:rsid w:val="00152334"/>
    <w:rsid w:val="001531EC"/>
    <w:rsid w:val="001537D7"/>
    <w:rsid w:val="00153CFF"/>
    <w:rsid w:val="001616BF"/>
    <w:rsid w:val="00161981"/>
    <w:rsid w:val="00163724"/>
    <w:rsid w:val="00165992"/>
    <w:rsid w:val="001734E7"/>
    <w:rsid w:val="00175B04"/>
    <w:rsid w:val="0017747E"/>
    <w:rsid w:val="0018314E"/>
    <w:rsid w:val="00184719"/>
    <w:rsid w:val="0019343D"/>
    <w:rsid w:val="00197964"/>
    <w:rsid w:val="001A0A8D"/>
    <w:rsid w:val="001A1E7C"/>
    <w:rsid w:val="001C2A8C"/>
    <w:rsid w:val="001C4240"/>
    <w:rsid w:val="001C5D98"/>
    <w:rsid w:val="001D154C"/>
    <w:rsid w:val="001D3006"/>
    <w:rsid w:val="001E17E6"/>
    <w:rsid w:val="001E24D0"/>
    <w:rsid w:val="001E7174"/>
    <w:rsid w:val="001F10A3"/>
    <w:rsid w:val="001F299A"/>
    <w:rsid w:val="0020000C"/>
    <w:rsid w:val="002000BB"/>
    <w:rsid w:val="0020033A"/>
    <w:rsid w:val="00207FF4"/>
    <w:rsid w:val="00216AAB"/>
    <w:rsid w:val="00217770"/>
    <w:rsid w:val="002204E2"/>
    <w:rsid w:val="002221AC"/>
    <w:rsid w:val="00222A85"/>
    <w:rsid w:val="00222AF7"/>
    <w:rsid w:val="00222EFC"/>
    <w:rsid w:val="00224857"/>
    <w:rsid w:val="00232120"/>
    <w:rsid w:val="002328DD"/>
    <w:rsid w:val="00234AA1"/>
    <w:rsid w:val="00243552"/>
    <w:rsid w:val="00243BFC"/>
    <w:rsid w:val="002454B4"/>
    <w:rsid w:val="00245810"/>
    <w:rsid w:val="00245E91"/>
    <w:rsid w:val="00254F38"/>
    <w:rsid w:val="00267D3F"/>
    <w:rsid w:val="00272F1F"/>
    <w:rsid w:val="0027365E"/>
    <w:rsid w:val="002736F0"/>
    <w:rsid w:val="00282D3C"/>
    <w:rsid w:val="00294B79"/>
    <w:rsid w:val="00297090"/>
    <w:rsid w:val="002978A7"/>
    <w:rsid w:val="002A0BB1"/>
    <w:rsid w:val="002A235C"/>
    <w:rsid w:val="002A2EF8"/>
    <w:rsid w:val="002A45BF"/>
    <w:rsid w:val="002A5E54"/>
    <w:rsid w:val="002A677B"/>
    <w:rsid w:val="002A6A68"/>
    <w:rsid w:val="002B45C3"/>
    <w:rsid w:val="002B6FD5"/>
    <w:rsid w:val="002D2FA8"/>
    <w:rsid w:val="002E109C"/>
    <w:rsid w:val="002E3A74"/>
    <w:rsid w:val="002E668C"/>
    <w:rsid w:val="002F00F2"/>
    <w:rsid w:val="002F579F"/>
    <w:rsid w:val="002F7A50"/>
    <w:rsid w:val="003069D8"/>
    <w:rsid w:val="00311CF9"/>
    <w:rsid w:val="003158EC"/>
    <w:rsid w:val="00321181"/>
    <w:rsid w:val="00323702"/>
    <w:rsid w:val="003356E3"/>
    <w:rsid w:val="00336939"/>
    <w:rsid w:val="003422A4"/>
    <w:rsid w:val="00350BBF"/>
    <w:rsid w:val="00352697"/>
    <w:rsid w:val="003567C2"/>
    <w:rsid w:val="00356FB6"/>
    <w:rsid w:val="00361046"/>
    <w:rsid w:val="003622B2"/>
    <w:rsid w:val="00362F43"/>
    <w:rsid w:val="003664ED"/>
    <w:rsid w:val="00376522"/>
    <w:rsid w:val="00377D59"/>
    <w:rsid w:val="003844DE"/>
    <w:rsid w:val="0038462A"/>
    <w:rsid w:val="0038557C"/>
    <w:rsid w:val="003866C4"/>
    <w:rsid w:val="00386A1C"/>
    <w:rsid w:val="0039404F"/>
    <w:rsid w:val="00394D57"/>
    <w:rsid w:val="003A5CBC"/>
    <w:rsid w:val="003A5E2B"/>
    <w:rsid w:val="003B169F"/>
    <w:rsid w:val="003B3884"/>
    <w:rsid w:val="003C092B"/>
    <w:rsid w:val="003C0B24"/>
    <w:rsid w:val="003C6DC4"/>
    <w:rsid w:val="003D6F09"/>
    <w:rsid w:val="003D77C1"/>
    <w:rsid w:val="003E097F"/>
    <w:rsid w:val="003E0F93"/>
    <w:rsid w:val="003E6285"/>
    <w:rsid w:val="003E7C96"/>
    <w:rsid w:val="003F0F9F"/>
    <w:rsid w:val="003F4698"/>
    <w:rsid w:val="003F762D"/>
    <w:rsid w:val="00401473"/>
    <w:rsid w:val="00407924"/>
    <w:rsid w:val="004118D3"/>
    <w:rsid w:val="00415933"/>
    <w:rsid w:val="00423683"/>
    <w:rsid w:val="00423FB0"/>
    <w:rsid w:val="004273E7"/>
    <w:rsid w:val="00430B22"/>
    <w:rsid w:val="00430F24"/>
    <w:rsid w:val="00433560"/>
    <w:rsid w:val="00435D65"/>
    <w:rsid w:val="00435EBD"/>
    <w:rsid w:val="00451B80"/>
    <w:rsid w:val="00455FD0"/>
    <w:rsid w:val="004569BB"/>
    <w:rsid w:val="00465349"/>
    <w:rsid w:val="00466D02"/>
    <w:rsid w:val="00477263"/>
    <w:rsid w:val="00485549"/>
    <w:rsid w:val="0049501A"/>
    <w:rsid w:val="004A0F19"/>
    <w:rsid w:val="004A29B2"/>
    <w:rsid w:val="004A678E"/>
    <w:rsid w:val="004A7CF2"/>
    <w:rsid w:val="004A7F44"/>
    <w:rsid w:val="004B1ECE"/>
    <w:rsid w:val="004B4633"/>
    <w:rsid w:val="004C11F4"/>
    <w:rsid w:val="004C4868"/>
    <w:rsid w:val="004D1895"/>
    <w:rsid w:val="004D3C97"/>
    <w:rsid w:val="004D5EAE"/>
    <w:rsid w:val="004E3732"/>
    <w:rsid w:val="004E5D51"/>
    <w:rsid w:val="004F0167"/>
    <w:rsid w:val="004F344B"/>
    <w:rsid w:val="00501A1D"/>
    <w:rsid w:val="005025E0"/>
    <w:rsid w:val="00502991"/>
    <w:rsid w:val="00505B5F"/>
    <w:rsid w:val="00506CFB"/>
    <w:rsid w:val="00513ECE"/>
    <w:rsid w:val="00514A5F"/>
    <w:rsid w:val="0052002B"/>
    <w:rsid w:val="005235DB"/>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30CC"/>
    <w:rsid w:val="005755A4"/>
    <w:rsid w:val="005763DF"/>
    <w:rsid w:val="00582652"/>
    <w:rsid w:val="005906DB"/>
    <w:rsid w:val="005943F8"/>
    <w:rsid w:val="00596DC0"/>
    <w:rsid w:val="005A2A55"/>
    <w:rsid w:val="005A2C70"/>
    <w:rsid w:val="005A456B"/>
    <w:rsid w:val="005B0D68"/>
    <w:rsid w:val="005B6053"/>
    <w:rsid w:val="005C337F"/>
    <w:rsid w:val="005D15A2"/>
    <w:rsid w:val="005D231A"/>
    <w:rsid w:val="005D3DC0"/>
    <w:rsid w:val="005D6BEF"/>
    <w:rsid w:val="005E29AA"/>
    <w:rsid w:val="005E4CCD"/>
    <w:rsid w:val="005F5231"/>
    <w:rsid w:val="005F74CF"/>
    <w:rsid w:val="006014ED"/>
    <w:rsid w:val="00604490"/>
    <w:rsid w:val="00604A0B"/>
    <w:rsid w:val="0060650F"/>
    <w:rsid w:val="00607CE8"/>
    <w:rsid w:val="00615073"/>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1F59"/>
    <w:rsid w:val="00682C64"/>
    <w:rsid w:val="006901CA"/>
    <w:rsid w:val="006A68E5"/>
    <w:rsid w:val="006A7936"/>
    <w:rsid w:val="006A7B70"/>
    <w:rsid w:val="006B0875"/>
    <w:rsid w:val="006B21AC"/>
    <w:rsid w:val="006B2B9B"/>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4CE4"/>
    <w:rsid w:val="007166C4"/>
    <w:rsid w:val="007200C7"/>
    <w:rsid w:val="00723883"/>
    <w:rsid w:val="00732D90"/>
    <w:rsid w:val="007334B6"/>
    <w:rsid w:val="00734B34"/>
    <w:rsid w:val="00736D84"/>
    <w:rsid w:val="00737D76"/>
    <w:rsid w:val="007412AE"/>
    <w:rsid w:val="0074269F"/>
    <w:rsid w:val="00747E92"/>
    <w:rsid w:val="00751E52"/>
    <w:rsid w:val="00763EF7"/>
    <w:rsid w:val="00766048"/>
    <w:rsid w:val="007711B8"/>
    <w:rsid w:val="0077159B"/>
    <w:rsid w:val="00771E1C"/>
    <w:rsid w:val="0077456D"/>
    <w:rsid w:val="007825B4"/>
    <w:rsid w:val="00782C5D"/>
    <w:rsid w:val="00784099"/>
    <w:rsid w:val="0078544A"/>
    <w:rsid w:val="00786C50"/>
    <w:rsid w:val="007902A8"/>
    <w:rsid w:val="00793CB2"/>
    <w:rsid w:val="007A103E"/>
    <w:rsid w:val="007A336E"/>
    <w:rsid w:val="007A37DA"/>
    <w:rsid w:val="007A4473"/>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14B83"/>
    <w:rsid w:val="008175BA"/>
    <w:rsid w:val="0082050A"/>
    <w:rsid w:val="00821B76"/>
    <w:rsid w:val="00826A80"/>
    <w:rsid w:val="00826D4C"/>
    <w:rsid w:val="00835745"/>
    <w:rsid w:val="00836937"/>
    <w:rsid w:val="00836C28"/>
    <w:rsid w:val="008408E7"/>
    <w:rsid w:val="00840E09"/>
    <w:rsid w:val="00841386"/>
    <w:rsid w:val="008446CE"/>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1C99"/>
    <w:rsid w:val="008A2B76"/>
    <w:rsid w:val="008A4FA1"/>
    <w:rsid w:val="008A6285"/>
    <w:rsid w:val="008B2102"/>
    <w:rsid w:val="008B3970"/>
    <w:rsid w:val="008B4341"/>
    <w:rsid w:val="008B4540"/>
    <w:rsid w:val="008B4A2C"/>
    <w:rsid w:val="008B4C78"/>
    <w:rsid w:val="008B4F73"/>
    <w:rsid w:val="008B7660"/>
    <w:rsid w:val="008C31D2"/>
    <w:rsid w:val="008C398B"/>
    <w:rsid w:val="008C4172"/>
    <w:rsid w:val="008D2D3D"/>
    <w:rsid w:val="008D55C5"/>
    <w:rsid w:val="008E2591"/>
    <w:rsid w:val="008E446A"/>
    <w:rsid w:val="008E5C09"/>
    <w:rsid w:val="008E611B"/>
    <w:rsid w:val="008E79C6"/>
    <w:rsid w:val="008F37CA"/>
    <w:rsid w:val="008F4CD0"/>
    <w:rsid w:val="008F67CF"/>
    <w:rsid w:val="008F6FDB"/>
    <w:rsid w:val="00904C87"/>
    <w:rsid w:val="0090797C"/>
    <w:rsid w:val="009118FA"/>
    <w:rsid w:val="00914A03"/>
    <w:rsid w:val="00915DEA"/>
    <w:rsid w:val="00916660"/>
    <w:rsid w:val="0092386A"/>
    <w:rsid w:val="00923CC3"/>
    <w:rsid w:val="0092433F"/>
    <w:rsid w:val="00924CA8"/>
    <w:rsid w:val="00931830"/>
    <w:rsid w:val="009333B5"/>
    <w:rsid w:val="009450D8"/>
    <w:rsid w:val="009524AD"/>
    <w:rsid w:val="00957098"/>
    <w:rsid w:val="009660E3"/>
    <w:rsid w:val="009708D0"/>
    <w:rsid w:val="00972D26"/>
    <w:rsid w:val="00973C4C"/>
    <w:rsid w:val="009814D6"/>
    <w:rsid w:val="0099102E"/>
    <w:rsid w:val="009968CF"/>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509"/>
    <w:rsid w:val="009E6763"/>
    <w:rsid w:val="009E6DC8"/>
    <w:rsid w:val="009E7810"/>
    <w:rsid w:val="009F0CE6"/>
    <w:rsid w:val="009F583E"/>
    <w:rsid w:val="009F7F10"/>
    <w:rsid w:val="00A00597"/>
    <w:rsid w:val="00A0093B"/>
    <w:rsid w:val="00A12052"/>
    <w:rsid w:val="00A1304B"/>
    <w:rsid w:val="00A1597D"/>
    <w:rsid w:val="00A22790"/>
    <w:rsid w:val="00A25160"/>
    <w:rsid w:val="00A25D75"/>
    <w:rsid w:val="00A26AB0"/>
    <w:rsid w:val="00A26C29"/>
    <w:rsid w:val="00A33A5B"/>
    <w:rsid w:val="00A34913"/>
    <w:rsid w:val="00A35F07"/>
    <w:rsid w:val="00A36D03"/>
    <w:rsid w:val="00A42E3A"/>
    <w:rsid w:val="00A43D0D"/>
    <w:rsid w:val="00A558AB"/>
    <w:rsid w:val="00A63AF5"/>
    <w:rsid w:val="00A645AF"/>
    <w:rsid w:val="00A657C7"/>
    <w:rsid w:val="00A7739E"/>
    <w:rsid w:val="00A777D8"/>
    <w:rsid w:val="00A8310C"/>
    <w:rsid w:val="00A848D0"/>
    <w:rsid w:val="00A86270"/>
    <w:rsid w:val="00A87084"/>
    <w:rsid w:val="00A91F9C"/>
    <w:rsid w:val="00A93E0D"/>
    <w:rsid w:val="00AA17A8"/>
    <w:rsid w:val="00AA31F0"/>
    <w:rsid w:val="00AB1128"/>
    <w:rsid w:val="00AB319F"/>
    <w:rsid w:val="00AC2317"/>
    <w:rsid w:val="00AC2C97"/>
    <w:rsid w:val="00AC2CD4"/>
    <w:rsid w:val="00AC7A7B"/>
    <w:rsid w:val="00AC7EBA"/>
    <w:rsid w:val="00AD0679"/>
    <w:rsid w:val="00AD3837"/>
    <w:rsid w:val="00AD3C5D"/>
    <w:rsid w:val="00AD65F4"/>
    <w:rsid w:val="00AD69AA"/>
    <w:rsid w:val="00AE1670"/>
    <w:rsid w:val="00AE1773"/>
    <w:rsid w:val="00AE3383"/>
    <w:rsid w:val="00AE384C"/>
    <w:rsid w:val="00AE67DF"/>
    <w:rsid w:val="00AE6BE0"/>
    <w:rsid w:val="00AF02CB"/>
    <w:rsid w:val="00AF5966"/>
    <w:rsid w:val="00B02A13"/>
    <w:rsid w:val="00B04CB0"/>
    <w:rsid w:val="00B07979"/>
    <w:rsid w:val="00B10C6E"/>
    <w:rsid w:val="00B1402B"/>
    <w:rsid w:val="00B22016"/>
    <w:rsid w:val="00B23292"/>
    <w:rsid w:val="00B26D02"/>
    <w:rsid w:val="00B277D5"/>
    <w:rsid w:val="00B343A3"/>
    <w:rsid w:val="00B41E6D"/>
    <w:rsid w:val="00B450D5"/>
    <w:rsid w:val="00B46C73"/>
    <w:rsid w:val="00B51F58"/>
    <w:rsid w:val="00B54E66"/>
    <w:rsid w:val="00B55463"/>
    <w:rsid w:val="00B56E67"/>
    <w:rsid w:val="00B57381"/>
    <w:rsid w:val="00B60998"/>
    <w:rsid w:val="00B61CA6"/>
    <w:rsid w:val="00B6730C"/>
    <w:rsid w:val="00B71C35"/>
    <w:rsid w:val="00B72BEC"/>
    <w:rsid w:val="00B735F6"/>
    <w:rsid w:val="00B73A82"/>
    <w:rsid w:val="00B76F4D"/>
    <w:rsid w:val="00B77412"/>
    <w:rsid w:val="00B77752"/>
    <w:rsid w:val="00B83BC0"/>
    <w:rsid w:val="00B87A6F"/>
    <w:rsid w:val="00B91712"/>
    <w:rsid w:val="00B92509"/>
    <w:rsid w:val="00BA0FB3"/>
    <w:rsid w:val="00BA367C"/>
    <w:rsid w:val="00BA4C0A"/>
    <w:rsid w:val="00BB2A32"/>
    <w:rsid w:val="00BB6484"/>
    <w:rsid w:val="00BC24F8"/>
    <w:rsid w:val="00BC3920"/>
    <w:rsid w:val="00BC47AB"/>
    <w:rsid w:val="00BD0D7C"/>
    <w:rsid w:val="00BD2AB1"/>
    <w:rsid w:val="00BD3A7F"/>
    <w:rsid w:val="00BE09C1"/>
    <w:rsid w:val="00BE194F"/>
    <w:rsid w:val="00BE1FD4"/>
    <w:rsid w:val="00BE512F"/>
    <w:rsid w:val="00BE677A"/>
    <w:rsid w:val="00BE6A2E"/>
    <w:rsid w:val="00BF00A7"/>
    <w:rsid w:val="00BF0C46"/>
    <w:rsid w:val="00BF136F"/>
    <w:rsid w:val="00BF33D9"/>
    <w:rsid w:val="00BF53FD"/>
    <w:rsid w:val="00C00BE2"/>
    <w:rsid w:val="00C075BD"/>
    <w:rsid w:val="00C11B10"/>
    <w:rsid w:val="00C12EA5"/>
    <w:rsid w:val="00C15E40"/>
    <w:rsid w:val="00C161BE"/>
    <w:rsid w:val="00C308C1"/>
    <w:rsid w:val="00C338CA"/>
    <w:rsid w:val="00C35CB3"/>
    <w:rsid w:val="00C50A0A"/>
    <w:rsid w:val="00C51B61"/>
    <w:rsid w:val="00C572D7"/>
    <w:rsid w:val="00C60016"/>
    <w:rsid w:val="00C6099D"/>
    <w:rsid w:val="00C638D8"/>
    <w:rsid w:val="00C63D6B"/>
    <w:rsid w:val="00C64128"/>
    <w:rsid w:val="00C710B7"/>
    <w:rsid w:val="00C71798"/>
    <w:rsid w:val="00C73515"/>
    <w:rsid w:val="00C74442"/>
    <w:rsid w:val="00C754BC"/>
    <w:rsid w:val="00C76E52"/>
    <w:rsid w:val="00C83525"/>
    <w:rsid w:val="00C943F5"/>
    <w:rsid w:val="00C95356"/>
    <w:rsid w:val="00CA1729"/>
    <w:rsid w:val="00CA1984"/>
    <w:rsid w:val="00CA1DAE"/>
    <w:rsid w:val="00CA234E"/>
    <w:rsid w:val="00CA7429"/>
    <w:rsid w:val="00CB3A23"/>
    <w:rsid w:val="00CB6216"/>
    <w:rsid w:val="00CC09A6"/>
    <w:rsid w:val="00CC150E"/>
    <w:rsid w:val="00CC3973"/>
    <w:rsid w:val="00CC4578"/>
    <w:rsid w:val="00CC5C60"/>
    <w:rsid w:val="00CD0284"/>
    <w:rsid w:val="00CD0A91"/>
    <w:rsid w:val="00CD160F"/>
    <w:rsid w:val="00CD1A9E"/>
    <w:rsid w:val="00CD4A65"/>
    <w:rsid w:val="00CD58CB"/>
    <w:rsid w:val="00CE0DA0"/>
    <w:rsid w:val="00CE477D"/>
    <w:rsid w:val="00CE4C08"/>
    <w:rsid w:val="00CF030B"/>
    <w:rsid w:val="00CF1B90"/>
    <w:rsid w:val="00CF1DFC"/>
    <w:rsid w:val="00CF2856"/>
    <w:rsid w:val="00CF5CE7"/>
    <w:rsid w:val="00CF5EF5"/>
    <w:rsid w:val="00CF7481"/>
    <w:rsid w:val="00CF7B16"/>
    <w:rsid w:val="00CF7EE3"/>
    <w:rsid w:val="00D0400B"/>
    <w:rsid w:val="00D0739E"/>
    <w:rsid w:val="00D13FC8"/>
    <w:rsid w:val="00D14E7C"/>
    <w:rsid w:val="00D26163"/>
    <w:rsid w:val="00D3442D"/>
    <w:rsid w:val="00D34F1B"/>
    <w:rsid w:val="00D35ED3"/>
    <w:rsid w:val="00D36C60"/>
    <w:rsid w:val="00D41D2D"/>
    <w:rsid w:val="00D4205C"/>
    <w:rsid w:val="00D463A3"/>
    <w:rsid w:val="00D51833"/>
    <w:rsid w:val="00D55894"/>
    <w:rsid w:val="00D57BE5"/>
    <w:rsid w:val="00D67ABE"/>
    <w:rsid w:val="00D73373"/>
    <w:rsid w:val="00D74CA3"/>
    <w:rsid w:val="00D76666"/>
    <w:rsid w:val="00D828E1"/>
    <w:rsid w:val="00D8441F"/>
    <w:rsid w:val="00D850B9"/>
    <w:rsid w:val="00D8753F"/>
    <w:rsid w:val="00D9498D"/>
    <w:rsid w:val="00D94E39"/>
    <w:rsid w:val="00D9789C"/>
    <w:rsid w:val="00DB0A88"/>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6EE6"/>
    <w:rsid w:val="00E577DD"/>
    <w:rsid w:val="00E60952"/>
    <w:rsid w:val="00E6587C"/>
    <w:rsid w:val="00E706B8"/>
    <w:rsid w:val="00E72064"/>
    <w:rsid w:val="00E76A71"/>
    <w:rsid w:val="00E82ED7"/>
    <w:rsid w:val="00E83483"/>
    <w:rsid w:val="00E85BF2"/>
    <w:rsid w:val="00E91110"/>
    <w:rsid w:val="00E9184C"/>
    <w:rsid w:val="00E94DD3"/>
    <w:rsid w:val="00E96047"/>
    <w:rsid w:val="00EA2254"/>
    <w:rsid w:val="00EA49BA"/>
    <w:rsid w:val="00EA4E79"/>
    <w:rsid w:val="00EA5149"/>
    <w:rsid w:val="00EB02DF"/>
    <w:rsid w:val="00EB2795"/>
    <w:rsid w:val="00EB7895"/>
    <w:rsid w:val="00EC2B9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6F3E"/>
    <w:rsid w:val="00F5790A"/>
    <w:rsid w:val="00F609CD"/>
    <w:rsid w:val="00F610B6"/>
    <w:rsid w:val="00F61DAD"/>
    <w:rsid w:val="00F66108"/>
    <w:rsid w:val="00F72D98"/>
    <w:rsid w:val="00F76B81"/>
    <w:rsid w:val="00F83F8A"/>
    <w:rsid w:val="00F87DA1"/>
    <w:rsid w:val="00F941E7"/>
    <w:rsid w:val="00FA4943"/>
    <w:rsid w:val="00FB4DC9"/>
    <w:rsid w:val="00FB6BD9"/>
    <w:rsid w:val="00FC0544"/>
    <w:rsid w:val="00FC0F9D"/>
    <w:rsid w:val="00FC3492"/>
    <w:rsid w:val="00FC35AD"/>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B61CA6"/>
    <w:pPr>
      <w:keepNext/>
      <w:keepLines/>
      <w:spacing w:before="260" w:after="26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B61CA6"/>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5603">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1701588">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2403015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00445602">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47840358">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4535907">
      <w:bodyDiv w:val="1"/>
      <w:marLeft w:val="0"/>
      <w:marRight w:val="0"/>
      <w:marTop w:val="0"/>
      <w:marBottom w:val="0"/>
      <w:divBdr>
        <w:top w:val="none" w:sz="0" w:space="0" w:color="auto"/>
        <w:left w:val="none" w:sz="0" w:space="0" w:color="auto"/>
        <w:bottom w:val="none" w:sz="0" w:space="0" w:color="auto"/>
        <w:right w:val="none" w:sz="0" w:space="0" w:color="auto"/>
      </w:divBdr>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56572394">
      <w:bodyDiv w:val="1"/>
      <w:marLeft w:val="0"/>
      <w:marRight w:val="0"/>
      <w:marTop w:val="0"/>
      <w:marBottom w:val="0"/>
      <w:divBdr>
        <w:top w:val="none" w:sz="0" w:space="0" w:color="auto"/>
        <w:left w:val="none" w:sz="0" w:space="0" w:color="auto"/>
        <w:bottom w:val="none" w:sz="0" w:space="0" w:color="auto"/>
        <w:right w:val="none" w:sz="0" w:space="0" w:color="auto"/>
      </w:divBdr>
    </w:div>
    <w:div w:id="656880824">
      <w:bodyDiv w:val="1"/>
      <w:marLeft w:val="0"/>
      <w:marRight w:val="0"/>
      <w:marTop w:val="0"/>
      <w:marBottom w:val="0"/>
      <w:divBdr>
        <w:top w:val="none" w:sz="0" w:space="0" w:color="auto"/>
        <w:left w:val="none" w:sz="0" w:space="0" w:color="auto"/>
        <w:bottom w:val="none" w:sz="0" w:space="0" w:color="auto"/>
        <w:right w:val="none" w:sz="0" w:space="0" w:color="auto"/>
      </w:divBdr>
    </w:div>
    <w:div w:id="666053143">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142934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24159498">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85408214">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19176040">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58E84-4AAD-4736-B7F2-FD3EAE4C5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16355</TotalTime>
  <Pages>3</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311</cp:revision>
  <dcterms:created xsi:type="dcterms:W3CDTF">2019-09-18T02:52:00Z</dcterms:created>
  <dcterms:modified xsi:type="dcterms:W3CDTF">2023-02-17T12:16:00Z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(3)VmF7X+wsEut4PRCZxnVatPFqemg/MNVmfeYBgxKVDfb5mPDykzOiQ7U1BXlP2M4FRttkjkP/
WaWnzOB8kR1eWAz+R4s64+aOwr8aFmv4gwIxtZ2n7H8kOvdMxHXamvraiS+Ja1YiqXmNkA4m
/EIwlodaH4WaKV3WSo6sgYJdqyWuYjCSsLaZmJG7Qx5dngbwznP98hJqzp5W1BvBnTkz9GHv
YwUmmkRQANAVn79UzJ</vt:lpwstr>
  </property>
  <property fmtid="{D5CDD505-2E9C-101B-9397-08002B2CF9AE}" pid="3" name="_2015_ms_pID_7253431">
    <vt:lpwstr>BxgKy8j2CKuYJU2ecn54uFcvC7YNm6N3LSrlS19CuJ0/cQRY9bFD00
uAuFBvP9TcyjDZc/pILXZ6Zo16Uqpi+ie+2lD7yj0Y3/CzstiUA0t/U1JVEC3DsUjH8iAqdp
8V4g5rw4zfhBrq8I/de4cmWNgJgExIorNnsrQZPME0CYRQsS1nbyL6J/teGmI8z0AaCuU8GV
5DxSwb4CQNQZ/bHZQuaWmlvoAr389MkzIow0</vt:lpwstr>
  </property>
  <property fmtid="{D5CDD505-2E9C-101B-9397-08002B2CF9AE}" pid="4" name="_2015_ms_pID_7253432">
    <vt:lpwstr>Fn0ZaA6dWB8TlnyTxzNeNoU=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