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FA6940D"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46254D">
        <w:rPr>
          <w:rFonts w:ascii="Arial" w:eastAsia="SimSun" w:hAnsi="Arial" w:cs="Times New Roman"/>
          <w:b/>
          <w:bCs/>
          <w:sz w:val="24"/>
          <w:szCs w:val="20"/>
          <w:lang w:eastAsia="ja-JP"/>
        </w:rPr>
        <w:t>R4-</w:t>
      </w:r>
      <w:r w:rsidR="00AE2BA5" w:rsidRPr="0046254D">
        <w:rPr>
          <w:rFonts w:ascii="Arial" w:eastAsia="SimSun" w:hAnsi="Arial" w:cs="Times New Roman"/>
          <w:b/>
          <w:bCs/>
          <w:sz w:val="24"/>
          <w:szCs w:val="20"/>
          <w:lang w:eastAsia="zh-CN"/>
        </w:rPr>
        <w:t>2</w:t>
      </w:r>
      <w:r w:rsidR="009C31AD" w:rsidRPr="0046254D">
        <w:rPr>
          <w:rFonts w:ascii="Arial" w:eastAsia="SimSun" w:hAnsi="Arial" w:cs="Times New Roman"/>
          <w:b/>
          <w:bCs/>
          <w:sz w:val="24"/>
          <w:szCs w:val="20"/>
          <w:lang w:eastAsia="zh-CN"/>
        </w:rPr>
        <w:t>3</w:t>
      </w:r>
      <w:r w:rsidR="003B2D19">
        <w:rPr>
          <w:rFonts w:ascii="Arial" w:eastAsia="SimSun" w:hAnsi="Arial" w:cs="Times New Roman"/>
          <w:b/>
          <w:bCs/>
          <w:sz w:val="24"/>
          <w:szCs w:val="20"/>
          <w:lang w:eastAsia="zh-CN"/>
        </w:rPr>
        <w:t>01418</w:t>
      </w:r>
    </w:p>
    <w:p w14:paraId="457FCC4F" w14:textId="6BACBC93"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5BD40B19" w:rsidR="00841BCD" w:rsidRPr="00EF698B" w:rsidRDefault="00841BCD" w:rsidP="15C9811E">
      <w:pPr>
        <w:ind w:left="1985" w:hanging="1985"/>
        <w:rPr>
          <w:rFonts w:ascii="Arial" w:eastAsia="Calibri" w:hAnsi="Arial" w:cs="Arial"/>
          <w:b/>
          <w:bCs/>
          <w:sz w:val="24"/>
          <w:szCs w:val="24"/>
        </w:rPr>
      </w:pPr>
      <w:r w:rsidRPr="15C9811E">
        <w:rPr>
          <w:rFonts w:ascii="Arial" w:eastAsia="Calibri" w:hAnsi="Arial" w:cs="Arial"/>
          <w:b/>
          <w:bCs/>
          <w:sz w:val="24"/>
          <w:szCs w:val="24"/>
        </w:rPr>
        <w:t>Title:</w:t>
      </w:r>
      <w:r>
        <w:tab/>
      </w:r>
      <w:r w:rsidR="00E9258E" w:rsidRPr="15C9811E">
        <w:rPr>
          <w:rFonts w:ascii="Arial" w:eastAsia="Calibri" w:hAnsi="Arial" w:cs="Arial"/>
          <w:b/>
          <w:bCs/>
          <w:sz w:val="24"/>
          <w:szCs w:val="24"/>
        </w:rPr>
        <w:t>RRM</w:t>
      </w:r>
      <w:r w:rsidR="002A3266" w:rsidRPr="15C9811E">
        <w:rPr>
          <w:rFonts w:ascii="Arial" w:eastAsia="Calibri" w:hAnsi="Arial" w:cs="Arial"/>
          <w:b/>
          <w:bCs/>
          <w:sz w:val="24"/>
          <w:szCs w:val="24"/>
        </w:rPr>
        <w:t xml:space="preserve"> and RF</w:t>
      </w:r>
      <w:r w:rsidR="00E9258E" w:rsidRPr="15C9811E">
        <w:rPr>
          <w:rFonts w:ascii="Arial" w:eastAsia="Calibri" w:hAnsi="Arial" w:cs="Arial"/>
          <w:b/>
          <w:bCs/>
          <w:sz w:val="24"/>
          <w:szCs w:val="24"/>
        </w:rPr>
        <w:t xml:space="preserve"> Requirements </w:t>
      </w:r>
      <w:r w:rsidR="65AA9297" w:rsidRPr="15C9811E">
        <w:rPr>
          <w:rFonts w:ascii="Arial" w:eastAsia="Calibri" w:hAnsi="Arial" w:cs="Arial"/>
          <w:b/>
          <w:bCs/>
          <w:sz w:val="24"/>
          <w:szCs w:val="24"/>
        </w:rPr>
        <w:t>for SL</w:t>
      </w:r>
      <w:r w:rsidR="008757D9" w:rsidRPr="15C9811E">
        <w:rPr>
          <w:rFonts w:ascii="Arial" w:eastAsia="Calibri" w:hAnsi="Arial" w:cs="Arial"/>
          <w:b/>
          <w:bCs/>
          <w:sz w:val="24"/>
          <w:szCs w:val="24"/>
        </w:rPr>
        <w:t xml:space="preserve"> LTE-NR</w:t>
      </w:r>
      <w:r w:rsidR="00E9258E" w:rsidRPr="15C9811E">
        <w:rPr>
          <w:rFonts w:ascii="Arial" w:eastAsia="Calibri" w:hAnsi="Arial" w:cs="Arial"/>
          <w:b/>
          <w:bCs/>
          <w:sz w:val="24"/>
          <w:szCs w:val="24"/>
        </w:rPr>
        <w:t xml:space="preserve"> co-channel coexistence</w:t>
      </w:r>
    </w:p>
    <w:p w14:paraId="641E8BEA" w14:textId="4A03B263"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A66853" w:rsidRPr="0046254D">
        <w:rPr>
          <w:rFonts w:ascii="Arial" w:eastAsia="MS Mincho" w:hAnsi="Arial" w:cs="Arial"/>
          <w:b/>
          <w:bCs/>
          <w:sz w:val="24"/>
          <w:szCs w:val="20"/>
        </w:rPr>
        <w:t>9.29.</w:t>
      </w:r>
      <w:r w:rsidR="00247D32" w:rsidRPr="0046254D">
        <w:rPr>
          <w:rFonts w:ascii="Arial" w:eastAsia="MS Mincho" w:hAnsi="Arial" w:cs="Arial"/>
          <w:b/>
          <w:bCs/>
          <w:sz w:val="24"/>
          <w:szCs w:val="20"/>
        </w:rPr>
        <w:t>1</w:t>
      </w:r>
    </w:p>
    <w:p w14:paraId="07144160" w14:textId="663EEC7C"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70337B4" w14:textId="77777777" w:rsidR="00E323E9" w:rsidRPr="00EF698B" w:rsidRDefault="00E323E9" w:rsidP="00841BCD">
      <w:pPr>
        <w:tabs>
          <w:tab w:val="left" w:pos="1985"/>
        </w:tabs>
        <w:rPr>
          <w:rFonts w:ascii="Arial" w:eastAsia="Calibri" w:hAnsi="Arial" w:cs="Arial"/>
          <w:b/>
          <w:bCs/>
          <w:sz w:val="24"/>
        </w:rPr>
      </w:pPr>
    </w:p>
    <w:p w14:paraId="0DC10E28" w14:textId="7F3D53DB" w:rsidR="00FE0C79" w:rsidRDefault="026F866D" w:rsidP="19BB4B8A">
      <w:pPr>
        <w:pStyle w:val="RAN4H1"/>
        <w:rPr>
          <w:lang w:val="en-US"/>
        </w:rPr>
      </w:pPr>
      <w:bookmarkStart w:id="3" w:name="_Toc116995841"/>
      <w:r w:rsidRPr="19BB4B8A">
        <w:rPr>
          <w:lang w:val="en-US"/>
        </w:rPr>
        <w:t>Intro</w:t>
      </w:r>
      <w:r w:rsidRPr="19BB4B8A">
        <w:rPr>
          <w:rStyle w:val="RAN4H1Char"/>
          <w:lang w:val="en-US"/>
        </w:rPr>
        <w:t>ductio</w:t>
      </w:r>
      <w:r w:rsidRPr="19BB4B8A">
        <w:rPr>
          <w:lang w:val="en-US"/>
        </w:rPr>
        <w:t>n</w:t>
      </w:r>
      <w:bookmarkEnd w:id="3"/>
    </w:p>
    <w:p w14:paraId="6897FBC0" w14:textId="69B54183" w:rsidR="00FC1BCA" w:rsidRDefault="6C855DD1" w:rsidP="19BB4B8A">
      <w:pPr>
        <w:pStyle w:val="paragraph"/>
        <w:spacing w:before="0" w:beforeAutospacing="0" w:after="0" w:afterAutospacing="0"/>
        <w:jc w:val="both"/>
        <w:textAlignment w:val="baseline"/>
        <w:rPr>
          <w:rStyle w:val="eop"/>
          <w:sz w:val="20"/>
          <w:szCs w:val="20"/>
        </w:rPr>
      </w:pPr>
      <w:r w:rsidRPr="19BB4B8A">
        <w:rPr>
          <w:rStyle w:val="normaltextrun"/>
          <w:sz w:val="20"/>
          <w:szCs w:val="20"/>
          <w:lang w:val="en-US"/>
        </w:rPr>
        <w:t>T</w:t>
      </w:r>
      <w:r w:rsidR="2B2F4A51" w:rsidRPr="19BB4B8A">
        <w:rPr>
          <w:rStyle w:val="normaltextrun"/>
          <w:sz w:val="20"/>
          <w:szCs w:val="20"/>
          <w:lang w:val="en-US"/>
        </w:rPr>
        <w:t>he WID on NR sidelink evolution</w:t>
      </w:r>
      <w:r w:rsidRPr="19BB4B8A">
        <w:rPr>
          <w:rStyle w:val="normaltextrun"/>
          <w:sz w:val="20"/>
          <w:szCs w:val="20"/>
          <w:lang w:val="en-US"/>
        </w:rPr>
        <w:t xml:space="preserve"> </w:t>
      </w:r>
      <w:r w:rsidR="2B2F4A51" w:rsidRPr="19BB4B8A">
        <w:rPr>
          <w:rStyle w:val="normaltextrun"/>
          <w:sz w:val="20"/>
          <w:szCs w:val="20"/>
          <w:lang w:val="en-GB"/>
        </w:rPr>
        <w:t>[1]</w:t>
      </w:r>
      <w:r w:rsidR="2B2F4A51" w:rsidRPr="19BB4B8A">
        <w:rPr>
          <w:rStyle w:val="normaltextrun"/>
          <w:sz w:val="20"/>
          <w:szCs w:val="20"/>
          <w:lang w:val="en-US"/>
        </w:rPr>
        <w:t xml:space="preserve"> includes the following objective for co-channel co-existence of NR sidelink and LTE sidelink operation in common spectrum:</w:t>
      </w:r>
      <w:r w:rsidR="2B2F4A51" w:rsidRPr="19BB4B8A">
        <w:rPr>
          <w:rStyle w:val="eop"/>
          <w:sz w:val="20"/>
          <w:szCs w:val="20"/>
        </w:rPr>
        <w:t> </w:t>
      </w:r>
    </w:p>
    <w:p w14:paraId="39F7DAA1" w14:textId="5120427C" w:rsidR="00FC1BCA" w:rsidDel="00ED3457" w:rsidRDefault="00FC1BCA" w:rsidP="19BB4B8A">
      <w:pPr>
        <w:pStyle w:val="paragraph"/>
        <w:spacing w:before="0" w:beforeAutospacing="0" w:after="0" w:afterAutospacing="0"/>
        <w:jc w:val="both"/>
        <w:textAlignment w:val="baseline"/>
        <w:rPr>
          <w:rFonts w:ascii="Segoe UI" w:hAnsi="Segoe UI" w:cs="Segoe UI"/>
          <w:sz w:val="18"/>
          <w:szCs w:val="18"/>
          <w:lang w:val="en-US" w:eastAsia="en-US"/>
        </w:rPr>
      </w:pPr>
    </w:p>
    <w:tbl>
      <w:tblPr>
        <w:tblStyle w:val="TableGrid"/>
        <w:tblW w:w="0" w:type="auto"/>
        <w:tblInd w:w="-5" w:type="dxa"/>
        <w:tblLook w:val="04A0" w:firstRow="1" w:lastRow="0" w:firstColumn="1" w:lastColumn="0" w:noHBand="0" w:noVBand="1"/>
      </w:tblPr>
      <w:tblGrid>
        <w:gridCol w:w="9615"/>
      </w:tblGrid>
      <w:tr w:rsidR="00500B94" w14:paraId="029D3B3C" w14:textId="77777777" w:rsidTr="19BB4B8A">
        <w:trPr>
          <w:trHeight w:val="1341"/>
        </w:trPr>
        <w:tc>
          <w:tcPr>
            <w:tcW w:w="9615" w:type="dxa"/>
          </w:tcPr>
          <w:p w14:paraId="64F626DD" w14:textId="77777777" w:rsidR="00500B94" w:rsidRDefault="678F31B1" w:rsidP="00500B94">
            <w:pPr>
              <w:numPr>
                <w:ilvl w:val="0"/>
                <w:numId w:val="32"/>
              </w:numPr>
              <w:tabs>
                <w:tab w:val="num" w:pos="-360"/>
              </w:tabs>
              <w:ind w:left="284" w:hanging="142"/>
              <w:textAlignment w:val="baseline"/>
              <w:rPr>
                <w:rFonts w:ascii="Times" w:hAnsi="Times" w:cs="Times"/>
                <w:sz w:val="22"/>
              </w:rPr>
            </w:pPr>
            <w:r w:rsidRPr="19BB4B8A">
              <w:rPr>
                <w:rStyle w:val="normaltextrun"/>
                <w:rFonts w:ascii="Times" w:hAnsi="Times" w:cs="Times"/>
                <w:lang w:val="en-GB"/>
              </w:rPr>
              <w:t xml:space="preserve">Study and specify, if necessary, mechanism(s) for co-channel coexistence for LTE sidelink and NR sidelink including performance, necessity, feasibility, and potential specification impact if any [RAN1, RAN2, </w:t>
            </w:r>
            <w:r w:rsidRPr="19BB4B8A">
              <w:rPr>
                <w:rStyle w:val="normaltextrun"/>
                <w:rFonts w:ascii="Times" w:hAnsi="Times" w:cs="Times"/>
                <w:highlight w:val="yellow"/>
                <w:lang w:val="en-GB"/>
              </w:rPr>
              <w:t>RAN4</w:t>
            </w:r>
            <w:r w:rsidRPr="19BB4B8A">
              <w:rPr>
                <w:rStyle w:val="normaltextrun"/>
                <w:rFonts w:ascii="Times" w:hAnsi="Times" w:cs="Times"/>
                <w:lang w:val="en-GB"/>
              </w:rPr>
              <w:t>]</w:t>
            </w:r>
            <w:r w:rsidRPr="19BB4B8A">
              <w:rPr>
                <w:rStyle w:val="eop"/>
                <w:rFonts w:ascii="Times" w:hAnsi="Times" w:cs="Times"/>
              </w:rPr>
              <w:t> </w:t>
            </w:r>
          </w:p>
          <w:p w14:paraId="523DE3B9" w14:textId="77777777" w:rsidR="00500B94" w:rsidRDefault="678F31B1" w:rsidP="00500B94">
            <w:pPr>
              <w:numPr>
                <w:ilvl w:val="0"/>
                <w:numId w:val="33"/>
              </w:numPr>
              <w:tabs>
                <w:tab w:val="clear" w:pos="502"/>
                <w:tab w:val="num" w:pos="-578"/>
              </w:tabs>
              <w:ind w:left="709" w:hanging="283"/>
              <w:textAlignment w:val="baseline"/>
              <w:rPr>
                <w:rFonts w:ascii="Times" w:hAnsi="Times" w:cs="Times"/>
                <w:sz w:val="22"/>
              </w:rPr>
            </w:pPr>
            <w:r w:rsidRPr="19BB4B8A">
              <w:rPr>
                <w:rStyle w:val="normaltextrun"/>
                <w:rFonts w:ascii="Times" w:hAnsi="Times" w:cs="Times"/>
                <w:lang w:val="en-GB"/>
              </w:rPr>
              <w:t>Reuse the in-device coexistence framework defined in Rel-16 as much as possible</w:t>
            </w:r>
            <w:r w:rsidRPr="19BB4B8A">
              <w:rPr>
                <w:rStyle w:val="eop"/>
                <w:rFonts w:ascii="Times" w:hAnsi="Times" w:cs="Times"/>
              </w:rPr>
              <w:t> </w:t>
            </w:r>
          </w:p>
          <w:p w14:paraId="556AF09B" w14:textId="79768DD4" w:rsidR="00500B94" w:rsidRPr="00500B94" w:rsidRDefault="678F31B1" w:rsidP="19BB4B8A">
            <w:pPr>
              <w:numPr>
                <w:ilvl w:val="0"/>
                <w:numId w:val="33"/>
              </w:numPr>
              <w:tabs>
                <w:tab w:val="clear" w:pos="502"/>
              </w:tabs>
              <w:ind w:left="709" w:hanging="283"/>
              <w:textAlignment w:val="baseline"/>
              <w:rPr>
                <w:rStyle w:val="eop"/>
                <w:rFonts w:ascii="Times" w:hAnsi="Times" w:cs="Times"/>
                <w:sz w:val="22"/>
              </w:rPr>
            </w:pPr>
            <w:r w:rsidRPr="19BB4B8A">
              <w:rPr>
                <w:rStyle w:val="normaltextrun"/>
                <w:rFonts w:ascii="Times" w:hAnsi="Times" w:cs="Times"/>
                <w:lang w:val="en-GB"/>
              </w:rPr>
              <w:t>Note, RAN1 continues the work on dynamic resource pool sharing based on existing agreements and WID with high priority for Type A devices and operating combination A</w:t>
            </w:r>
            <w:r w:rsidRPr="19BB4B8A">
              <w:rPr>
                <w:rStyle w:val="eop"/>
                <w:rFonts w:ascii="Times" w:hAnsi="Times" w:cs="Times"/>
              </w:rPr>
              <w:t> </w:t>
            </w:r>
          </w:p>
        </w:tc>
      </w:tr>
    </w:tbl>
    <w:p w14:paraId="443E9549" w14:textId="77777777" w:rsidR="00FC1BCA" w:rsidRDefault="00FC1BCA" w:rsidP="00A93410">
      <w:pPr>
        <w:pStyle w:val="paragraph"/>
        <w:spacing w:before="0" w:beforeAutospacing="0" w:after="0" w:afterAutospacing="0"/>
        <w:ind w:left="1440"/>
        <w:textAlignment w:val="baseline"/>
        <w:rPr>
          <w:rFonts w:ascii="Times" w:hAnsi="Times" w:cs="Times"/>
          <w:sz w:val="22"/>
          <w:szCs w:val="22"/>
        </w:rPr>
      </w:pPr>
    </w:p>
    <w:p w14:paraId="06A7ECC3" w14:textId="357020D8" w:rsidR="0060543D" w:rsidRDefault="2B2F4A51" w:rsidP="19BB4B8A">
      <w:pPr>
        <w:pStyle w:val="paragraph"/>
        <w:spacing w:before="0" w:beforeAutospacing="0" w:after="0" w:afterAutospacing="0"/>
        <w:jc w:val="both"/>
        <w:rPr>
          <w:sz w:val="22"/>
          <w:szCs w:val="22"/>
        </w:rPr>
      </w:pPr>
      <w:r w:rsidRPr="19BB4B8A">
        <w:rPr>
          <w:rStyle w:val="normaltextrun"/>
          <w:sz w:val="20"/>
          <w:szCs w:val="20"/>
          <w:lang w:val="en-GB"/>
        </w:rPr>
        <w:t xml:space="preserve">The </w:t>
      </w:r>
      <w:r w:rsidRPr="19BB4B8A">
        <w:rPr>
          <w:rStyle w:val="normaltextrun"/>
          <w:color w:val="D13438"/>
          <w:sz w:val="20"/>
          <w:szCs w:val="20"/>
          <w:u w:val="single"/>
          <w:lang w:val="en-GB"/>
        </w:rPr>
        <w:t>objective on sidelink co-channel coexistence was last revised in RAN#97. The last change was the addition of the</w:t>
      </w:r>
      <w:r w:rsidRPr="19BB4B8A">
        <w:rPr>
          <w:rStyle w:val="normaltextrun"/>
          <w:sz w:val="20"/>
          <w:szCs w:val="20"/>
          <w:lang w:val="en-GB"/>
        </w:rPr>
        <w:t xml:space="preserve"> note which clarifies that dynamic co-channel coexistence should be studied and that high priority should be put on Type A devices as well as operating combination A (i.e. Mode 2 NR and Mode 4 LTE). </w:t>
      </w:r>
      <w:r w:rsidR="7A23A0AA" w:rsidRPr="19BB4B8A">
        <w:rPr>
          <w:rStyle w:val="normaltextrun"/>
          <w:sz w:val="20"/>
          <w:szCs w:val="20"/>
          <w:lang w:val="en-GB"/>
        </w:rPr>
        <w:t xml:space="preserve">Semi-static </w:t>
      </w:r>
      <w:r w:rsidR="0D76527D" w:rsidRPr="19BB4B8A">
        <w:rPr>
          <w:rStyle w:val="normaltextrun"/>
          <w:sz w:val="20"/>
          <w:szCs w:val="20"/>
          <w:lang w:val="en-GB"/>
        </w:rPr>
        <w:t>resource allocation operation is not precluded yet, neither is o</w:t>
      </w:r>
      <w:r w:rsidR="7A23A0AA" w:rsidRPr="19BB4B8A">
        <w:rPr>
          <w:rStyle w:val="normaltextrun"/>
          <w:sz w:val="20"/>
          <w:szCs w:val="20"/>
          <w:lang w:val="en-GB"/>
        </w:rPr>
        <w:t>ther resource allocation mode</w:t>
      </w:r>
      <w:r w:rsidR="0D76527D" w:rsidRPr="19BB4B8A">
        <w:rPr>
          <w:rStyle w:val="normaltextrun"/>
          <w:sz w:val="20"/>
          <w:szCs w:val="20"/>
          <w:lang w:val="en-GB"/>
        </w:rPr>
        <w:t xml:space="preserve"> combinations </w:t>
      </w:r>
      <w:r w:rsidR="7A23A0AA" w:rsidRPr="19BB4B8A">
        <w:rPr>
          <w:rStyle w:val="normaltextrun"/>
          <w:sz w:val="20"/>
          <w:szCs w:val="20"/>
          <w:lang w:val="en-GB"/>
        </w:rPr>
        <w:t xml:space="preserve">as well as other device types, i.e. </w:t>
      </w:r>
      <w:r w:rsidR="4EB62F5F" w:rsidRPr="19BB4B8A">
        <w:rPr>
          <w:rStyle w:val="normaltextrun"/>
          <w:sz w:val="20"/>
          <w:szCs w:val="20"/>
          <w:lang w:val="en-GB"/>
        </w:rPr>
        <w:t>an NR SL Type B device which</w:t>
      </w:r>
      <w:r w:rsidR="0C73B3B3" w:rsidRPr="19BB4B8A">
        <w:rPr>
          <w:rStyle w:val="normaltextrun"/>
          <w:sz w:val="20"/>
          <w:szCs w:val="20"/>
          <w:lang w:val="en-GB"/>
        </w:rPr>
        <w:t xml:space="preserve"> </w:t>
      </w:r>
      <w:r w:rsidR="4EB62F5F" w:rsidRPr="19BB4B8A">
        <w:rPr>
          <w:rStyle w:val="normaltextrun"/>
          <w:sz w:val="20"/>
          <w:szCs w:val="20"/>
          <w:lang w:val="en-GB"/>
        </w:rPr>
        <w:t xml:space="preserve">contains only an NR module (or has no interface or shared hardware to an LTE SL module). </w:t>
      </w:r>
    </w:p>
    <w:p w14:paraId="7E128704" w14:textId="57830DBF" w:rsidR="00834226" w:rsidRPr="00EF698B" w:rsidRDefault="259C1C6A" w:rsidP="005C23A4">
      <w:r>
        <w:t>In this document, we discuss the potential future impact to RAN4 from the ongoing work in RAN1 on sidelink co-channel coexistence.</w:t>
      </w:r>
    </w:p>
    <w:p w14:paraId="5E6E091D" w14:textId="7740770D" w:rsidR="003B659E" w:rsidRPr="00EF698B" w:rsidRDefault="02546559" w:rsidP="00AE56B1">
      <w:pPr>
        <w:pStyle w:val="RAN4H1"/>
        <w:rPr>
          <w:lang w:val="en-US"/>
        </w:rPr>
      </w:pPr>
      <w:bookmarkStart w:id="4" w:name="_Toc116995842"/>
      <w:r w:rsidRPr="19BB4B8A">
        <w:rPr>
          <w:lang w:val="en-US"/>
        </w:rPr>
        <w:t>Discussion</w:t>
      </w:r>
      <w:bookmarkEnd w:id="4"/>
    </w:p>
    <w:p w14:paraId="33DF7EBA" w14:textId="4E8253BA" w:rsidR="001738E4" w:rsidRDefault="00ED3457" w:rsidP="00300956">
      <w:r w:rsidRPr="00003D87">
        <w:t>C</w:t>
      </w:r>
      <w:r w:rsidR="001738E4">
        <w:t xml:space="preserve">o-channel co-existence between two RATs can be achieved in a semi-static manner by enforcing TDM, FDM </w:t>
      </w:r>
      <w:r w:rsidR="003C157D">
        <w:t xml:space="preserve">resource sharing, or it can be done using a dynamic radio resource sharing mechanism. </w:t>
      </w:r>
      <w:r w:rsidR="000C0BEA">
        <w:t xml:space="preserve">Translated into NR-LTE sidelink co-channel coexistence that corresponds to NR and LTE being configured with a non-overlapping RP (in time) for TDM, or a non-overlapping RP (in frequency) </w:t>
      </w:r>
      <w:r w:rsidR="00645656">
        <w:t xml:space="preserve">for FDM or a fully or partially overlapping RP where a set of rules and observations of the other RATs behavior decides when the device can access the RP (for dynamic). RAN1 has concluded that </w:t>
      </w:r>
      <w:r w:rsidR="00A611DB">
        <w:t>TDM co-channel coexistence can be achieved with no specification changes needed</w:t>
      </w:r>
      <w:r w:rsidR="00AE282C">
        <w:t xml:space="preserve"> (</w:t>
      </w:r>
      <w:r w:rsidR="00A611DB">
        <w:t>hence no RAN4 impact expected there either</w:t>
      </w:r>
      <w:r w:rsidR="00AE282C">
        <w:t>). RAN1 are currently focused on dynamic co-channel coexistence where RAN4 impact is also expected.</w:t>
      </w:r>
    </w:p>
    <w:p w14:paraId="59D0069F" w14:textId="3C6A8BFF" w:rsidR="00A455B4" w:rsidRDefault="00EC659C" w:rsidP="00A455B4">
      <w:pPr>
        <w:spacing w:after="0"/>
        <w:jc w:val="both"/>
        <w:rPr>
          <w:rFonts w:cs="Arial"/>
          <w:color w:val="000000"/>
          <w:shd w:val="clear" w:color="auto" w:fill="FFFFFF"/>
        </w:rPr>
      </w:pPr>
      <w:r>
        <w:t xml:space="preserve">As no specification changes are allowed on the LTE </w:t>
      </w:r>
      <w:r w:rsidR="00567B02">
        <w:t xml:space="preserve">SL </w:t>
      </w:r>
      <w:r>
        <w:t xml:space="preserve">specifications to support </w:t>
      </w:r>
      <w:r w:rsidR="00567B02">
        <w:t>co-channel coexistence with NR SL</w:t>
      </w:r>
      <w:r w:rsidR="009642C3">
        <w:t xml:space="preserve">, </w:t>
      </w:r>
      <w:r w:rsidR="003E1B4E">
        <w:t xml:space="preserve">the focus is on the NR behavior </w:t>
      </w:r>
      <w:r w:rsidR="00DB7EFF">
        <w:t xml:space="preserve">to </w:t>
      </w:r>
      <w:r w:rsidR="00895376">
        <w:t xml:space="preserve">dynamically coexist with LTE SL. The ongoing challenges relevant to RAN4 are, how to support PSFCH </w:t>
      </w:r>
      <w:r w:rsidR="00F72411">
        <w:t>for NR SL and how to support NR SL with higher numerologies</w:t>
      </w:r>
      <w:r w:rsidR="00812672">
        <w:t xml:space="preserve"> and the challenge is </w:t>
      </w:r>
      <w:r w:rsidR="00D005FF">
        <w:t>how to do so without causing a severe AGC issue for the LTE SL Rx UE.</w:t>
      </w:r>
      <w:r w:rsidR="00D5481C">
        <w:t xml:space="preserve"> </w:t>
      </w:r>
      <w:r w:rsidR="00A455B4">
        <w:t xml:space="preserve">If we take the example of when </w:t>
      </w:r>
      <w:r w:rsidR="00A455B4">
        <w:rPr>
          <w:rFonts w:cs="Arial"/>
          <w:color w:val="000000"/>
          <w:shd w:val="clear" w:color="auto" w:fill="FFFFFF"/>
        </w:rPr>
        <w:t xml:space="preserve">NR SL </w:t>
      </w:r>
      <w:r w:rsidR="00A455B4">
        <w:rPr>
          <w:rFonts w:cs="Arial"/>
          <w:color w:val="000000" w:themeColor="text1"/>
        </w:rPr>
        <w:t>applies</w:t>
      </w:r>
      <w:r w:rsidR="00A455B4" w:rsidRPr="2810861E">
        <w:rPr>
          <w:rFonts w:cs="Arial"/>
          <w:color w:val="000000" w:themeColor="text1"/>
        </w:rPr>
        <w:t xml:space="preserve"> </w:t>
      </w:r>
      <w:r w:rsidR="00A455B4">
        <w:rPr>
          <w:rFonts w:cs="Arial"/>
          <w:color w:val="000000" w:themeColor="text1"/>
        </w:rPr>
        <w:t xml:space="preserve">e.g. </w:t>
      </w:r>
      <w:r w:rsidR="00A455B4" w:rsidRPr="2810861E">
        <w:rPr>
          <w:rFonts w:cs="Arial"/>
          <w:color w:val="000000" w:themeColor="text1"/>
        </w:rPr>
        <w:t>30</w:t>
      </w:r>
      <w:r w:rsidR="00A455B4">
        <w:rPr>
          <w:rFonts w:cs="Arial"/>
          <w:color w:val="000000"/>
          <w:shd w:val="clear" w:color="auto" w:fill="FFFFFF"/>
        </w:rPr>
        <w:t xml:space="preserve"> kHz SCS while LTE SL only supports 15 kHz SCS, there will be 2 NR SL slots corresponding to one LTE SL subframe. Even if the start of the NR SL slots and LTE SL subframe are aligned in time, the LTE SL Rx UE will face an AGC issue caused by NR SL in the following settings: </w:t>
      </w:r>
    </w:p>
    <w:p w14:paraId="1C9AE100" w14:textId="405EAE50" w:rsidR="00A455B4" w:rsidRPr="002A7520" w:rsidRDefault="00A455B4" w:rsidP="00A455B4">
      <w:pPr>
        <w:spacing w:after="0"/>
        <w:ind w:left="720" w:hanging="360"/>
        <w:jc w:val="both"/>
        <w:rPr>
          <w:rFonts w:cs="Arial"/>
          <w:color w:val="000000"/>
          <w:shd w:val="clear" w:color="auto" w:fill="FFFFFF"/>
        </w:rPr>
      </w:pPr>
      <w:r w:rsidRPr="00AB187A">
        <w:rPr>
          <w:rFonts w:ascii="Symbol" w:hAnsi="Symbol" w:cs="Arial"/>
          <w:color w:val="000000"/>
        </w:rPr>
        <w:t></w:t>
      </w:r>
      <w:r w:rsidRPr="00AB187A">
        <w:rPr>
          <w:rFonts w:ascii="Symbol" w:hAnsi="Symbol" w:cs="Arial"/>
          <w:color w:val="000000"/>
        </w:rPr>
        <w:tab/>
      </w:r>
      <w:r w:rsidRPr="002A7520">
        <w:rPr>
          <w:rFonts w:cs="Arial"/>
          <w:color w:val="000000"/>
          <w:shd w:val="clear" w:color="auto" w:fill="FFFFFF"/>
        </w:rPr>
        <w:t>The NR transmissions in the first and second slots are from different NR UEs (as depicted in</w:t>
      </w:r>
      <w:r w:rsidR="00D63E7C">
        <w:rPr>
          <w:rFonts w:cs="Arial"/>
          <w:color w:val="000000"/>
          <w:shd w:val="clear" w:color="auto" w:fill="FFFFFF"/>
        </w:rPr>
        <w:t xml:space="preserve"> </w:t>
      </w:r>
      <w:r w:rsidR="00D63E7C">
        <w:rPr>
          <w:rFonts w:cs="Arial"/>
          <w:color w:val="000000"/>
          <w:shd w:val="clear" w:color="auto" w:fill="FFFFFF"/>
        </w:rPr>
        <w:fldChar w:fldCharType="begin"/>
      </w:r>
      <w:r w:rsidR="00D63E7C">
        <w:rPr>
          <w:rFonts w:cs="Arial"/>
          <w:color w:val="000000"/>
          <w:shd w:val="clear" w:color="auto" w:fill="FFFFFF"/>
        </w:rPr>
        <w:instrText xml:space="preserve"> REF _Ref127196931 \h </w:instrText>
      </w:r>
      <w:r w:rsidR="00D63E7C">
        <w:rPr>
          <w:rFonts w:cs="Arial"/>
          <w:color w:val="000000"/>
          <w:shd w:val="clear" w:color="auto" w:fill="FFFFFF"/>
        </w:rPr>
      </w:r>
      <w:r w:rsidR="00D63E7C">
        <w:rPr>
          <w:rFonts w:cs="Arial"/>
          <w:color w:val="000000"/>
          <w:shd w:val="clear" w:color="auto" w:fill="FFFFFF"/>
        </w:rPr>
        <w:fldChar w:fldCharType="separate"/>
      </w:r>
      <w:r w:rsidR="00D63E7C">
        <w:t xml:space="preserve">Figure </w:t>
      </w:r>
      <w:r w:rsidR="00D63E7C">
        <w:rPr>
          <w:noProof/>
        </w:rPr>
        <w:t>1</w:t>
      </w:r>
      <w:r w:rsidR="00D63E7C">
        <w:rPr>
          <w:rFonts w:cs="Arial"/>
          <w:color w:val="000000"/>
          <w:shd w:val="clear" w:color="auto" w:fill="FFFFFF"/>
        </w:rPr>
        <w:fldChar w:fldCharType="end"/>
      </w:r>
      <w:r w:rsidRPr="002A7520">
        <w:rPr>
          <w:rFonts w:cs="Arial"/>
          <w:color w:val="000000"/>
          <w:shd w:val="clear" w:color="auto" w:fill="FFFFFF"/>
        </w:rPr>
        <w:t>.a</w:t>
      </w:r>
      <w:proofErr w:type="gramStart"/>
      <w:r w:rsidRPr="002A7520">
        <w:rPr>
          <w:rFonts w:cs="Arial"/>
          <w:color w:val="000000"/>
          <w:shd w:val="clear" w:color="auto" w:fill="FFFFFF"/>
        </w:rPr>
        <w:t>);</w:t>
      </w:r>
      <w:proofErr w:type="gramEnd"/>
      <w:r w:rsidRPr="002A7520">
        <w:rPr>
          <w:rFonts w:cs="Arial"/>
          <w:color w:val="000000"/>
          <w:shd w:val="clear" w:color="auto" w:fill="FFFFFF"/>
        </w:rPr>
        <w:t xml:space="preserve"> </w:t>
      </w:r>
    </w:p>
    <w:p w14:paraId="7CB66B4D" w14:textId="114442BC" w:rsidR="00A455B4" w:rsidRPr="002A7520" w:rsidRDefault="00A455B4" w:rsidP="00A455B4">
      <w:pPr>
        <w:spacing w:after="0"/>
        <w:ind w:left="720" w:hanging="360"/>
        <w:jc w:val="both"/>
        <w:rPr>
          <w:rFonts w:cs="Arial"/>
          <w:color w:val="000000"/>
          <w:shd w:val="clear" w:color="auto" w:fill="FFFFFF"/>
        </w:rPr>
      </w:pPr>
      <w:r>
        <w:rPr>
          <w:rFonts w:ascii="Symbol" w:hAnsi="Symbol" w:cs="Arial"/>
          <w:color w:val="000000"/>
        </w:rPr>
        <w:t></w:t>
      </w:r>
      <w:r>
        <w:rPr>
          <w:rFonts w:ascii="Symbol" w:hAnsi="Symbol" w:cs="Arial"/>
          <w:color w:val="000000"/>
        </w:rPr>
        <w:tab/>
      </w:r>
      <w:r w:rsidRPr="002A7520">
        <w:rPr>
          <w:rFonts w:cs="Arial"/>
          <w:color w:val="000000"/>
          <w:shd w:val="clear" w:color="auto" w:fill="FFFFFF"/>
        </w:rPr>
        <w:t xml:space="preserve">The NR transmission occurs only in the second slot (as depicted in </w:t>
      </w:r>
      <w:r w:rsidR="00D63E7C">
        <w:rPr>
          <w:rFonts w:cs="Arial"/>
          <w:color w:val="000000"/>
          <w:shd w:val="clear" w:color="auto" w:fill="FFFFFF"/>
        </w:rPr>
        <w:fldChar w:fldCharType="begin"/>
      </w:r>
      <w:r w:rsidR="00D63E7C">
        <w:rPr>
          <w:rFonts w:cs="Arial"/>
          <w:color w:val="000000"/>
          <w:shd w:val="clear" w:color="auto" w:fill="FFFFFF"/>
        </w:rPr>
        <w:instrText xml:space="preserve"> REF _Ref127196931 \h </w:instrText>
      </w:r>
      <w:r w:rsidR="00D63E7C">
        <w:rPr>
          <w:rFonts w:cs="Arial"/>
          <w:color w:val="000000"/>
          <w:shd w:val="clear" w:color="auto" w:fill="FFFFFF"/>
        </w:rPr>
      </w:r>
      <w:r w:rsidR="00D63E7C">
        <w:rPr>
          <w:rFonts w:cs="Arial"/>
          <w:color w:val="000000"/>
          <w:shd w:val="clear" w:color="auto" w:fill="FFFFFF"/>
        </w:rPr>
        <w:fldChar w:fldCharType="separate"/>
      </w:r>
      <w:r w:rsidR="00D63E7C">
        <w:t xml:space="preserve">Figure </w:t>
      </w:r>
      <w:r w:rsidR="00D63E7C">
        <w:rPr>
          <w:noProof/>
        </w:rPr>
        <w:t>1</w:t>
      </w:r>
      <w:r w:rsidR="00D63E7C">
        <w:rPr>
          <w:rFonts w:cs="Arial"/>
          <w:color w:val="000000"/>
          <w:shd w:val="clear" w:color="auto" w:fill="FFFFFF"/>
        </w:rPr>
        <w:fldChar w:fldCharType="end"/>
      </w:r>
      <w:r w:rsidRPr="002A7520">
        <w:rPr>
          <w:rFonts w:cs="Arial"/>
          <w:color w:val="000000"/>
          <w:shd w:val="clear" w:color="auto" w:fill="FFFFFF"/>
        </w:rPr>
        <w:t>.b</w:t>
      </w:r>
      <w:proofErr w:type="gramStart"/>
      <w:r w:rsidRPr="002A7520">
        <w:rPr>
          <w:rFonts w:cs="Arial"/>
          <w:color w:val="000000"/>
          <w:shd w:val="clear" w:color="auto" w:fill="FFFFFF"/>
        </w:rPr>
        <w:t>);</w:t>
      </w:r>
      <w:proofErr w:type="gramEnd"/>
    </w:p>
    <w:p w14:paraId="5B01B2D9" w14:textId="77777777" w:rsidR="00976C21" w:rsidRDefault="00A455B4" w:rsidP="00A455B4">
      <w:pPr>
        <w:spacing w:before="240" w:after="240"/>
        <w:jc w:val="both"/>
        <w:rPr>
          <w:rFonts w:cs="Arial"/>
          <w:color w:val="000000"/>
          <w:shd w:val="clear" w:color="auto" w:fill="FFFFFF"/>
        </w:rPr>
      </w:pPr>
      <w:r>
        <w:rPr>
          <w:rFonts w:cs="Arial"/>
          <w:color w:val="000000"/>
          <w:shd w:val="clear" w:color="auto" w:fill="FFFFFF"/>
        </w:rPr>
        <w:t xml:space="preserve">In both cases, the LTE SL Rx performs the </w:t>
      </w:r>
      <w:r w:rsidRPr="0016665D">
        <w:rPr>
          <w:rFonts w:cs="Arial"/>
          <w:color w:val="000000"/>
          <w:shd w:val="clear" w:color="auto" w:fill="FFFFFF"/>
        </w:rPr>
        <w:t xml:space="preserve">AGC </w:t>
      </w:r>
      <w:r>
        <w:rPr>
          <w:rFonts w:cs="Arial"/>
          <w:color w:val="000000"/>
          <w:shd w:val="clear" w:color="auto" w:fill="FFFFFF"/>
        </w:rPr>
        <w:t xml:space="preserve">adjustment in the </w:t>
      </w:r>
      <w:r w:rsidRPr="0016665D">
        <w:rPr>
          <w:rFonts w:cs="Arial"/>
          <w:color w:val="000000"/>
          <w:shd w:val="clear" w:color="auto" w:fill="FFFFFF"/>
        </w:rPr>
        <w:t xml:space="preserve">first symbol of </w:t>
      </w:r>
      <w:r>
        <w:rPr>
          <w:rFonts w:cs="Arial"/>
          <w:color w:val="000000"/>
          <w:shd w:val="clear" w:color="auto" w:fill="FFFFFF"/>
        </w:rPr>
        <w:t xml:space="preserve">an </w:t>
      </w:r>
      <w:r w:rsidRPr="0016665D">
        <w:rPr>
          <w:rFonts w:cs="Arial"/>
          <w:color w:val="000000"/>
          <w:shd w:val="clear" w:color="auto" w:fill="FFFFFF"/>
        </w:rPr>
        <w:t>LTE SL subframe</w:t>
      </w:r>
      <w:r>
        <w:rPr>
          <w:rFonts w:cs="Arial"/>
          <w:color w:val="000000"/>
          <w:shd w:val="clear" w:color="auto" w:fill="FFFFFF"/>
        </w:rPr>
        <w:t xml:space="preserve"> where a </w:t>
      </w:r>
      <w:r w:rsidRPr="0016665D">
        <w:rPr>
          <w:rFonts w:cs="Arial"/>
          <w:color w:val="000000"/>
          <w:shd w:val="clear" w:color="auto" w:fill="FFFFFF"/>
        </w:rPr>
        <w:t xml:space="preserve">NR SL transmission </w:t>
      </w:r>
      <w:r>
        <w:rPr>
          <w:rFonts w:cs="Arial"/>
          <w:color w:val="000000"/>
          <w:shd w:val="clear" w:color="auto" w:fill="FFFFFF"/>
        </w:rPr>
        <w:t xml:space="preserve">is from one NR UE or absent and the AGC’s gain is </w:t>
      </w:r>
      <w:r w:rsidRPr="008B4739">
        <w:rPr>
          <w:rFonts w:cs="Arial"/>
          <w:color w:val="000000"/>
          <w:shd w:val="clear" w:color="auto" w:fill="FFFFFF"/>
        </w:rPr>
        <w:t xml:space="preserve">adjusted to a lower received signal power. When the </w:t>
      </w:r>
      <w:r>
        <w:rPr>
          <w:rFonts w:cs="Arial"/>
          <w:color w:val="000000"/>
          <w:shd w:val="clear" w:color="auto" w:fill="FFFFFF"/>
        </w:rPr>
        <w:lastRenderedPageBreak/>
        <w:t xml:space="preserve">second </w:t>
      </w:r>
      <w:r w:rsidRPr="008B4739">
        <w:rPr>
          <w:rFonts w:cs="Arial"/>
          <w:color w:val="000000"/>
          <w:shd w:val="clear" w:color="auto" w:fill="FFFFFF"/>
        </w:rPr>
        <w:t>NR</w:t>
      </w:r>
      <w:r>
        <w:rPr>
          <w:rFonts w:cs="Arial"/>
          <w:color w:val="000000"/>
          <w:shd w:val="clear" w:color="auto" w:fill="FFFFFF"/>
        </w:rPr>
        <w:t xml:space="preserve"> UE</w:t>
      </w:r>
      <w:r w:rsidRPr="008B4739">
        <w:rPr>
          <w:rFonts w:cs="Arial"/>
          <w:color w:val="000000"/>
          <w:shd w:val="clear" w:color="auto" w:fill="FFFFFF"/>
        </w:rPr>
        <w:t xml:space="preserve"> performs its transmission in the second slot then its signal will be added to the ongoing LTE SL transmission – which increases the total received power at the LTE Rx – while the AGC’s gain determined in the first slot is still the one being applied. The consequence is that this can lead the ADC to become saturated and therefore impair the decoding of the LTE transmission at the LTE Rx.</w:t>
      </w:r>
      <w:r>
        <w:rPr>
          <w:rFonts w:cs="Arial"/>
          <w:color w:val="000000"/>
          <w:shd w:val="clear" w:color="auto" w:fill="FFFFFF"/>
        </w:rPr>
        <w:t xml:space="preserve"> It should be noted as well that the case where the NR SL Tx UE only transmits during the first NR slot, may also result in an LTE ADC gain that is slightly too low in the second slot, compared to if the LTE SL module could retune its ADC gain for the second part of the subframe. This type of AGC impact might cause an increased quantization noise, but it is not expected to be nearly as impactful as saturation which may happen in the case where the NR SL Tx UE starts transmitting later than the first symbol of the LTE subframe. </w:t>
      </w:r>
    </w:p>
    <w:p w14:paraId="44EA8665" w14:textId="0ECBF83D" w:rsidR="00AE282C" w:rsidRPr="00CD3DCE" w:rsidRDefault="00976C21" w:rsidP="00CD3DCE">
      <w:pPr>
        <w:spacing w:before="240" w:after="240"/>
        <w:jc w:val="both"/>
        <w:rPr>
          <w:rFonts w:cs="Arial"/>
          <w:color w:val="000000"/>
          <w:shd w:val="clear" w:color="auto" w:fill="FFFFFF"/>
        </w:rPr>
      </w:pPr>
      <w:r>
        <w:rPr>
          <w:rFonts w:cs="Arial"/>
          <w:color w:val="000000"/>
          <w:shd w:val="clear" w:color="auto" w:fill="FFFFFF"/>
        </w:rPr>
        <w:t>It should also be noted that t</w:t>
      </w:r>
      <w:r w:rsidR="00A455B4">
        <w:rPr>
          <w:rFonts w:cs="Arial"/>
          <w:color w:val="000000"/>
          <w:shd w:val="clear" w:color="auto" w:fill="FFFFFF"/>
        </w:rPr>
        <w:t>he AGC issue may also occur when an NR SL Tx UE0 transmits PSSCH/PSCCH in the first slot, and a NR SL Tx UE1 transmits PSFCH and/or PSSCH/PSCCH in the second slot.</w:t>
      </w:r>
    </w:p>
    <w:p w14:paraId="09FCC12B" w14:textId="77777777" w:rsidR="006E7A53" w:rsidRDefault="00D5481C" w:rsidP="00CD3DCE">
      <w:pPr>
        <w:keepNext/>
      </w:pPr>
      <w:r w:rsidRPr="00F8754B">
        <w:rPr>
          <w:noProof/>
        </w:rPr>
        <w:drawing>
          <wp:inline distT="0" distB="0" distL="0" distR="0" wp14:anchorId="3115C058" wp14:editId="2A80B3B5">
            <wp:extent cx="6008370" cy="25355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8370" cy="2535555"/>
                    </a:xfrm>
                    <a:prstGeom prst="rect">
                      <a:avLst/>
                    </a:prstGeom>
                    <a:noFill/>
                    <a:ln>
                      <a:noFill/>
                    </a:ln>
                  </pic:spPr>
                </pic:pic>
              </a:graphicData>
            </a:graphic>
          </wp:inline>
        </w:drawing>
      </w:r>
    </w:p>
    <w:p w14:paraId="377B7A04" w14:textId="60B254F5" w:rsidR="00072139" w:rsidRDefault="006E7A53" w:rsidP="00CD3DCE">
      <w:pPr>
        <w:pStyle w:val="Caption"/>
        <w:jc w:val="left"/>
      </w:pPr>
      <w:bookmarkStart w:id="5" w:name="_Ref127196931"/>
      <w:r>
        <w:t xml:space="preserve">Figure </w:t>
      </w:r>
      <w:r>
        <w:fldChar w:fldCharType="begin"/>
      </w:r>
      <w:r>
        <w:instrText>SEQ Figure \* ARABIC</w:instrText>
      </w:r>
      <w:r>
        <w:fldChar w:fldCharType="separate"/>
      </w:r>
      <w:r>
        <w:rPr>
          <w:noProof/>
        </w:rPr>
        <w:t>1</w:t>
      </w:r>
      <w:r>
        <w:fldChar w:fldCharType="end"/>
      </w:r>
      <w:bookmarkEnd w:id="5"/>
      <w:r>
        <w:t>.</w:t>
      </w:r>
      <w:r w:rsidR="00D63E7C" w:rsidRPr="00D63E7C">
        <w:t xml:space="preserve"> </w:t>
      </w:r>
      <w:r w:rsidR="00D63E7C" w:rsidRPr="00022DBF">
        <w:t>Impact of NR transmissions inducing on the setting of the LTE Rx’s AGC</w:t>
      </w:r>
      <w:r w:rsidR="00D63E7C">
        <w:t xml:space="preserve"> from NR using higher SCS than 15kHz</w:t>
      </w:r>
      <w:r w:rsidR="00D63E7C" w:rsidRPr="00022DBF">
        <w:t>: (a) NR transmissions from different NR Tx in both NR slots overlapping with the LTE subframe; (b) NR transmission from a NR Tx in the second slot overlapping with the LTE subframe</w:t>
      </w:r>
    </w:p>
    <w:p w14:paraId="73B6074D" w14:textId="4DA88567" w:rsidR="00073870" w:rsidRDefault="00957527" w:rsidP="008600C5">
      <w:pPr>
        <w:spacing w:before="120" w:after="120" w:line="256" w:lineRule="auto"/>
        <w:jc w:val="both"/>
      </w:pPr>
      <w:r>
        <w:t xml:space="preserve">The solutions are </w:t>
      </w:r>
      <w:r w:rsidR="003B0BD8">
        <w:t>still to be being discussed</w:t>
      </w:r>
      <w:r w:rsidR="008114A1">
        <w:t xml:space="preserve"> with no consensus yet. </w:t>
      </w:r>
      <w:r w:rsidR="006A1702">
        <w:t xml:space="preserve">The latest status on the discussion </w:t>
      </w:r>
      <w:r w:rsidR="007776EE">
        <w:t>is</w:t>
      </w:r>
      <w:r w:rsidR="006A1702">
        <w:t xml:space="preserve"> a set of non-agreed proposals from RAN1#111 from</w:t>
      </w:r>
      <w:r w:rsidR="00430711">
        <w:t xml:space="preserve"> the latest FL summary in </w:t>
      </w:r>
      <w:r w:rsidR="00430711" w:rsidRPr="00430711">
        <w:t>R1-2207670</w:t>
      </w:r>
      <w:r w:rsidR="00430711">
        <w:t xml:space="preserve">. </w:t>
      </w:r>
    </w:p>
    <w:p w14:paraId="24D41A70" w14:textId="699A4764" w:rsidR="005A595C" w:rsidRDefault="00073870" w:rsidP="008600C5">
      <w:pPr>
        <w:spacing w:before="120" w:after="120" w:line="256" w:lineRule="auto"/>
        <w:jc w:val="both"/>
      </w:pPr>
      <w:r>
        <w:t>Proposal 1-</w:t>
      </w:r>
      <w:r w:rsidR="009C4923">
        <w:t xml:space="preserve">5 (II) is the latest proposal on </w:t>
      </w:r>
      <w:r w:rsidR="00771D3F">
        <w:t>solutions for how NR may support higher numerologies while coexisting with LTE on the same channel</w:t>
      </w:r>
      <w:r w:rsidR="005A595C">
        <w:t xml:space="preserve"> with a dynamic co-channel coexistence framework. Here Option 1 refers to a solution where </w:t>
      </w:r>
      <w:r w:rsidR="00420FA4">
        <w:t>the UE may transmit in all slots that are overlapping an LTE subframe or of which may be referred to as a slot aggregation solution. Option 3 refers to a solution where the NR SL UE excludes some or all of the NR slots that overlaps an LTE subframe</w:t>
      </w:r>
      <w:r w:rsidR="00B87E0A">
        <w:t xml:space="preserve"> based on the detected presence of LTE.</w:t>
      </w:r>
      <w:r w:rsidR="00881096">
        <w:t xml:space="preserve"> In some variants it does not exclude the first slot</w:t>
      </w:r>
      <w:r w:rsidR="00EC2032">
        <w:t xml:space="preserve"> and may consist of a sub-set of the slots that overlap an LTE subframe. In both solutions it is important that the NR SL UE does not change its transmission power to avoid an AGC issu</w:t>
      </w:r>
      <w:r w:rsidR="00305EA2">
        <w:t xml:space="preserve">e. </w:t>
      </w:r>
    </w:p>
    <w:tbl>
      <w:tblPr>
        <w:tblStyle w:val="TableGrid"/>
        <w:tblW w:w="0" w:type="auto"/>
        <w:tblInd w:w="360" w:type="dxa"/>
        <w:tblLook w:val="04A0" w:firstRow="1" w:lastRow="0" w:firstColumn="1" w:lastColumn="0" w:noHBand="0" w:noVBand="1"/>
      </w:tblPr>
      <w:tblGrid>
        <w:gridCol w:w="9257"/>
      </w:tblGrid>
      <w:tr w:rsidR="00C30BAF" w14:paraId="49D9D4DE" w14:textId="77777777" w:rsidTr="19BB4B8A">
        <w:trPr>
          <w:trHeight w:val="300"/>
        </w:trPr>
        <w:tc>
          <w:tcPr>
            <w:tcW w:w="9962" w:type="dxa"/>
          </w:tcPr>
          <w:p w14:paraId="7DDDA1CF" w14:textId="04A7ECBE" w:rsidR="00C30BAF" w:rsidRPr="009B0200" w:rsidRDefault="006A1702" w:rsidP="19BB4B8A">
            <w:pPr>
              <w:spacing w:before="120" w:after="120" w:line="256" w:lineRule="auto"/>
              <w:jc w:val="both"/>
              <w:rPr>
                <w:rFonts w:eastAsia="Times New Roman"/>
              </w:rPr>
            </w:pPr>
            <w:r>
              <w:t xml:space="preserve"> </w:t>
            </w:r>
            <w:r w:rsidR="138485D9" w:rsidRPr="19BB4B8A">
              <w:rPr>
                <w:rFonts w:eastAsia="MS Mincho" w:cs="+mn-cs"/>
                <w:color w:val="262C33"/>
                <w:kern w:val="24"/>
              </w:rPr>
              <w:t>Proposal 1-5 (II):</w:t>
            </w:r>
          </w:p>
          <w:p w14:paraId="3A9590CA" w14:textId="77777777" w:rsidR="00C30BAF" w:rsidRPr="009B0200" w:rsidRDefault="138485D9" w:rsidP="19BB4B8A">
            <w:pPr>
              <w:numPr>
                <w:ilvl w:val="0"/>
                <w:numId w:val="39"/>
              </w:numPr>
              <w:spacing w:line="256" w:lineRule="auto"/>
              <w:ind w:left="378"/>
              <w:contextualSpacing/>
              <w:jc w:val="both"/>
              <w:rPr>
                <w:rFonts w:eastAsia="Times New Roman"/>
              </w:rPr>
            </w:pPr>
            <w:r w:rsidRPr="19BB4B8A">
              <w:rPr>
                <w:rFonts w:eastAsia="MS Mincho"/>
                <w:color w:val="262C33"/>
                <w:kern w:val="24"/>
              </w:rPr>
              <w:t>For dynamic resource pool sharing, the following options are studied to resolve the AGC issue in LTE SL UEs which is caused by NR SL PSCCH/PSSCH transmissions if higher SCSs are supported:</w:t>
            </w:r>
          </w:p>
          <w:p w14:paraId="16E06256" w14:textId="77777777" w:rsidR="00C30BAF" w:rsidRPr="009B0200" w:rsidRDefault="138485D9" w:rsidP="19BB4B8A">
            <w:pPr>
              <w:numPr>
                <w:ilvl w:val="1"/>
                <w:numId w:val="39"/>
              </w:numPr>
              <w:spacing w:line="256" w:lineRule="auto"/>
              <w:ind w:left="803"/>
              <w:contextualSpacing/>
              <w:jc w:val="both"/>
              <w:rPr>
                <w:rFonts w:eastAsia="Times New Roman"/>
              </w:rPr>
            </w:pPr>
            <w:r w:rsidRPr="19BB4B8A">
              <w:rPr>
                <w:rFonts w:eastAsia="MS Mincho"/>
                <w:color w:val="262C33"/>
                <w:kern w:val="24"/>
              </w:rPr>
              <w:t xml:space="preserve">Option 1: The NR SL transmissions of higher SCSs are transmitted on all slots within a LTE SL subframe of 15 kHz </w:t>
            </w:r>
          </w:p>
          <w:p w14:paraId="392945A0" w14:textId="77777777" w:rsidR="00C30BAF" w:rsidRPr="009B0200" w:rsidRDefault="138485D9" w:rsidP="19BB4B8A">
            <w:pPr>
              <w:numPr>
                <w:ilvl w:val="2"/>
                <w:numId w:val="39"/>
              </w:numPr>
              <w:spacing w:line="256" w:lineRule="auto"/>
              <w:ind w:left="1087" w:hanging="284"/>
              <w:contextualSpacing/>
              <w:jc w:val="both"/>
              <w:rPr>
                <w:rFonts w:eastAsia="Times New Roman"/>
              </w:rPr>
            </w:pPr>
            <w:r w:rsidRPr="19BB4B8A">
              <w:rPr>
                <w:rFonts w:eastAsia="MS Mincho"/>
                <w:color w:val="262C33"/>
                <w:kern w:val="24"/>
              </w:rPr>
              <w:t>FFS: Whether this takes place in all slots configured within the LTE SL resource pool or only when the NR SL transmission overlaps an LTE SL transmission based on information shared by the LTE SL module.</w:t>
            </w:r>
          </w:p>
          <w:p w14:paraId="7F60D06E" w14:textId="77777777" w:rsidR="00C30BAF" w:rsidRPr="009B0200" w:rsidRDefault="138485D9" w:rsidP="19BB4B8A">
            <w:pPr>
              <w:numPr>
                <w:ilvl w:val="1"/>
                <w:numId w:val="39"/>
              </w:numPr>
              <w:spacing w:line="256" w:lineRule="auto"/>
              <w:ind w:left="803"/>
              <w:contextualSpacing/>
              <w:jc w:val="both"/>
              <w:rPr>
                <w:rFonts w:eastAsia="Times New Roman"/>
              </w:rPr>
            </w:pPr>
            <w:r w:rsidRPr="19BB4B8A">
              <w:rPr>
                <w:rFonts w:eastAsia="MS Mincho"/>
                <w:color w:val="262C33"/>
                <w:kern w:val="24"/>
              </w:rPr>
              <w:t>Option 3: NR SL UE uses the information shared by the LTE SL module in its own resource selection procedure to exclude slots overlapping with LTE SL transmissions</w:t>
            </w:r>
            <w:r w:rsidRPr="19BB4B8A">
              <w:rPr>
                <w:rFonts w:eastAsia="MS Mincho"/>
                <w:color w:val="FFFFFF"/>
                <w:kern w:val="24"/>
              </w:rPr>
              <w:t>.</w:t>
            </w:r>
          </w:p>
          <w:p w14:paraId="40290CD7" w14:textId="77777777" w:rsidR="00C30BAF" w:rsidRPr="009B0200" w:rsidRDefault="138485D9" w:rsidP="19BB4B8A">
            <w:pPr>
              <w:numPr>
                <w:ilvl w:val="2"/>
                <w:numId w:val="39"/>
              </w:numPr>
              <w:spacing w:line="256" w:lineRule="auto"/>
              <w:ind w:left="1087" w:hanging="284"/>
              <w:contextualSpacing/>
              <w:jc w:val="both"/>
              <w:rPr>
                <w:rFonts w:eastAsia="Times New Roman"/>
              </w:rPr>
            </w:pPr>
            <w:r w:rsidRPr="19BB4B8A">
              <w:rPr>
                <w:rFonts w:eastAsia="Calibri"/>
                <w:color w:val="FF0000"/>
                <w:kern w:val="24"/>
              </w:rPr>
              <w:t>FFS:</w:t>
            </w:r>
            <w:r w:rsidRPr="19BB4B8A">
              <w:rPr>
                <w:rFonts w:eastAsia="Calibri"/>
                <w:color w:val="262C33"/>
                <w:kern w:val="24"/>
              </w:rPr>
              <w:t xml:space="preserve"> Exclude only those slots where the first symbol of the NR SL transmission is not overlapping in time with the first symbol of the LTE subframe.</w:t>
            </w:r>
          </w:p>
          <w:p w14:paraId="01DE57C5" w14:textId="77777777" w:rsidR="00C30BAF" w:rsidRPr="009B0200" w:rsidRDefault="138485D9" w:rsidP="19BB4B8A">
            <w:pPr>
              <w:numPr>
                <w:ilvl w:val="0"/>
                <w:numId w:val="39"/>
              </w:numPr>
              <w:spacing w:line="256" w:lineRule="auto"/>
              <w:ind w:left="378" w:hanging="378"/>
              <w:contextualSpacing/>
              <w:jc w:val="both"/>
              <w:rPr>
                <w:rFonts w:eastAsia="Times New Roman"/>
                <w:sz w:val="16"/>
                <w:szCs w:val="16"/>
              </w:rPr>
            </w:pPr>
            <w:r w:rsidRPr="19BB4B8A">
              <w:rPr>
                <w:rFonts w:eastAsia="MS Mincho"/>
                <w:color w:val="FF0000"/>
                <w:kern w:val="24"/>
              </w:rPr>
              <w:t>Note: This study does not imply RAN1 supporting higher SCS</w:t>
            </w:r>
          </w:p>
        </w:tc>
      </w:tr>
    </w:tbl>
    <w:p w14:paraId="71B6CC0C" w14:textId="77777777" w:rsidR="00C30BAF" w:rsidRDefault="00C30BAF" w:rsidP="00300956"/>
    <w:p w14:paraId="00AD6C9D" w14:textId="13D1DEA0" w:rsidR="00291C94" w:rsidRDefault="2128DDBC" w:rsidP="00300956">
      <w:r>
        <w:lastRenderedPageBreak/>
        <w:t xml:space="preserve">Proposal 1-1(VII) provides the latest status on the discussion of PSFCH support for dynamic co-channel coexistence. </w:t>
      </w:r>
      <w:r w:rsidR="40C8C879">
        <w:t xml:space="preserve">The proposal basically </w:t>
      </w:r>
      <w:r w:rsidR="3B6E92F2">
        <w:t>considers two</w:t>
      </w:r>
      <w:r w:rsidR="6A3D4EAC">
        <w:t xml:space="preserve"> different alternatives; </w:t>
      </w:r>
      <w:r w:rsidR="78086A99">
        <w:t xml:space="preserve">Alt. 1 </w:t>
      </w:r>
      <w:r w:rsidR="0A1560D5">
        <w:t xml:space="preserve">where the NR UE will </w:t>
      </w:r>
      <w:r w:rsidR="2B4B47E4">
        <w:t>exclude/drop</w:t>
      </w:r>
      <w:r w:rsidR="761FDF57">
        <w:t xml:space="preserve"> PSFCH transmission based on the detection of LTE being present in the overlapped subframe</w:t>
      </w:r>
      <w:r w:rsidR="0F3B5E13">
        <w:t xml:space="preserve">, and Alt. 2 where the UE </w:t>
      </w:r>
      <w:r w:rsidR="1F735324">
        <w:t>may</w:t>
      </w:r>
      <w:r w:rsidR="0F3B5E13">
        <w:t xml:space="preserve"> have a sub-set of </w:t>
      </w:r>
      <w:r w:rsidR="1F735324">
        <w:t xml:space="preserve">PSFCH occasions where the NR UE can </w:t>
      </w:r>
      <w:r w:rsidR="4D323BEE">
        <w:t>transmit PSFCH no matter of the LTE presence</w:t>
      </w:r>
      <w:r w:rsidR="592AFC35">
        <w:t>. The underlying assumption on Alt. 2 is that</w:t>
      </w:r>
      <w:r w:rsidR="4CDD0C16">
        <w:t>, by</w:t>
      </w:r>
      <w:r w:rsidR="592AFC35">
        <w:t xml:space="preserve"> </w:t>
      </w:r>
      <w:r w:rsidR="4CDD0C16">
        <w:t xml:space="preserve">restricting the NR UE transmission resource set to a sub-slot of slots with PSFCH, it will be possible for NR to affect the LTE measured S-RSSI such that LTE will </w:t>
      </w:r>
      <w:r w:rsidR="2DC92FBA">
        <w:t xml:space="preserve">not include candidate resources that will overlap NR PSFCH in the transmission resource set. </w:t>
      </w:r>
      <w:proofErr w:type="spellStart"/>
      <w:r w:rsidR="00384FB9">
        <w:t>Further more</w:t>
      </w:r>
      <w:proofErr w:type="spellEnd"/>
      <w:r w:rsidR="00384FB9">
        <w:t>, Alt. 2 is accompanies with a mechanism to adapt the transmission resource set</w:t>
      </w:r>
      <w:r w:rsidR="58710819">
        <w:t xml:space="preserve"> based on the LTE load, in an attemp</w:t>
      </w:r>
      <w:r w:rsidR="5E0E110C">
        <w:t>t for N</w:t>
      </w:r>
      <w:r w:rsidR="7AD801EF">
        <w:t xml:space="preserve">R to only use a </w:t>
      </w:r>
      <w:r w:rsidR="5E17347C">
        <w:t>preconfigured share of the overlapping resource pool.</w:t>
      </w:r>
    </w:p>
    <w:p w14:paraId="094C9FE6" w14:textId="597604F7" w:rsidR="00601B3C" w:rsidRDefault="22D3E7D7" w:rsidP="00300956">
      <w:r>
        <w:t>There may be RAN4 impact no matter which of the two alternatives ends up being adapted</w:t>
      </w:r>
      <w:r w:rsidR="6915DCCF">
        <w:t>. In Alt. 1 it is essential that the LTE presence detection mechanism is standardized and testable.</w:t>
      </w:r>
      <w:r w:rsidR="29D25DC7">
        <w:t xml:space="preserve"> In Alt. 2, </w:t>
      </w:r>
      <w:r w:rsidR="1AD27F80">
        <w:t xml:space="preserve">there is likely a need </w:t>
      </w:r>
      <w:r w:rsidR="4E8B717C">
        <w:t xml:space="preserve">to test </w:t>
      </w:r>
      <w:r w:rsidR="56A9B60E">
        <w:t xml:space="preserve">the adaptation of the </w:t>
      </w:r>
      <w:r w:rsidR="4E8B717C">
        <w:t xml:space="preserve">transmission </w:t>
      </w:r>
      <w:r w:rsidR="56A9B60E">
        <w:t>resource set</w:t>
      </w:r>
      <w:r w:rsidR="497B569B">
        <w:t xml:space="preserve"> to ensure that</w:t>
      </w:r>
      <w:r w:rsidR="4E8B717C">
        <w:t xml:space="preserve"> NR UEs use the same transmission resource set at the same time.</w:t>
      </w:r>
      <w:r w:rsidR="497B569B">
        <w:t xml:space="preserve"> </w:t>
      </w:r>
    </w:p>
    <w:tbl>
      <w:tblPr>
        <w:tblStyle w:val="TableGrid"/>
        <w:tblW w:w="0" w:type="auto"/>
        <w:tblInd w:w="357" w:type="dxa"/>
        <w:tblLook w:val="04A0" w:firstRow="1" w:lastRow="0" w:firstColumn="1" w:lastColumn="0" w:noHBand="0" w:noVBand="1"/>
      </w:tblPr>
      <w:tblGrid>
        <w:gridCol w:w="9260"/>
      </w:tblGrid>
      <w:tr w:rsidR="006C0D5F" w14:paraId="13F2DFC9" w14:textId="77777777" w:rsidTr="302EB31B">
        <w:trPr>
          <w:trHeight w:val="300"/>
        </w:trPr>
        <w:tc>
          <w:tcPr>
            <w:tcW w:w="9260" w:type="dxa"/>
          </w:tcPr>
          <w:p w14:paraId="3463F0DE" w14:textId="77777777" w:rsidR="00905EC7" w:rsidRPr="00C01672" w:rsidRDefault="331A17EB" w:rsidP="00905EC7">
            <w:pPr>
              <w:spacing w:line="256" w:lineRule="auto"/>
              <w:jc w:val="both"/>
              <w:rPr>
                <w:rFonts w:eastAsia="Times New Roman"/>
              </w:rPr>
            </w:pPr>
            <w:r w:rsidRPr="00C01672">
              <w:rPr>
                <w:rFonts w:eastAsia="MS Mincho" w:cs="+mn-cs"/>
                <w:color w:val="262C33"/>
                <w:kern w:val="24"/>
              </w:rPr>
              <w:t>Proposal 1-1(VII):</w:t>
            </w:r>
          </w:p>
          <w:p w14:paraId="791C40D9" w14:textId="77777777" w:rsidR="00905EC7" w:rsidRPr="00C01672" w:rsidRDefault="331A17EB" w:rsidP="00905EC7">
            <w:pPr>
              <w:numPr>
                <w:ilvl w:val="0"/>
                <w:numId w:val="42"/>
              </w:numPr>
              <w:spacing w:line="256" w:lineRule="auto"/>
              <w:ind w:left="379" w:hanging="284"/>
              <w:contextualSpacing/>
              <w:jc w:val="both"/>
              <w:rPr>
                <w:rFonts w:eastAsia="Times New Roman"/>
              </w:rPr>
            </w:pPr>
            <w:r w:rsidRPr="00C01672">
              <w:rPr>
                <w:rFonts w:eastAsia="MS Mincho"/>
                <w:color w:val="262C33"/>
                <w:kern w:val="24"/>
              </w:rPr>
              <w:t>For dynamic resource pool sharing, in NR SL resource pools with PSFCH configured and when HARQ-ACK is enabled, based on (pre-)configuration, when PSFCH resources overlap with resources to be used for LTE SL transmissions in the time domain, the NR SL UE</w:t>
            </w:r>
          </w:p>
          <w:p w14:paraId="4BF0BA9E" w14:textId="77777777" w:rsidR="00905EC7" w:rsidRPr="00C01672" w:rsidRDefault="331A17EB" w:rsidP="00905EC7">
            <w:pPr>
              <w:numPr>
                <w:ilvl w:val="1"/>
                <w:numId w:val="42"/>
              </w:numPr>
              <w:spacing w:line="256" w:lineRule="auto"/>
              <w:ind w:left="662" w:hanging="283"/>
              <w:contextualSpacing/>
              <w:jc w:val="both"/>
              <w:rPr>
                <w:rFonts w:eastAsia="Times New Roman"/>
              </w:rPr>
            </w:pPr>
            <w:r w:rsidRPr="00C01672">
              <w:rPr>
                <w:rFonts w:eastAsia="MS Mincho"/>
                <w:color w:val="262C33"/>
                <w:kern w:val="24"/>
              </w:rPr>
              <w:t xml:space="preserve">Always avoids transmissions on the PSFCH resources </w:t>
            </w:r>
            <w:r w:rsidRPr="00C01672">
              <w:rPr>
                <w:rFonts w:eastAsia="MS Mincho"/>
                <w:strike/>
                <w:color w:val="FF0000"/>
                <w:kern w:val="24"/>
              </w:rPr>
              <w:t>(Alt 1)</w:t>
            </w:r>
            <w:r w:rsidRPr="00C01672">
              <w:rPr>
                <w:rFonts w:eastAsia="MS Mincho"/>
                <w:color w:val="262C33"/>
                <w:kern w:val="24"/>
              </w:rPr>
              <w:t>, or</w:t>
            </w:r>
          </w:p>
          <w:p w14:paraId="6D342DEA" w14:textId="77777777" w:rsidR="00905EC7" w:rsidRPr="00C01672" w:rsidRDefault="331A17EB" w:rsidP="00905EC7">
            <w:pPr>
              <w:numPr>
                <w:ilvl w:val="2"/>
                <w:numId w:val="42"/>
              </w:numPr>
              <w:spacing w:line="256" w:lineRule="auto"/>
              <w:ind w:left="946" w:hanging="284"/>
              <w:contextualSpacing/>
              <w:jc w:val="both"/>
              <w:rPr>
                <w:rFonts w:eastAsia="Times New Roman"/>
              </w:rPr>
            </w:pPr>
            <w:r w:rsidRPr="00C01672">
              <w:rPr>
                <w:rFonts w:eastAsia="MS Mincho"/>
                <w:color w:val="FF0000"/>
                <w:kern w:val="24"/>
              </w:rPr>
              <w:t>FFS details including whether the TX UE avoid selecting resources for PSCCH/PSSCH transmissions with the overlapping PSFCH resources and/or RX UE does not transmit on the overlapping PSFCH resources.</w:t>
            </w:r>
          </w:p>
          <w:p w14:paraId="05D26724" w14:textId="77777777" w:rsidR="00905EC7" w:rsidRPr="00C01672" w:rsidRDefault="331A17EB" w:rsidP="00905EC7">
            <w:pPr>
              <w:numPr>
                <w:ilvl w:val="1"/>
                <w:numId w:val="42"/>
              </w:numPr>
              <w:spacing w:line="256" w:lineRule="auto"/>
              <w:ind w:left="662" w:hanging="284"/>
              <w:contextualSpacing/>
              <w:jc w:val="both"/>
              <w:rPr>
                <w:rFonts w:eastAsia="Times New Roman"/>
              </w:rPr>
            </w:pPr>
            <w:r w:rsidRPr="00C01672">
              <w:rPr>
                <w:rFonts w:eastAsia="MS Mincho"/>
                <w:color w:val="262C33"/>
                <w:kern w:val="24"/>
              </w:rPr>
              <w:t xml:space="preserve">Does not avoid transmission on the PSFCH resources </w:t>
            </w:r>
            <w:r w:rsidRPr="00C01672">
              <w:rPr>
                <w:rFonts w:eastAsia="MS Mincho"/>
                <w:strike/>
                <w:color w:val="FF0000"/>
                <w:kern w:val="24"/>
              </w:rPr>
              <w:t>(Alt 2</w:t>
            </w:r>
            <w:r w:rsidRPr="00C01672">
              <w:rPr>
                <w:rFonts w:eastAsia="MS Mincho"/>
                <w:strike/>
                <w:color w:val="262C33"/>
                <w:kern w:val="24"/>
              </w:rPr>
              <w:t>)</w:t>
            </w:r>
            <w:r w:rsidRPr="00C01672">
              <w:rPr>
                <w:rFonts w:eastAsia="MS Mincho"/>
                <w:color w:val="262C33"/>
                <w:kern w:val="24"/>
              </w:rPr>
              <w:t>, or</w:t>
            </w:r>
          </w:p>
          <w:p w14:paraId="73CB90BD" w14:textId="77777777" w:rsidR="00905EC7" w:rsidRPr="00C01672" w:rsidRDefault="331A17EB" w:rsidP="00905EC7">
            <w:pPr>
              <w:numPr>
                <w:ilvl w:val="1"/>
                <w:numId w:val="42"/>
              </w:numPr>
              <w:spacing w:line="256" w:lineRule="auto"/>
              <w:ind w:left="662" w:hanging="284"/>
              <w:contextualSpacing/>
              <w:jc w:val="both"/>
              <w:rPr>
                <w:rFonts w:eastAsia="Times New Roman"/>
              </w:rPr>
            </w:pPr>
            <w:r w:rsidRPr="00C01672">
              <w:rPr>
                <w:rFonts w:eastAsia="MS Mincho"/>
                <w:color w:val="262C33"/>
                <w:kern w:val="24"/>
              </w:rPr>
              <w:t>Conditionally avoids transmissions on a subset of the PSFCH resources.</w:t>
            </w:r>
          </w:p>
          <w:p w14:paraId="637C997F" w14:textId="77777777" w:rsidR="00905EC7" w:rsidRPr="00C01672" w:rsidRDefault="331A17EB" w:rsidP="00905EC7">
            <w:pPr>
              <w:numPr>
                <w:ilvl w:val="2"/>
                <w:numId w:val="42"/>
              </w:numPr>
              <w:spacing w:line="256" w:lineRule="auto"/>
              <w:ind w:left="946" w:hanging="284"/>
              <w:contextualSpacing/>
              <w:jc w:val="both"/>
              <w:rPr>
                <w:rFonts w:eastAsia="Times New Roman"/>
              </w:rPr>
            </w:pPr>
            <w:r w:rsidRPr="00C01672">
              <w:rPr>
                <w:rFonts w:eastAsia="MS Mincho"/>
                <w:color w:val="FF0000"/>
                <w:kern w:val="24"/>
              </w:rPr>
              <w:t xml:space="preserve">FFS details of conditions including </w:t>
            </w:r>
          </w:p>
          <w:p w14:paraId="3E197A46" w14:textId="77777777" w:rsidR="00905EC7" w:rsidRPr="00C01672" w:rsidRDefault="331A17EB" w:rsidP="00905EC7">
            <w:pPr>
              <w:numPr>
                <w:ilvl w:val="3"/>
                <w:numId w:val="42"/>
              </w:numPr>
              <w:spacing w:line="256" w:lineRule="auto"/>
              <w:ind w:left="1229" w:hanging="284"/>
              <w:contextualSpacing/>
              <w:jc w:val="both"/>
              <w:rPr>
                <w:rFonts w:eastAsia="Times New Roman"/>
              </w:rPr>
            </w:pPr>
            <w:r w:rsidRPr="00C01672">
              <w:rPr>
                <w:rFonts w:eastAsia="MS Mincho"/>
                <w:color w:val="FF0000"/>
                <w:kern w:val="24"/>
              </w:rPr>
              <w:t>a (pre-)configured subset,</w:t>
            </w:r>
          </w:p>
          <w:p w14:paraId="7274A0CD" w14:textId="77777777" w:rsidR="00905EC7" w:rsidRPr="00C01672" w:rsidRDefault="331A17EB" w:rsidP="00905EC7">
            <w:pPr>
              <w:numPr>
                <w:ilvl w:val="3"/>
                <w:numId w:val="42"/>
              </w:numPr>
              <w:spacing w:line="256" w:lineRule="auto"/>
              <w:ind w:left="1229" w:hanging="284"/>
              <w:contextualSpacing/>
              <w:jc w:val="both"/>
              <w:rPr>
                <w:rFonts w:eastAsia="Times New Roman"/>
              </w:rPr>
            </w:pPr>
            <w:r w:rsidRPr="00C01672">
              <w:rPr>
                <w:rFonts w:eastAsia="MS Mincho"/>
                <w:color w:val="FF0000"/>
                <w:kern w:val="24"/>
              </w:rPr>
              <w:t>the consideration of the LTE RSRP and LTE and/or NR priority,</w:t>
            </w:r>
          </w:p>
          <w:p w14:paraId="7F49BC59" w14:textId="77777777" w:rsidR="00905EC7" w:rsidRPr="00C01672" w:rsidRDefault="331A17EB" w:rsidP="00905EC7">
            <w:pPr>
              <w:numPr>
                <w:ilvl w:val="3"/>
                <w:numId w:val="42"/>
              </w:numPr>
              <w:spacing w:line="256" w:lineRule="auto"/>
              <w:ind w:left="1229" w:hanging="284"/>
              <w:contextualSpacing/>
              <w:jc w:val="both"/>
              <w:rPr>
                <w:rFonts w:eastAsia="Times New Roman"/>
              </w:rPr>
            </w:pPr>
            <w:r w:rsidRPr="00C01672">
              <w:rPr>
                <w:rFonts w:eastAsia="MS Mincho"/>
                <w:color w:val="FF0000"/>
                <w:kern w:val="24"/>
              </w:rPr>
              <w:t xml:space="preserve">presence of PSCCH/PSSCH transmission in the same </w:t>
            </w:r>
            <w:r w:rsidRPr="00C01672">
              <w:rPr>
                <w:rFonts w:eastAsia="MS Mincho"/>
                <w:strike/>
                <w:color w:val="FF0000"/>
                <w:kern w:val="24"/>
              </w:rPr>
              <w:t>time slot</w:t>
            </w:r>
            <w:r w:rsidRPr="00C01672">
              <w:rPr>
                <w:rFonts w:eastAsia="MS Mincho"/>
                <w:color w:val="FF0000"/>
                <w:kern w:val="24"/>
              </w:rPr>
              <w:t xml:space="preserve"> LTE subframe as PSFCH transmission with the same power by the same UE.</w:t>
            </w:r>
          </w:p>
          <w:p w14:paraId="4ACBA77B" w14:textId="77777777" w:rsidR="00905EC7" w:rsidRPr="00C01672" w:rsidRDefault="331A17EB" w:rsidP="00905EC7">
            <w:pPr>
              <w:numPr>
                <w:ilvl w:val="1"/>
                <w:numId w:val="42"/>
              </w:numPr>
              <w:spacing w:line="256" w:lineRule="auto"/>
              <w:ind w:left="662" w:hanging="283"/>
              <w:contextualSpacing/>
              <w:jc w:val="both"/>
              <w:rPr>
                <w:rFonts w:eastAsia="Times New Roman"/>
              </w:rPr>
            </w:pPr>
            <w:r w:rsidRPr="00C01672">
              <w:rPr>
                <w:rFonts w:eastAsia="MS Mincho"/>
                <w:color w:val="262C33"/>
                <w:kern w:val="24"/>
              </w:rPr>
              <w:t>FFS for the case when there is an overlapping of time and frequency resources between PSFCH and LTE SL transmission</w:t>
            </w:r>
          </w:p>
          <w:p w14:paraId="01E4EAFC" w14:textId="77777777" w:rsidR="00905EC7" w:rsidRPr="00C01672" w:rsidRDefault="331A17EB" w:rsidP="00905EC7">
            <w:pPr>
              <w:numPr>
                <w:ilvl w:val="0"/>
                <w:numId w:val="42"/>
              </w:numPr>
              <w:spacing w:line="256" w:lineRule="auto"/>
              <w:ind w:left="379" w:hanging="284"/>
              <w:contextualSpacing/>
              <w:jc w:val="both"/>
              <w:rPr>
                <w:rFonts w:eastAsia="Times New Roman"/>
              </w:rPr>
            </w:pPr>
            <w:r w:rsidRPr="00C01672">
              <w:rPr>
                <w:rFonts w:eastAsia="MS Mincho"/>
                <w:color w:val="262C33"/>
                <w:kern w:val="24"/>
              </w:rPr>
              <w:t>Introduce additional PSFCH periodicity of [5, 8 and] 10.</w:t>
            </w:r>
          </w:p>
          <w:p w14:paraId="46177C18" w14:textId="77777777" w:rsidR="00905EC7" w:rsidRPr="00C01672" w:rsidRDefault="331A17EB" w:rsidP="00905EC7">
            <w:pPr>
              <w:numPr>
                <w:ilvl w:val="1"/>
                <w:numId w:val="42"/>
              </w:numPr>
              <w:spacing w:line="256" w:lineRule="auto"/>
              <w:ind w:left="662" w:hanging="284"/>
              <w:contextualSpacing/>
              <w:jc w:val="both"/>
              <w:rPr>
                <w:rFonts w:eastAsia="Times New Roman"/>
              </w:rPr>
            </w:pPr>
            <w:r w:rsidRPr="00C01672">
              <w:rPr>
                <w:rFonts w:eastAsia="MS Mincho"/>
                <w:color w:val="262C33"/>
                <w:kern w:val="24"/>
              </w:rPr>
              <w:t>Note: Alignment between PSFCH periodicity and LTE logical subframes should be ensured by proper configuration.</w:t>
            </w:r>
          </w:p>
          <w:p w14:paraId="0E00878E" w14:textId="77777777" w:rsidR="00905EC7" w:rsidRPr="00C01672" w:rsidRDefault="331A17EB" w:rsidP="00905EC7">
            <w:pPr>
              <w:numPr>
                <w:ilvl w:val="0"/>
                <w:numId w:val="42"/>
              </w:numPr>
              <w:spacing w:line="256" w:lineRule="auto"/>
              <w:ind w:left="379" w:hanging="284"/>
              <w:contextualSpacing/>
              <w:jc w:val="both"/>
              <w:rPr>
                <w:rFonts w:eastAsia="Times New Roman"/>
              </w:rPr>
            </w:pPr>
            <w:r w:rsidRPr="00C01672">
              <w:rPr>
                <w:rFonts w:eastAsia="MS Mincho"/>
                <w:color w:val="262C33"/>
                <w:kern w:val="24"/>
              </w:rPr>
              <w:t>FFS: Whether to confine the PSFCH transmission, in the time domain, within the guard symbol of the LTE SL subframe.</w:t>
            </w:r>
          </w:p>
          <w:p w14:paraId="3C4DE910" w14:textId="7D70223D" w:rsidR="006C0D5F" w:rsidRPr="004B108A" w:rsidRDefault="331A17EB" w:rsidP="19BB4B8A">
            <w:pPr>
              <w:numPr>
                <w:ilvl w:val="0"/>
                <w:numId w:val="42"/>
              </w:numPr>
              <w:spacing w:line="256" w:lineRule="auto"/>
              <w:ind w:left="379" w:hanging="284"/>
              <w:contextualSpacing/>
              <w:jc w:val="both"/>
            </w:pPr>
            <w:r w:rsidRPr="00C01672">
              <w:rPr>
                <w:rFonts w:eastAsia="MS Mincho"/>
                <w:color w:val="262C33"/>
                <w:kern w:val="24"/>
              </w:rPr>
              <w:t xml:space="preserve">FFS details </w:t>
            </w:r>
            <w:r w:rsidRPr="00C01672">
              <w:rPr>
                <w:rFonts w:eastAsia="MS Mincho"/>
                <w:strike/>
                <w:color w:val="FF0000"/>
                <w:kern w:val="24"/>
              </w:rPr>
              <w:t>including the conditions</w:t>
            </w:r>
            <w:r w:rsidRPr="00C01672">
              <w:rPr>
                <w:rFonts w:eastAsia="MS Mincho"/>
                <w:color w:val="FFFFFF"/>
                <w:kern w:val="24"/>
              </w:rPr>
              <w:t>.</w:t>
            </w:r>
          </w:p>
        </w:tc>
      </w:tr>
    </w:tbl>
    <w:p w14:paraId="4849C9E7" w14:textId="77777777" w:rsidR="007776EE" w:rsidRDefault="007776EE" w:rsidP="19BB4B8A">
      <w:pPr>
        <w:pStyle w:val="RAN4proposal"/>
        <w:numPr>
          <w:ilvl w:val="0"/>
          <w:numId w:val="0"/>
        </w:numPr>
      </w:pPr>
    </w:p>
    <w:p w14:paraId="48A8AC12" w14:textId="5512AB7D" w:rsidR="00A13D7B" w:rsidRDefault="0A7C9404" w:rsidP="00A13D7B">
      <w:pPr>
        <w:pStyle w:val="RAN4proposal"/>
      </w:pPr>
      <w:bookmarkStart w:id="6" w:name="_Toc127540570"/>
      <w:bookmarkStart w:id="7" w:name="_Toc127524095"/>
      <w:r>
        <w:t>RAN4 awaits RAN1 outcome for solutions to support higher numerology and PSFCH for dynamic co-channel coexistence for LTE-NR co-channel coexistence.</w:t>
      </w:r>
      <w:bookmarkEnd w:id="6"/>
      <w:bookmarkEnd w:id="7"/>
    </w:p>
    <w:p w14:paraId="76ECCE22" w14:textId="77777777" w:rsidR="00A13D7B" w:rsidRDefault="00A13D7B" w:rsidP="00300956">
      <w:pPr>
        <w:rPr>
          <w:b/>
          <w:bCs/>
        </w:rPr>
      </w:pPr>
    </w:p>
    <w:p w14:paraId="46CF7033" w14:textId="6B4FFEBF" w:rsidR="00EF1AA1" w:rsidRPr="000869D2" w:rsidRDefault="6055609D" w:rsidP="00300956">
      <w:pPr>
        <w:rPr>
          <w:b/>
          <w:bCs/>
          <w:u w:val="single"/>
        </w:rPr>
      </w:pPr>
      <w:r w:rsidRPr="19BB4B8A">
        <w:rPr>
          <w:b/>
          <w:bCs/>
          <w:u w:val="single"/>
        </w:rPr>
        <w:t xml:space="preserve">Synchronization for </w:t>
      </w:r>
      <w:r w:rsidR="03B6B189" w:rsidRPr="19BB4B8A">
        <w:rPr>
          <w:b/>
          <w:bCs/>
          <w:u w:val="single"/>
        </w:rPr>
        <w:t>co-channel coexistence.</w:t>
      </w:r>
    </w:p>
    <w:p w14:paraId="2AB0A30B" w14:textId="4A373BFA" w:rsidR="0082087F" w:rsidRPr="00371061" w:rsidRDefault="11127A89" w:rsidP="19BB4B8A">
      <w:pPr>
        <w:jc w:val="both"/>
      </w:pPr>
      <w:r>
        <w:t xml:space="preserve">It is also expected that </w:t>
      </w:r>
      <w:r w:rsidR="62068913">
        <w:t xml:space="preserve">synchronization will be impacted by the </w:t>
      </w:r>
      <w:r w:rsidR="18225493">
        <w:t xml:space="preserve">co-channel coexistence framework to be specified. </w:t>
      </w:r>
      <w:r w:rsidR="400487C0">
        <w:t xml:space="preserve">It is currently the assumption, that </w:t>
      </w:r>
      <w:r w:rsidR="18677C49">
        <w:t>even though</w:t>
      </w:r>
      <w:r w:rsidR="400487C0">
        <w:t xml:space="preserve"> LTE and NR modules have slightly different </w:t>
      </w:r>
      <w:r w:rsidR="3E0EF3D9">
        <w:t xml:space="preserve">synchronization reference priority tables </w:t>
      </w:r>
      <w:r w:rsidR="3D7BED67">
        <w:t xml:space="preserve">due to NR SL being able to synchronize to both </w:t>
      </w:r>
      <w:proofErr w:type="spellStart"/>
      <w:r w:rsidR="3D7BED67">
        <w:t>gNB</w:t>
      </w:r>
      <w:proofErr w:type="spellEnd"/>
      <w:r w:rsidR="3D7BED67">
        <w:t xml:space="preserve"> and </w:t>
      </w:r>
      <w:proofErr w:type="spellStart"/>
      <w:r w:rsidR="3D7BED67">
        <w:t>eNB</w:t>
      </w:r>
      <w:proofErr w:type="spellEnd"/>
      <w:r w:rsidR="3D7BED67">
        <w:t xml:space="preserve"> whereas LTE SL cannot synchronize to a gNB) this will be handled </w:t>
      </w:r>
      <w:r w:rsidR="728485B3">
        <w:t>by implementation</w:t>
      </w:r>
      <w:r w:rsidR="3D7BED67">
        <w:t xml:space="preserve"> in the Type A device type</w:t>
      </w:r>
      <w:r w:rsidR="728485B3">
        <w:t xml:space="preserve"> such that </w:t>
      </w:r>
      <w:r w:rsidR="7B7B9FAC">
        <w:t>slot/subframe alignment is still maintained</w:t>
      </w:r>
      <w:r w:rsidR="3D7BED67">
        <w:t xml:space="preserve">. </w:t>
      </w:r>
      <w:r w:rsidR="70FF246C">
        <w:t>However,</w:t>
      </w:r>
      <w:r w:rsidR="3D7BED67">
        <w:t xml:space="preserve"> for a Type B device, this is not feasible, </w:t>
      </w:r>
      <w:r w:rsidR="4E28C275">
        <w:t xml:space="preserve">as it will have to follow its own priority table, and LTE SL likewise. In this case, there is a need for </w:t>
      </w:r>
      <w:r w:rsidR="3455DFA6">
        <w:t>a Type B NR SL to have an</w:t>
      </w:r>
      <w:r w:rsidR="7F485EDF">
        <w:t xml:space="preserve"> updated priority table or </w:t>
      </w:r>
      <w:r w:rsidR="3455DFA6">
        <w:t xml:space="preserve">UE capability to synchronize to an LTE </w:t>
      </w:r>
      <w:proofErr w:type="spellStart"/>
      <w:r w:rsidR="3455DFA6">
        <w:t>SyncRef</w:t>
      </w:r>
      <w:r w:rsidR="57E8312F">
        <w:t>UE</w:t>
      </w:r>
      <w:proofErr w:type="spellEnd"/>
      <w:r w:rsidR="3455DFA6">
        <w:t>.</w:t>
      </w:r>
      <w:r w:rsidR="11AA8645">
        <w:t xml:space="preserve"> </w:t>
      </w:r>
    </w:p>
    <w:p w14:paraId="18470F0D" w14:textId="391AB60F" w:rsidR="000B594D" w:rsidRDefault="11AA8645" w:rsidP="000B594D">
      <w:pPr>
        <w:pStyle w:val="RAN4proposal"/>
      </w:pPr>
      <w:bookmarkStart w:id="8" w:name="_Toc127540571"/>
      <w:bookmarkStart w:id="9" w:name="_Toc127524096"/>
      <w:r>
        <w:t xml:space="preserve">RAN4 awaits RAN1 outcome for solutions for synchronization between LTE and NR for </w:t>
      </w:r>
      <w:r w:rsidR="37B96B16">
        <w:t>co-channel coexistence.</w:t>
      </w:r>
      <w:bookmarkEnd w:id="8"/>
      <w:bookmarkEnd w:id="9"/>
      <w:r w:rsidR="37B96B16">
        <w:t xml:space="preserve"> </w:t>
      </w:r>
    </w:p>
    <w:p w14:paraId="7AC3D541" w14:textId="1E96E9B2" w:rsidR="00C33498" w:rsidRDefault="00C33498" w:rsidP="00300956">
      <w:pPr>
        <w:rPr>
          <w:b/>
          <w:bCs/>
        </w:rPr>
      </w:pPr>
    </w:p>
    <w:p w14:paraId="0CBC4BED" w14:textId="1756C8DF" w:rsidR="00F91F09" w:rsidRPr="000869D2" w:rsidRDefault="3997A3C9" w:rsidP="00300956">
      <w:pPr>
        <w:rPr>
          <w:b/>
          <w:bCs/>
          <w:u w:val="single"/>
        </w:rPr>
      </w:pPr>
      <w:r w:rsidRPr="19BB4B8A">
        <w:rPr>
          <w:b/>
          <w:bCs/>
          <w:u w:val="single"/>
        </w:rPr>
        <w:lastRenderedPageBreak/>
        <w:t>Semi-static co-channel coexistence.</w:t>
      </w:r>
    </w:p>
    <w:p w14:paraId="561E0AF9" w14:textId="41855A34" w:rsidR="006B64DA" w:rsidRDefault="1F326E1F" w:rsidP="00300956">
      <w:r>
        <w:t xml:space="preserve">While dynamic co-channel </w:t>
      </w:r>
      <w:r w:rsidR="3BDC493A">
        <w:t xml:space="preserve">is the main priority of the resource sharing mechanisms, semi-static co-channel coexistence mechanisms are still on the table in the objective. RAN1 has already reached a conclusion on TDM based </w:t>
      </w:r>
      <w:r w:rsidR="6DC52E18">
        <w:t xml:space="preserve">resource pool sharing </w:t>
      </w:r>
      <w:r w:rsidR="6465B2A4">
        <w:t>from RAN1#110e</w:t>
      </w:r>
      <w:r w:rsidR="6B54D1F2">
        <w:t xml:space="preserve"> that concludes that no further specification work is needed to support TDM</w:t>
      </w:r>
      <w:r w:rsidR="50AC4D18">
        <w:t>.</w:t>
      </w:r>
    </w:p>
    <w:tbl>
      <w:tblPr>
        <w:tblStyle w:val="TableGrid"/>
        <w:tblW w:w="0" w:type="auto"/>
        <w:tblLook w:val="04A0" w:firstRow="1" w:lastRow="0" w:firstColumn="1" w:lastColumn="0" w:noHBand="0" w:noVBand="1"/>
      </w:tblPr>
      <w:tblGrid>
        <w:gridCol w:w="9617"/>
      </w:tblGrid>
      <w:tr w:rsidR="006B64DA" w14:paraId="7E051617" w14:textId="77777777" w:rsidTr="19BB4B8A">
        <w:trPr>
          <w:trHeight w:val="300"/>
        </w:trPr>
        <w:tc>
          <w:tcPr>
            <w:tcW w:w="9617" w:type="dxa"/>
          </w:tcPr>
          <w:p w14:paraId="6991811D" w14:textId="77777777" w:rsidR="006B64DA" w:rsidRPr="006B64DA" w:rsidRDefault="6B54D1F2" w:rsidP="19BB4B8A">
            <w:pPr>
              <w:rPr>
                <w:b/>
                <w:bCs/>
                <w:lang w:val="en-GB"/>
              </w:rPr>
            </w:pPr>
            <w:r w:rsidRPr="19BB4B8A">
              <w:rPr>
                <w:b/>
                <w:bCs/>
                <w:lang w:val="en-GB"/>
              </w:rPr>
              <w:t>Conclusion</w:t>
            </w:r>
          </w:p>
          <w:p w14:paraId="0E1325DB" w14:textId="77777777" w:rsidR="006B64DA" w:rsidRPr="006B64DA" w:rsidRDefault="6B54D1F2" w:rsidP="19BB4B8A">
            <w:pPr>
              <w:rPr>
                <w:lang w:val="en-GB"/>
              </w:rPr>
            </w:pPr>
            <w:r w:rsidRPr="19BB4B8A">
              <w:rPr>
                <w:lang w:val="en-GB"/>
              </w:rPr>
              <w:t>For co-channel coexistence in Rel-18, RAN1 concludes that the TDM-based semi-static resource pool partitioning based on Rel-16/17 specifications is one possible solution to ensure co-channel coexistence between LTE-V UEs and NR-V UEs.</w:t>
            </w:r>
          </w:p>
          <w:p w14:paraId="0FA000C1" w14:textId="77777777" w:rsidR="006B64DA" w:rsidRPr="006B64DA" w:rsidRDefault="6B54D1F2" w:rsidP="19BB4B8A">
            <w:pPr>
              <w:numPr>
                <w:ilvl w:val="1"/>
                <w:numId w:val="43"/>
              </w:numPr>
              <w:rPr>
                <w:lang w:val="en-GB"/>
              </w:rPr>
            </w:pPr>
            <w:r w:rsidRPr="19BB4B8A">
              <w:rPr>
                <w:lang w:val="en-GB"/>
              </w:rPr>
              <w:t>Note: The LTE and NR resource pools do not overlap in time with each other in the TDM-based semi-static resource pool partitioning.</w:t>
            </w:r>
          </w:p>
          <w:p w14:paraId="08499674" w14:textId="77777777" w:rsidR="006B64DA" w:rsidRPr="006B64DA" w:rsidRDefault="6B54D1F2" w:rsidP="19BB4B8A">
            <w:pPr>
              <w:numPr>
                <w:ilvl w:val="1"/>
                <w:numId w:val="43"/>
              </w:numPr>
              <w:rPr>
                <w:lang w:val="en-GB"/>
              </w:rPr>
            </w:pPr>
            <w:r w:rsidRPr="19BB4B8A">
              <w:rPr>
                <w:lang w:val="en-GB"/>
              </w:rPr>
              <w:t>Note 2: Rel-16 in-device coexistence framework can ensure alignment between the slot boundary of the NR SL time slot and the subframe boundary of the LTE SL subframe</w:t>
            </w:r>
          </w:p>
          <w:p w14:paraId="69D07AD4" w14:textId="0F82846B" w:rsidR="006B64DA" w:rsidRDefault="6B54D1F2" w:rsidP="19BB4B8A">
            <w:pPr>
              <w:numPr>
                <w:ilvl w:val="1"/>
                <w:numId w:val="43"/>
              </w:numPr>
              <w:rPr>
                <w:lang w:val="en-GB"/>
              </w:rPr>
            </w:pPr>
            <w:r w:rsidRPr="19BB4B8A">
              <w:rPr>
                <w:lang w:val="en-GB"/>
              </w:rPr>
              <w:t>FFS: potential enhancements for synchronization can be further investigated</w:t>
            </w:r>
          </w:p>
        </w:tc>
      </w:tr>
    </w:tbl>
    <w:p w14:paraId="4AF6B302" w14:textId="77777777" w:rsidR="006B64DA" w:rsidRDefault="006B64DA" w:rsidP="00300956"/>
    <w:p w14:paraId="0F1A3F1B" w14:textId="3F19827F" w:rsidR="00D26252" w:rsidRDefault="50AC4D18" w:rsidP="00300956">
      <w:r>
        <w:t>There has similarly been a discussion on FDM based semi-static co-channel coexistence.</w:t>
      </w:r>
      <w:r w:rsidR="6A0EFBF2">
        <w:t xml:space="preserve"> The latest status on the RAN1 discussion on FDM is captured by the non-agreed proposal from RAN1#11</w:t>
      </w:r>
      <w:r w:rsidR="27738C58">
        <w:t>0e</w:t>
      </w:r>
      <w:r w:rsidR="2A6EA909">
        <w:t xml:space="preserve">. The challenge with FDM based co-channel coexistence is that it </w:t>
      </w:r>
      <w:r w:rsidR="77567FF4">
        <w:t xml:space="preserve">brings the same challenges as are being </w:t>
      </w:r>
      <w:r w:rsidR="18874DCB">
        <w:t>tackled</w:t>
      </w:r>
      <w:r w:rsidR="77567FF4">
        <w:t xml:space="preserve"> by the dynamic co-channel coexistence mechanism, such as how to support PSFCH and higher numerologies without </w:t>
      </w:r>
      <w:r w:rsidR="25F648F9">
        <w:t>causing an AGC issue to LTE SL Rx UEs</w:t>
      </w:r>
      <w:r w:rsidR="6CE32175">
        <w:t xml:space="preserve">. The reason that it could happen, is that the filters on the LTE SL Rx UE is likely not able to completely filter out </w:t>
      </w:r>
      <w:r w:rsidR="1393989E">
        <w:t>an NR resource pool separated in frequency on the same channel and hence would be subject to AGC issues if the power on the channel change due to NR SL Tx UEs.</w:t>
      </w:r>
      <w:r w:rsidR="2E8D13FE">
        <w:t xml:space="preserve"> In summary, FDM based semi-static co-channel coexistence requires similar solutions as dynamic co-channel </w:t>
      </w:r>
      <w:r w:rsidR="747F6E75">
        <w:t>coexistence but</w:t>
      </w:r>
      <w:r w:rsidR="2E8D13FE">
        <w:t xml:space="preserve"> is unlikely to bring any </w:t>
      </w:r>
      <w:r w:rsidR="56FB48E9">
        <w:t>clear benefits over TDM based co-channel coexistence.</w:t>
      </w:r>
    </w:p>
    <w:tbl>
      <w:tblPr>
        <w:tblStyle w:val="TableGrid"/>
        <w:tblW w:w="0" w:type="auto"/>
        <w:tblLook w:val="04A0" w:firstRow="1" w:lastRow="0" w:firstColumn="1" w:lastColumn="0" w:noHBand="0" w:noVBand="1"/>
      </w:tblPr>
      <w:tblGrid>
        <w:gridCol w:w="9617"/>
      </w:tblGrid>
      <w:tr w:rsidR="00586E81" w14:paraId="18BD97F3" w14:textId="77777777" w:rsidTr="19BB4B8A">
        <w:trPr>
          <w:trHeight w:val="300"/>
        </w:trPr>
        <w:tc>
          <w:tcPr>
            <w:tcW w:w="9617" w:type="dxa"/>
          </w:tcPr>
          <w:p w14:paraId="18E92A1D" w14:textId="77777777" w:rsidR="00586E81" w:rsidRPr="00586E81" w:rsidRDefault="27738C58" w:rsidP="00586E81">
            <w:pPr>
              <w:spacing w:before="120" w:after="120" w:line="256" w:lineRule="auto"/>
              <w:jc w:val="both"/>
              <w:rPr>
                <w:rFonts w:eastAsia="Times New Roman" w:cs="Times New Roman"/>
                <w:sz w:val="16"/>
                <w:szCs w:val="16"/>
              </w:rPr>
            </w:pPr>
            <w:r w:rsidRPr="00586E81">
              <w:rPr>
                <w:rFonts w:eastAsia="MS Mincho" w:cs="+mn-cs"/>
                <w:color w:val="124191"/>
                <w:kern w:val="24"/>
                <w:highlight w:val="yellow"/>
              </w:rPr>
              <w:t>Proposal 2-2 (II):</w:t>
            </w:r>
          </w:p>
          <w:p w14:paraId="44014D69" w14:textId="77777777" w:rsidR="00586E81" w:rsidRPr="00586E81" w:rsidRDefault="27738C58" w:rsidP="19BB4B8A">
            <w:pPr>
              <w:numPr>
                <w:ilvl w:val="0"/>
                <w:numId w:val="44"/>
              </w:numPr>
              <w:spacing w:line="256" w:lineRule="auto"/>
              <w:ind w:left="308" w:hanging="284"/>
              <w:contextualSpacing/>
              <w:jc w:val="both"/>
              <w:rPr>
                <w:rFonts w:eastAsia="Times New Roman" w:cs="Times New Roman"/>
              </w:rPr>
            </w:pPr>
            <w:r w:rsidRPr="19BB4B8A">
              <w:rPr>
                <w:rFonts w:eastAsia="MS Mincho" w:cs="Times New Roman"/>
                <w:color w:val="124191"/>
                <w:kern w:val="24"/>
              </w:rPr>
              <w:t xml:space="preserve">For co-channel coexistence in Rel-18, </w:t>
            </w:r>
            <w:r w:rsidRPr="19BB4B8A">
              <w:rPr>
                <w:rFonts w:eastAsia="MS Mincho" w:cs="Times New Roman"/>
                <w:color w:val="FF0000"/>
                <w:kern w:val="24"/>
              </w:rPr>
              <w:t xml:space="preserve">RAN1 assumes that the </w:t>
            </w:r>
            <w:r w:rsidRPr="19BB4B8A">
              <w:rPr>
                <w:rFonts w:eastAsia="MS Mincho" w:cs="Times New Roman"/>
                <w:color w:val="124191"/>
                <w:kern w:val="24"/>
              </w:rPr>
              <w:t xml:space="preserve">FDM-based semi-static resource pool partitioning can be used based on Rel-16/17 specifications, </w:t>
            </w:r>
            <w:r w:rsidRPr="19BB4B8A">
              <w:rPr>
                <w:rFonts w:eastAsia="MS Mincho" w:cs="Times New Roman"/>
                <w:color w:val="0070C0"/>
                <w:kern w:val="24"/>
              </w:rPr>
              <w:t xml:space="preserve">and can be studied </w:t>
            </w:r>
            <w:r w:rsidRPr="19BB4B8A">
              <w:rPr>
                <w:rFonts w:eastAsia="MS Mincho" w:cs="Times New Roman"/>
                <w:color w:val="124191"/>
                <w:kern w:val="24"/>
              </w:rPr>
              <w:t>with the following constraints:</w:t>
            </w:r>
          </w:p>
          <w:p w14:paraId="01039BCD" w14:textId="77777777" w:rsidR="00586E81" w:rsidRPr="00586E81" w:rsidRDefault="27738C58" w:rsidP="19BB4B8A">
            <w:pPr>
              <w:numPr>
                <w:ilvl w:val="1"/>
                <w:numId w:val="44"/>
              </w:numPr>
              <w:spacing w:line="256" w:lineRule="auto"/>
              <w:ind w:left="591" w:hanging="359"/>
              <w:contextualSpacing/>
              <w:jc w:val="both"/>
              <w:rPr>
                <w:rFonts w:eastAsia="Times New Roman" w:cs="Times New Roman"/>
              </w:rPr>
            </w:pPr>
            <w:r w:rsidRPr="19BB4B8A">
              <w:rPr>
                <w:rFonts w:eastAsia="MS Mincho" w:cs="Times New Roman"/>
                <w:color w:val="124191"/>
                <w:kern w:val="24"/>
                <w:lang w:val="en-GB"/>
              </w:rPr>
              <w:t>NR SL resource pool is configured with only 15 kHz SCS.</w:t>
            </w:r>
          </w:p>
          <w:p w14:paraId="027CB51C" w14:textId="77777777" w:rsidR="00586E81" w:rsidRPr="00586E81" w:rsidRDefault="27738C58" w:rsidP="19BB4B8A">
            <w:pPr>
              <w:numPr>
                <w:ilvl w:val="2"/>
                <w:numId w:val="44"/>
              </w:numPr>
              <w:spacing w:line="256" w:lineRule="auto"/>
              <w:ind w:left="1016"/>
              <w:contextualSpacing/>
              <w:jc w:val="both"/>
              <w:rPr>
                <w:rFonts w:eastAsia="Times New Roman" w:cs="Times New Roman"/>
              </w:rPr>
            </w:pPr>
            <w:r w:rsidRPr="19BB4B8A">
              <w:rPr>
                <w:rFonts w:eastAsia="MS Mincho" w:cs="Times New Roman"/>
                <w:strike/>
                <w:color w:val="FF0000"/>
                <w:kern w:val="24"/>
                <w:lang w:val="en-GB"/>
              </w:rPr>
              <w:t>FFS other solutions to overcome the AGC issue caused by the differing SCSs between the NR SL and LTE SL resource pools.</w:t>
            </w:r>
          </w:p>
          <w:p w14:paraId="053C980B" w14:textId="77777777" w:rsidR="00586E81" w:rsidRPr="00586E81" w:rsidRDefault="27738C58" w:rsidP="19BB4B8A">
            <w:pPr>
              <w:numPr>
                <w:ilvl w:val="1"/>
                <w:numId w:val="44"/>
              </w:numPr>
              <w:spacing w:line="256" w:lineRule="auto"/>
              <w:ind w:left="591"/>
              <w:contextualSpacing/>
              <w:jc w:val="both"/>
              <w:rPr>
                <w:rFonts w:eastAsia="Times New Roman" w:cs="Times New Roman"/>
              </w:rPr>
            </w:pPr>
            <w:r w:rsidRPr="19BB4B8A">
              <w:rPr>
                <w:rFonts w:eastAsia="MS Mincho" w:cs="Times New Roman"/>
                <w:strike/>
                <w:color w:val="0070C0"/>
                <w:kern w:val="24"/>
                <w:lang w:val="en-GB"/>
              </w:rPr>
              <w:t>Transmission/reception</w:t>
            </w:r>
            <w:r w:rsidRPr="19BB4B8A">
              <w:rPr>
                <w:rFonts w:eastAsia="MS Mincho" w:cs="Times New Roman"/>
                <w:color w:val="0070C0"/>
                <w:kern w:val="24"/>
                <w:lang w:val="en-GB"/>
              </w:rPr>
              <w:t xml:space="preserve"> Configuration </w:t>
            </w:r>
            <w:r w:rsidRPr="19BB4B8A">
              <w:rPr>
                <w:rFonts w:eastAsia="MS Mincho" w:cs="Times New Roman"/>
                <w:color w:val="124191"/>
                <w:kern w:val="24"/>
                <w:lang w:val="en-GB"/>
              </w:rPr>
              <w:t>of PSFCH in resources overlapping with LTE SL subframes is not permitted.</w:t>
            </w:r>
          </w:p>
          <w:p w14:paraId="00A184B3" w14:textId="77777777" w:rsidR="00586E81" w:rsidRPr="00586E81" w:rsidRDefault="27738C58" w:rsidP="19BB4B8A">
            <w:pPr>
              <w:numPr>
                <w:ilvl w:val="2"/>
                <w:numId w:val="44"/>
              </w:numPr>
              <w:spacing w:line="256" w:lineRule="auto"/>
              <w:ind w:left="1016"/>
              <w:contextualSpacing/>
              <w:jc w:val="both"/>
              <w:rPr>
                <w:rFonts w:eastAsia="Times New Roman" w:cs="Times New Roman"/>
              </w:rPr>
            </w:pPr>
            <w:r w:rsidRPr="19BB4B8A">
              <w:rPr>
                <w:rFonts w:eastAsia="MS Mincho" w:cs="Times New Roman"/>
                <w:strike/>
                <w:color w:val="FF0000"/>
                <w:kern w:val="24"/>
                <w:lang w:val="en-GB"/>
              </w:rPr>
              <w:t>FFS other solutions to overcome the AGC issues caused due to PSFCH being configured in NR SL resource pools.</w:t>
            </w:r>
          </w:p>
          <w:p w14:paraId="4F6C6FAF" w14:textId="77777777" w:rsidR="00586E81" w:rsidRPr="00586E81" w:rsidRDefault="27738C58" w:rsidP="19BB4B8A">
            <w:pPr>
              <w:numPr>
                <w:ilvl w:val="1"/>
                <w:numId w:val="44"/>
              </w:numPr>
              <w:spacing w:line="256" w:lineRule="auto"/>
              <w:ind w:left="591"/>
              <w:contextualSpacing/>
              <w:jc w:val="both"/>
              <w:rPr>
                <w:rFonts w:eastAsia="Times New Roman" w:cs="Times New Roman"/>
              </w:rPr>
            </w:pPr>
            <w:r w:rsidRPr="19BB4B8A">
              <w:rPr>
                <w:rFonts w:eastAsia="MS Mincho" w:cs="Times New Roman"/>
                <w:color w:val="124191"/>
                <w:kern w:val="24"/>
                <w:lang w:val="en-GB"/>
              </w:rPr>
              <w:t xml:space="preserve">FFS </w:t>
            </w:r>
            <w:r w:rsidRPr="19BB4B8A">
              <w:rPr>
                <w:rFonts w:eastAsia="MS Mincho" w:cs="Times New Roman"/>
                <w:strike/>
                <w:color w:val="FF0000"/>
                <w:kern w:val="24"/>
                <w:lang w:val="en-GB"/>
              </w:rPr>
              <w:t>other constraints</w:t>
            </w:r>
            <w:r w:rsidRPr="19BB4B8A">
              <w:rPr>
                <w:rFonts w:eastAsia="MS Mincho" w:cs="Times New Roman"/>
                <w:color w:val="124191"/>
                <w:kern w:val="24"/>
                <w:lang w:val="en-GB"/>
              </w:rPr>
              <w:t xml:space="preserve"> </w:t>
            </w:r>
            <w:r w:rsidRPr="19BB4B8A">
              <w:rPr>
                <w:rFonts w:eastAsia="MS Mincho" w:cs="Times New Roman"/>
                <w:color w:val="0070C0"/>
                <w:kern w:val="24"/>
                <w:lang w:val="en-GB"/>
              </w:rPr>
              <w:t>whether a</w:t>
            </w:r>
            <w:r w:rsidRPr="19BB4B8A">
              <w:rPr>
                <w:rFonts w:eastAsia="MS Mincho" w:cs="Times New Roman"/>
                <w:color w:val="124191"/>
                <w:kern w:val="24"/>
                <w:lang w:val="en-GB"/>
              </w:rPr>
              <w:t xml:space="preserve"> </w:t>
            </w:r>
            <w:r w:rsidRPr="19BB4B8A">
              <w:rPr>
                <w:rFonts w:eastAsia="MS Mincho" w:cs="Times New Roman"/>
                <w:color w:val="FF0000"/>
                <w:kern w:val="24"/>
                <w:lang w:val="en-GB"/>
              </w:rPr>
              <w:t xml:space="preserve">guard band </w:t>
            </w:r>
            <w:r w:rsidRPr="19BB4B8A">
              <w:rPr>
                <w:rFonts w:eastAsia="MS Mincho" w:cs="Times New Roman"/>
                <w:color w:val="0070C0"/>
                <w:kern w:val="24"/>
                <w:lang w:val="en-GB"/>
              </w:rPr>
              <w:t>is required</w:t>
            </w:r>
            <w:r w:rsidRPr="19BB4B8A">
              <w:rPr>
                <w:rFonts w:eastAsia="MS Mincho" w:cs="Times New Roman"/>
                <w:strike/>
                <w:color w:val="FF0000"/>
                <w:kern w:val="24"/>
                <w:lang w:val="en-GB"/>
              </w:rPr>
              <w:t xml:space="preserve"> requirement</w:t>
            </w:r>
            <w:r w:rsidRPr="19BB4B8A">
              <w:rPr>
                <w:rFonts w:eastAsia="MS Mincho" w:cs="Times New Roman"/>
                <w:color w:val="124191"/>
                <w:kern w:val="24"/>
                <w:lang w:val="en-GB"/>
              </w:rPr>
              <w:t>.</w:t>
            </w:r>
          </w:p>
          <w:p w14:paraId="1A2501AA" w14:textId="463C9BE1" w:rsidR="00586E81" w:rsidRPr="00BE4F19" w:rsidRDefault="27738C58" w:rsidP="19BB4B8A">
            <w:pPr>
              <w:numPr>
                <w:ilvl w:val="1"/>
                <w:numId w:val="44"/>
              </w:numPr>
              <w:spacing w:line="256" w:lineRule="auto"/>
              <w:ind w:left="591"/>
              <w:contextualSpacing/>
              <w:jc w:val="both"/>
              <w:rPr>
                <w:rFonts w:eastAsia="Times New Roman" w:cs="Times New Roman"/>
              </w:rPr>
            </w:pPr>
            <w:r w:rsidRPr="19BB4B8A">
              <w:rPr>
                <w:rFonts w:eastAsia="MS Mincho" w:cs="Times New Roman"/>
                <w:color w:val="FF0000"/>
                <w:kern w:val="24"/>
                <w:lang w:val="en-GB"/>
              </w:rPr>
              <w:t xml:space="preserve">Note: The LTE and NR resource pools do not overlap </w:t>
            </w:r>
            <w:r w:rsidRPr="19BB4B8A">
              <w:rPr>
                <w:rFonts w:eastAsia="MS Mincho" w:cs="Times New Roman"/>
                <w:color w:val="0070C0"/>
                <w:kern w:val="24"/>
                <w:lang w:val="en-GB"/>
              </w:rPr>
              <w:t>in frequency with</w:t>
            </w:r>
            <w:r w:rsidRPr="19BB4B8A">
              <w:rPr>
                <w:rFonts w:eastAsia="MS Mincho" w:cs="Times New Roman"/>
                <w:color w:val="FF0000"/>
                <w:kern w:val="24"/>
                <w:lang w:val="en-GB"/>
              </w:rPr>
              <w:t xml:space="preserve"> each other in the FDM-based semi-static resource pool partitioning.</w:t>
            </w:r>
          </w:p>
        </w:tc>
      </w:tr>
    </w:tbl>
    <w:p w14:paraId="1D57E22D" w14:textId="77777777" w:rsidR="00F627F8" w:rsidRDefault="00F627F8" w:rsidP="00300956"/>
    <w:p w14:paraId="3795D08A" w14:textId="789ABDB3" w:rsidR="00C377D2" w:rsidRPr="00486893" w:rsidRDefault="20CEB3E0" w:rsidP="19BB4B8A">
      <w:pPr>
        <w:pStyle w:val="RAN4proposal"/>
        <w:rPr>
          <w:b w:val="0"/>
        </w:rPr>
      </w:pPr>
      <w:bookmarkStart w:id="10" w:name="_Toc127540572"/>
      <w:bookmarkStart w:id="11" w:name="_Toc127524097"/>
      <w:r>
        <w:t>RAN4 awaits RAN1</w:t>
      </w:r>
      <w:r w:rsidR="15CA7EBA">
        <w:t xml:space="preserve"> conclusions on semi-static </w:t>
      </w:r>
      <w:r w:rsidR="68C413D6">
        <w:t xml:space="preserve">LTE and NR </w:t>
      </w:r>
      <w:r w:rsidR="15CA7EBA">
        <w:t>co-channel co-existence solutions.</w:t>
      </w:r>
      <w:bookmarkEnd w:id="10"/>
      <w:bookmarkEnd w:id="11"/>
    </w:p>
    <w:p w14:paraId="71A05C4A" w14:textId="7B80D157" w:rsidR="00AB458F" w:rsidRPr="00263562" w:rsidRDefault="0B84AC8A" w:rsidP="00300956">
      <w:pPr>
        <w:rPr>
          <w:b/>
          <w:bCs/>
          <w:u w:val="single"/>
        </w:rPr>
      </w:pPr>
      <w:r w:rsidRPr="19BB4B8A">
        <w:rPr>
          <w:b/>
          <w:bCs/>
          <w:u w:val="single"/>
        </w:rPr>
        <w:t>In-device co-existence (IDC)</w:t>
      </w:r>
    </w:p>
    <w:p w14:paraId="07FD14DD" w14:textId="19FD8DAF" w:rsidR="00263562" w:rsidRDefault="3DC4D849" w:rsidP="00263562">
      <w:r>
        <w:t xml:space="preserve">The objective on co-channel coexistence builds on top of the existing in-device coexistence (IDC) framework, and it is assumed that a Type A device will still utilize this framework. </w:t>
      </w:r>
      <w:r w:rsidR="3E471859">
        <w:t xml:space="preserve">The IDC framework provides a mechanism to resolve RX and TX event conflicts in a single device. It has been </w:t>
      </w:r>
      <w:r w:rsidR="2323C01A">
        <w:t xml:space="preserve">raised by some companies in </w:t>
      </w:r>
      <w:r w:rsidR="3E471859">
        <w:t xml:space="preserve">RAN1 </w:t>
      </w:r>
      <w:r w:rsidR="2323C01A">
        <w:t xml:space="preserve">that </w:t>
      </w:r>
      <w:r w:rsidR="3E471859">
        <w:t xml:space="preserve">enhancements are needed for the IDC </w:t>
      </w:r>
      <w:r w:rsidR="4B845D75">
        <w:t>framework but</w:t>
      </w:r>
      <w:r w:rsidR="2323C01A">
        <w:t xml:space="preserve"> </w:t>
      </w:r>
      <w:r w:rsidR="68C413D6">
        <w:t>has not been discussed yet. It is our view that no enhancements are needed for the IDC framework to support Type A devices.</w:t>
      </w:r>
    </w:p>
    <w:p w14:paraId="40145174" w14:textId="7C6DEB21" w:rsidR="0060543D" w:rsidRDefault="68C413D6" w:rsidP="19BB4B8A">
      <w:pPr>
        <w:pStyle w:val="RAN4proposal"/>
      </w:pPr>
      <w:bookmarkStart w:id="12" w:name="_Toc116981541"/>
      <w:bookmarkStart w:id="13" w:name="_Toc116982824"/>
      <w:bookmarkStart w:id="14" w:name="_Toc116982859"/>
      <w:bookmarkStart w:id="15" w:name="_Toc116982882"/>
      <w:bookmarkStart w:id="16" w:name="_Toc116994710"/>
      <w:bookmarkStart w:id="17" w:name="_Toc116994823"/>
      <w:bookmarkStart w:id="18" w:name="_Toc116994895"/>
      <w:bookmarkStart w:id="19" w:name="_Toc116994909"/>
      <w:bookmarkStart w:id="20" w:name="_Toc116995098"/>
      <w:bookmarkStart w:id="21" w:name="_Toc116995141"/>
      <w:bookmarkStart w:id="22" w:name="_Toc116995897"/>
      <w:bookmarkStart w:id="23" w:name="_Toc116995923"/>
      <w:bookmarkStart w:id="24" w:name="_Toc116995943"/>
      <w:bookmarkStart w:id="25" w:name="_Toc116996063"/>
      <w:bookmarkStart w:id="26" w:name="_Toc116996084"/>
      <w:bookmarkStart w:id="27" w:name="_Toc116996089"/>
      <w:bookmarkStart w:id="28" w:name="_Toc116996131"/>
      <w:bookmarkStart w:id="29" w:name="_Toc116996431"/>
      <w:bookmarkStart w:id="30" w:name="_Toc116996752"/>
      <w:bookmarkStart w:id="31" w:name="_Toc116997065"/>
      <w:bookmarkStart w:id="32" w:name="_Toc116994711"/>
      <w:bookmarkStart w:id="33" w:name="_Toc116994824"/>
      <w:bookmarkStart w:id="34" w:name="_Toc116994896"/>
      <w:bookmarkStart w:id="35" w:name="_Toc116994910"/>
      <w:bookmarkStart w:id="36" w:name="_Toc116995099"/>
      <w:bookmarkStart w:id="37" w:name="_Toc116995142"/>
      <w:bookmarkStart w:id="38" w:name="_Toc116995898"/>
      <w:bookmarkStart w:id="39" w:name="_Toc116995944"/>
      <w:bookmarkStart w:id="40" w:name="_Toc116996073"/>
      <w:bookmarkStart w:id="41" w:name="_Toc116996132"/>
      <w:bookmarkStart w:id="42" w:name="_Toc116996432"/>
      <w:bookmarkStart w:id="43" w:name="_Toc116996753"/>
      <w:bookmarkStart w:id="44" w:name="_Toc116997066"/>
      <w:bookmarkStart w:id="45" w:name="_Toc116981540"/>
      <w:bookmarkStart w:id="46" w:name="_Toc116982823"/>
      <w:bookmarkStart w:id="47" w:name="_Toc116982858"/>
      <w:bookmarkStart w:id="48" w:name="_Toc116982881"/>
      <w:bookmarkStart w:id="49" w:name="_Toc116994712"/>
      <w:bookmarkStart w:id="50" w:name="_Toc116994825"/>
      <w:bookmarkStart w:id="51" w:name="_Toc116994897"/>
      <w:bookmarkStart w:id="52" w:name="_Toc116994911"/>
      <w:bookmarkStart w:id="53" w:name="_Toc116995100"/>
      <w:bookmarkStart w:id="54" w:name="_Toc116995143"/>
      <w:bookmarkStart w:id="55" w:name="_Toc116995899"/>
      <w:bookmarkStart w:id="56" w:name="_Toc116995924"/>
      <w:bookmarkStart w:id="57" w:name="_Toc116995945"/>
      <w:bookmarkStart w:id="58" w:name="_Toc116996064"/>
      <w:bookmarkStart w:id="59" w:name="_Toc116996085"/>
      <w:bookmarkStart w:id="60" w:name="_Toc116996090"/>
      <w:bookmarkStart w:id="61" w:name="_Toc116996133"/>
      <w:bookmarkStart w:id="62" w:name="_Toc116996433"/>
      <w:bookmarkStart w:id="63" w:name="_Toc116996754"/>
      <w:bookmarkStart w:id="64" w:name="_Toc116997067"/>
      <w:bookmarkStart w:id="65" w:name="_Toc127540573"/>
      <w:bookmarkStart w:id="66" w:name="_Toc12752409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RAN4 awaits RAN1 on potential IDC enhancements. No enhancements for the IDC framework from Rel-16 seems to be needed to support Type A devices for LTE and NR co-channel coexistence.</w:t>
      </w:r>
      <w:bookmarkEnd w:id="65"/>
      <w:bookmarkEnd w:id="66"/>
    </w:p>
    <w:p w14:paraId="76E631A9" w14:textId="77777777" w:rsidR="0060543D" w:rsidRPr="0060543D" w:rsidRDefault="0060543D" w:rsidP="0060543D"/>
    <w:p w14:paraId="16CA844C" w14:textId="36C6F986" w:rsidR="00CD7492" w:rsidRPr="00EF698B" w:rsidRDefault="47ED4BB2" w:rsidP="00A37002">
      <w:pPr>
        <w:pStyle w:val="RAN4H1"/>
        <w:rPr>
          <w:lang w:val="en-US"/>
        </w:rPr>
      </w:pPr>
      <w:bookmarkStart w:id="67" w:name="_Toc116995848"/>
      <w:r w:rsidRPr="19BB4B8A">
        <w:rPr>
          <w:lang w:val="en-US"/>
        </w:rPr>
        <w:lastRenderedPageBreak/>
        <w:t>Conclusion</w:t>
      </w:r>
      <w:bookmarkEnd w:id="67"/>
    </w:p>
    <w:p w14:paraId="122DFA6C" w14:textId="523E5F7F" w:rsidR="00E55751" w:rsidRPr="00592A86" w:rsidRDefault="29604588" w:rsidP="19BB4B8A">
      <w:r>
        <w:t xml:space="preserve">In the </w:t>
      </w:r>
      <w:r w:rsidR="565F9107">
        <w:t>document</w:t>
      </w:r>
      <w:r>
        <w:t>, t</w:t>
      </w:r>
      <w:r w:rsidR="4DE2C387">
        <w:t xml:space="preserve">he following </w:t>
      </w:r>
      <w:r w:rsidR="565F9107">
        <w:t>p</w:t>
      </w:r>
      <w:r w:rsidR="4DE2C387">
        <w:t>roposals were made:</w:t>
      </w:r>
    </w:p>
    <w:p w14:paraId="2847A42D" w14:textId="659B17FA" w:rsidR="00077A69" w:rsidRDefault="00A4355E">
      <w:pPr>
        <w:pStyle w:val="TOC5"/>
        <w:tabs>
          <w:tab w:val="right" w:leader="dot" w:pos="9617"/>
        </w:tabs>
        <w:rPr>
          <w:rFonts w:asciiTheme="minorHAnsi" w:eastAsiaTheme="minorEastAsia" w:hAnsiTheme="minorHAnsi"/>
          <w:b w:val="0"/>
          <w:noProof/>
          <w:sz w:val="22"/>
          <w:lang w:val="en-IN" w:eastAsia="en-IN"/>
        </w:rPr>
      </w:pPr>
      <w:r w:rsidRPr="19BB4B8A">
        <w:rPr>
          <w:i/>
          <w:iCs/>
          <w:noProof/>
          <w:u w:val="single"/>
        </w:rPr>
        <w:fldChar w:fldCharType="begin"/>
      </w:r>
      <w:r>
        <w:rPr>
          <w:i/>
          <w:iCs/>
          <w:noProof/>
          <w:u w:val="single"/>
        </w:rPr>
        <w:instrText xml:space="preserve"> TOC \n \h \z \t "RAN4 proposal,5,RAN4 observation,4" </w:instrText>
      </w:r>
      <w:r w:rsidRPr="19BB4B8A">
        <w:rPr>
          <w:i/>
          <w:iCs/>
          <w:noProof/>
          <w:u w:val="single"/>
        </w:rPr>
        <w:fldChar w:fldCharType="separate"/>
      </w:r>
      <w:hyperlink w:anchor="_Toc127540570" w:history="1">
        <w:r w:rsidR="00077A69" w:rsidRPr="00B6018A">
          <w:rPr>
            <w:rStyle w:val="Hyperlink"/>
            <w:noProof/>
          </w:rPr>
          <w:t>Proposal 1: RAN4 awaits RAN1 outcome for solutions to support higher numerology and PSFCH for dynamic co-channel coexistence for LTE-NR co-channel coexistence.</w:t>
        </w:r>
      </w:hyperlink>
    </w:p>
    <w:p w14:paraId="5F722225" w14:textId="67BC19A5" w:rsidR="00077A69" w:rsidRDefault="00077A69">
      <w:pPr>
        <w:pStyle w:val="TOC5"/>
        <w:tabs>
          <w:tab w:val="right" w:leader="dot" w:pos="9617"/>
        </w:tabs>
        <w:rPr>
          <w:rFonts w:asciiTheme="minorHAnsi" w:eastAsiaTheme="minorEastAsia" w:hAnsiTheme="minorHAnsi"/>
          <w:b w:val="0"/>
          <w:noProof/>
          <w:sz w:val="22"/>
          <w:lang w:val="en-IN" w:eastAsia="en-IN"/>
        </w:rPr>
      </w:pPr>
      <w:hyperlink w:anchor="_Toc127540571" w:history="1">
        <w:r w:rsidRPr="00B6018A">
          <w:rPr>
            <w:rStyle w:val="Hyperlink"/>
            <w:noProof/>
          </w:rPr>
          <w:t>Proposal 2: RAN4 awaits RAN1 outcome for solutions for synchronization between LTE and NR for co-channel coexistence.</w:t>
        </w:r>
      </w:hyperlink>
    </w:p>
    <w:p w14:paraId="3894D071" w14:textId="081D6069" w:rsidR="00077A69" w:rsidRDefault="00077A69">
      <w:pPr>
        <w:pStyle w:val="TOC5"/>
        <w:tabs>
          <w:tab w:val="right" w:leader="dot" w:pos="9617"/>
        </w:tabs>
        <w:rPr>
          <w:rFonts w:asciiTheme="minorHAnsi" w:eastAsiaTheme="minorEastAsia" w:hAnsiTheme="minorHAnsi"/>
          <w:b w:val="0"/>
          <w:noProof/>
          <w:sz w:val="22"/>
          <w:lang w:val="en-IN" w:eastAsia="en-IN"/>
        </w:rPr>
      </w:pPr>
      <w:hyperlink w:anchor="_Toc127540572" w:history="1">
        <w:r w:rsidRPr="00B6018A">
          <w:rPr>
            <w:rStyle w:val="Hyperlink"/>
            <w:noProof/>
          </w:rPr>
          <w:t>Proposal 3: RAN4 awaits RAN1 conclusions on semi-static LTE and NR co-channel co-existence solutions.</w:t>
        </w:r>
      </w:hyperlink>
    </w:p>
    <w:p w14:paraId="400D4136" w14:textId="5EE5B5C6" w:rsidR="00077A69" w:rsidRDefault="00077A69">
      <w:pPr>
        <w:pStyle w:val="TOC5"/>
        <w:tabs>
          <w:tab w:val="right" w:leader="dot" w:pos="9617"/>
        </w:tabs>
        <w:rPr>
          <w:rFonts w:asciiTheme="minorHAnsi" w:eastAsiaTheme="minorEastAsia" w:hAnsiTheme="minorHAnsi"/>
          <w:b w:val="0"/>
          <w:noProof/>
          <w:sz w:val="22"/>
          <w:lang w:val="en-IN" w:eastAsia="en-IN"/>
        </w:rPr>
      </w:pPr>
      <w:hyperlink w:anchor="_Toc127540573" w:history="1">
        <w:r w:rsidRPr="00B6018A">
          <w:rPr>
            <w:rStyle w:val="Hyperlink"/>
            <w:noProof/>
          </w:rPr>
          <w:t>Proposal 4: RAN4 awaits RAN1 on potential IDC enhancements. No enhancements for the IDC framework from Rel-16 seems to be needed to support Type A devices for LTE and NR co-channel coexistence.</w:t>
        </w:r>
      </w:hyperlink>
    </w:p>
    <w:p w14:paraId="6E61D21D" w14:textId="5A3A9838" w:rsidR="003B659E" w:rsidRPr="0060543D" w:rsidRDefault="00A4355E" w:rsidP="0060543D">
      <w:pPr>
        <w:pStyle w:val="RAN4H1"/>
        <w:numPr>
          <w:ilvl w:val="0"/>
          <w:numId w:val="0"/>
        </w:numPr>
        <w:ind w:left="360" w:hanging="360"/>
      </w:pPr>
      <w:r w:rsidRPr="19BB4B8A">
        <w:rPr>
          <w:noProof/>
        </w:rPr>
        <w:fldChar w:fldCharType="end"/>
      </w:r>
      <w:bookmarkStart w:id="68" w:name="_Toc116995849"/>
      <w:r w:rsidR="02546559">
        <w:t>References</w:t>
      </w:r>
      <w:bookmarkEnd w:id="68"/>
    </w:p>
    <w:p w14:paraId="3C4BCB37" w14:textId="66BF49B3" w:rsidR="434CDA48" w:rsidRDefault="434CDA48" w:rsidP="19BB4B8A">
      <w:pPr>
        <w:pStyle w:val="ListParagraph"/>
        <w:numPr>
          <w:ilvl w:val="0"/>
          <w:numId w:val="24"/>
        </w:numPr>
        <w:ind w:right="-22"/>
        <w:rPr>
          <w:rFonts w:eastAsia="Times New Roman" w:cs="Times New Roman"/>
          <w:color w:val="000000" w:themeColor="text1"/>
          <w:szCs w:val="20"/>
        </w:rPr>
      </w:pPr>
      <w:bookmarkStart w:id="69" w:name="_Hlk127524187"/>
      <w:r w:rsidRPr="19BB4B8A">
        <w:rPr>
          <w:rFonts w:eastAsia="Times New Roman" w:cs="Times New Roman"/>
          <w:color w:val="000000" w:themeColor="text1"/>
          <w:szCs w:val="20"/>
          <w:lang w:val="en-GB"/>
        </w:rPr>
        <w:t>RP-222806, WID on NR sidelink evolution, 3GPP TSG RAN#98-e.</w:t>
      </w:r>
    </w:p>
    <w:p w14:paraId="25CB0665" w14:textId="0ADFE3BC" w:rsidR="434CDA48" w:rsidRDefault="434CDA48" w:rsidP="19BB4B8A">
      <w:pPr>
        <w:pStyle w:val="ListParagraph"/>
        <w:numPr>
          <w:ilvl w:val="0"/>
          <w:numId w:val="24"/>
        </w:numPr>
        <w:ind w:right="-22"/>
        <w:jc w:val="both"/>
        <w:rPr>
          <w:rFonts w:eastAsia="Times New Roman" w:cs="Times New Roman"/>
          <w:color w:val="000000" w:themeColor="text1"/>
          <w:szCs w:val="20"/>
        </w:rPr>
      </w:pPr>
      <w:r w:rsidRPr="19BB4B8A">
        <w:rPr>
          <w:rFonts w:eastAsia="Times New Roman" w:cs="Times New Roman"/>
          <w:color w:val="000000" w:themeColor="text1"/>
          <w:szCs w:val="20"/>
          <w:lang w:val="en-GB"/>
        </w:rPr>
        <w:t>3GPP TS-38.133, “Requirements for support of radio resource management (Release 17)”</w:t>
      </w:r>
    </w:p>
    <w:p w14:paraId="2379D0E4" w14:textId="036B8E41" w:rsidR="000040DC" w:rsidRDefault="000040DC" w:rsidP="19BB4B8A">
      <w:pPr>
        <w:ind w:right="-22"/>
        <w:rPr>
          <w:highlight w:val="yellow"/>
        </w:rPr>
      </w:pPr>
      <w:bookmarkStart w:id="70" w:name="_Ref114500673"/>
      <w:bookmarkEnd w:id="69"/>
      <w:bookmarkEnd w:id="70"/>
    </w:p>
    <w:p w14:paraId="51E21E66" w14:textId="6AB520DE" w:rsidR="0060543D" w:rsidRDefault="0060543D" w:rsidP="000040DC">
      <w:pPr>
        <w:ind w:right="-22"/>
        <w:rPr>
          <w:highlight w:val="yellow"/>
        </w:rPr>
      </w:pPr>
    </w:p>
    <w:p w14:paraId="247B1A3A"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FE0DA" w14:textId="77777777" w:rsidR="00A14876" w:rsidRDefault="00A14876" w:rsidP="00001C9B">
      <w:pPr>
        <w:spacing w:after="0" w:line="240" w:lineRule="auto"/>
      </w:pPr>
      <w:r>
        <w:separator/>
      </w:r>
    </w:p>
  </w:endnote>
  <w:endnote w:type="continuationSeparator" w:id="0">
    <w:p w14:paraId="7DD2A45C" w14:textId="77777777" w:rsidR="00A14876" w:rsidRDefault="00A14876" w:rsidP="00001C9B">
      <w:pPr>
        <w:spacing w:after="0" w:line="240" w:lineRule="auto"/>
      </w:pPr>
      <w:r>
        <w:continuationSeparator/>
      </w:r>
    </w:p>
  </w:endnote>
  <w:endnote w:type="continuationNotice" w:id="1">
    <w:p w14:paraId="18014B4E" w14:textId="77777777" w:rsidR="00A14876" w:rsidRDefault="00A148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n-c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07230" w14:textId="77777777" w:rsidR="00A14876" w:rsidRDefault="00A14876" w:rsidP="00001C9B">
      <w:pPr>
        <w:spacing w:after="0" w:line="240" w:lineRule="auto"/>
      </w:pPr>
      <w:r>
        <w:separator/>
      </w:r>
    </w:p>
  </w:footnote>
  <w:footnote w:type="continuationSeparator" w:id="0">
    <w:p w14:paraId="040B0714" w14:textId="77777777" w:rsidR="00A14876" w:rsidRDefault="00A14876" w:rsidP="00001C9B">
      <w:pPr>
        <w:spacing w:after="0" w:line="240" w:lineRule="auto"/>
      </w:pPr>
      <w:r>
        <w:continuationSeparator/>
      </w:r>
    </w:p>
  </w:footnote>
  <w:footnote w:type="continuationNotice" w:id="1">
    <w:p w14:paraId="4F4A5D1C" w14:textId="77777777" w:rsidR="00A14876" w:rsidRDefault="00A148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04F9B4"/>
    <w:multiLevelType w:val="hybridMultilevel"/>
    <w:tmpl w:val="898E8A98"/>
    <w:lvl w:ilvl="0" w:tplc="8C643C54">
      <w:start w:val="1"/>
      <w:numFmt w:val="decimal"/>
      <w:lvlText w:val="[%1]"/>
      <w:lvlJc w:val="left"/>
      <w:pPr>
        <w:ind w:left="720" w:hanging="360"/>
      </w:pPr>
      <w:rPr>
        <w:rFonts w:ascii="Calibri" w:hAnsi="Calibri" w:hint="default"/>
      </w:rPr>
    </w:lvl>
    <w:lvl w:ilvl="1" w:tplc="EBD29512">
      <w:start w:val="1"/>
      <w:numFmt w:val="lowerLetter"/>
      <w:lvlText w:val="%2."/>
      <w:lvlJc w:val="left"/>
      <w:pPr>
        <w:ind w:left="1440" w:hanging="360"/>
      </w:pPr>
    </w:lvl>
    <w:lvl w:ilvl="2" w:tplc="36907AF8">
      <w:start w:val="1"/>
      <w:numFmt w:val="lowerRoman"/>
      <w:lvlText w:val="%3."/>
      <w:lvlJc w:val="right"/>
      <w:pPr>
        <w:ind w:left="2160" w:hanging="180"/>
      </w:pPr>
    </w:lvl>
    <w:lvl w:ilvl="3" w:tplc="0FF8F112">
      <w:start w:val="1"/>
      <w:numFmt w:val="decimal"/>
      <w:lvlText w:val="%4."/>
      <w:lvlJc w:val="left"/>
      <w:pPr>
        <w:ind w:left="2880" w:hanging="360"/>
      </w:pPr>
    </w:lvl>
    <w:lvl w:ilvl="4" w:tplc="C7A482EC">
      <w:start w:val="1"/>
      <w:numFmt w:val="lowerLetter"/>
      <w:lvlText w:val="%5."/>
      <w:lvlJc w:val="left"/>
      <w:pPr>
        <w:ind w:left="3600" w:hanging="360"/>
      </w:pPr>
    </w:lvl>
    <w:lvl w:ilvl="5" w:tplc="212C0230">
      <w:start w:val="1"/>
      <w:numFmt w:val="lowerRoman"/>
      <w:lvlText w:val="%6."/>
      <w:lvlJc w:val="right"/>
      <w:pPr>
        <w:ind w:left="4320" w:hanging="180"/>
      </w:pPr>
    </w:lvl>
    <w:lvl w:ilvl="6" w:tplc="3908623C">
      <w:start w:val="1"/>
      <w:numFmt w:val="decimal"/>
      <w:lvlText w:val="%7."/>
      <w:lvlJc w:val="left"/>
      <w:pPr>
        <w:ind w:left="5040" w:hanging="360"/>
      </w:pPr>
    </w:lvl>
    <w:lvl w:ilvl="7" w:tplc="11CC42F0">
      <w:start w:val="1"/>
      <w:numFmt w:val="lowerLetter"/>
      <w:lvlText w:val="%8."/>
      <w:lvlJc w:val="left"/>
      <w:pPr>
        <w:ind w:left="5760" w:hanging="360"/>
      </w:pPr>
    </w:lvl>
    <w:lvl w:ilvl="8" w:tplc="818A31D4">
      <w:start w:val="1"/>
      <w:numFmt w:val="lowerRoman"/>
      <w:lvlText w:val="%9."/>
      <w:lvlJc w:val="right"/>
      <w:pPr>
        <w:ind w:left="6480" w:hanging="18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0B66F5"/>
    <w:multiLevelType w:val="hybridMultilevel"/>
    <w:tmpl w:val="64BCECE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13A09"/>
    <w:multiLevelType w:val="hybridMultilevel"/>
    <w:tmpl w:val="7BB8C460"/>
    <w:lvl w:ilvl="0" w:tplc="6CFEAD0E">
      <w:start w:val="7"/>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B75FE"/>
    <w:multiLevelType w:val="hybridMultilevel"/>
    <w:tmpl w:val="A3AEDAC8"/>
    <w:lvl w:ilvl="0" w:tplc="B6987402">
      <w:start w:val="1"/>
      <w:numFmt w:val="bullet"/>
      <w:lvlText w:val=""/>
      <w:lvlJc w:val="left"/>
      <w:pPr>
        <w:tabs>
          <w:tab w:val="num" w:pos="720"/>
        </w:tabs>
        <w:ind w:left="720" w:hanging="360"/>
      </w:pPr>
      <w:rPr>
        <w:rFonts w:ascii="Symbol" w:hAnsi="Symbol" w:hint="default"/>
      </w:rPr>
    </w:lvl>
    <w:lvl w:ilvl="1" w:tplc="05669BD6">
      <w:numFmt w:val="bullet"/>
      <w:lvlText w:val="o"/>
      <w:lvlJc w:val="left"/>
      <w:pPr>
        <w:tabs>
          <w:tab w:val="num" w:pos="1440"/>
        </w:tabs>
        <w:ind w:left="1440" w:hanging="360"/>
      </w:pPr>
      <w:rPr>
        <w:rFonts w:ascii="Courier New" w:hAnsi="Courier New" w:hint="default"/>
      </w:rPr>
    </w:lvl>
    <w:lvl w:ilvl="2" w:tplc="FF54D304">
      <w:numFmt w:val="bullet"/>
      <w:lvlText w:val=""/>
      <w:lvlJc w:val="left"/>
      <w:pPr>
        <w:tabs>
          <w:tab w:val="num" w:pos="2160"/>
        </w:tabs>
        <w:ind w:left="2160" w:hanging="360"/>
      </w:pPr>
      <w:rPr>
        <w:rFonts w:ascii="Wingdings" w:hAnsi="Wingdings" w:hint="default"/>
      </w:rPr>
    </w:lvl>
    <w:lvl w:ilvl="3" w:tplc="E070D33E" w:tentative="1">
      <w:start w:val="1"/>
      <w:numFmt w:val="bullet"/>
      <w:lvlText w:val=""/>
      <w:lvlJc w:val="left"/>
      <w:pPr>
        <w:tabs>
          <w:tab w:val="num" w:pos="2880"/>
        </w:tabs>
        <w:ind w:left="2880" w:hanging="360"/>
      </w:pPr>
      <w:rPr>
        <w:rFonts w:ascii="Symbol" w:hAnsi="Symbol" w:hint="default"/>
      </w:rPr>
    </w:lvl>
    <w:lvl w:ilvl="4" w:tplc="A0BA7530" w:tentative="1">
      <w:start w:val="1"/>
      <w:numFmt w:val="bullet"/>
      <w:lvlText w:val=""/>
      <w:lvlJc w:val="left"/>
      <w:pPr>
        <w:tabs>
          <w:tab w:val="num" w:pos="3600"/>
        </w:tabs>
        <w:ind w:left="3600" w:hanging="360"/>
      </w:pPr>
      <w:rPr>
        <w:rFonts w:ascii="Symbol" w:hAnsi="Symbol" w:hint="default"/>
      </w:rPr>
    </w:lvl>
    <w:lvl w:ilvl="5" w:tplc="379A7468" w:tentative="1">
      <w:start w:val="1"/>
      <w:numFmt w:val="bullet"/>
      <w:lvlText w:val=""/>
      <w:lvlJc w:val="left"/>
      <w:pPr>
        <w:tabs>
          <w:tab w:val="num" w:pos="4320"/>
        </w:tabs>
        <w:ind w:left="4320" w:hanging="360"/>
      </w:pPr>
      <w:rPr>
        <w:rFonts w:ascii="Symbol" w:hAnsi="Symbol" w:hint="default"/>
      </w:rPr>
    </w:lvl>
    <w:lvl w:ilvl="6" w:tplc="277E564E" w:tentative="1">
      <w:start w:val="1"/>
      <w:numFmt w:val="bullet"/>
      <w:lvlText w:val=""/>
      <w:lvlJc w:val="left"/>
      <w:pPr>
        <w:tabs>
          <w:tab w:val="num" w:pos="5040"/>
        </w:tabs>
        <w:ind w:left="5040" w:hanging="360"/>
      </w:pPr>
      <w:rPr>
        <w:rFonts w:ascii="Symbol" w:hAnsi="Symbol" w:hint="default"/>
      </w:rPr>
    </w:lvl>
    <w:lvl w:ilvl="7" w:tplc="4DF2ACD6" w:tentative="1">
      <w:start w:val="1"/>
      <w:numFmt w:val="bullet"/>
      <w:lvlText w:val=""/>
      <w:lvlJc w:val="left"/>
      <w:pPr>
        <w:tabs>
          <w:tab w:val="num" w:pos="5760"/>
        </w:tabs>
        <w:ind w:left="5760" w:hanging="360"/>
      </w:pPr>
      <w:rPr>
        <w:rFonts w:ascii="Symbol" w:hAnsi="Symbol" w:hint="default"/>
      </w:rPr>
    </w:lvl>
    <w:lvl w:ilvl="8" w:tplc="04FA42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065486C"/>
    <w:multiLevelType w:val="hybridMultilevel"/>
    <w:tmpl w:val="4C42D17C"/>
    <w:lvl w:ilvl="0" w:tplc="1EAC26DC">
      <w:start w:val="1"/>
      <w:numFmt w:val="bullet"/>
      <w:lvlText w:val=""/>
      <w:lvlJc w:val="left"/>
      <w:pPr>
        <w:tabs>
          <w:tab w:val="num" w:pos="720"/>
        </w:tabs>
        <w:ind w:left="720" w:hanging="360"/>
      </w:pPr>
      <w:rPr>
        <w:rFonts w:ascii="Symbol" w:hAnsi="Symbol" w:hint="default"/>
      </w:rPr>
    </w:lvl>
    <w:lvl w:ilvl="1" w:tplc="1624CD20">
      <w:numFmt w:val="bullet"/>
      <w:lvlText w:val="o"/>
      <w:lvlJc w:val="left"/>
      <w:pPr>
        <w:tabs>
          <w:tab w:val="num" w:pos="1440"/>
        </w:tabs>
        <w:ind w:left="1440" w:hanging="360"/>
      </w:pPr>
      <w:rPr>
        <w:rFonts w:ascii="Courier New" w:hAnsi="Courier New" w:hint="default"/>
      </w:rPr>
    </w:lvl>
    <w:lvl w:ilvl="2" w:tplc="FC84F764">
      <w:numFmt w:val="bullet"/>
      <w:lvlText w:val=""/>
      <w:lvlJc w:val="left"/>
      <w:pPr>
        <w:tabs>
          <w:tab w:val="num" w:pos="2160"/>
        </w:tabs>
        <w:ind w:left="2160" w:hanging="360"/>
      </w:pPr>
      <w:rPr>
        <w:rFonts w:ascii="Wingdings" w:hAnsi="Wingdings" w:hint="default"/>
      </w:rPr>
    </w:lvl>
    <w:lvl w:ilvl="3" w:tplc="48F431E0" w:tentative="1">
      <w:start w:val="1"/>
      <w:numFmt w:val="bullet"/>
      <w:lvlText w:val=""/>
      <w:lvlJc w:val="left"/>
      <w:pPr>
        <w:tabs>
          <w:tab w:val="num" w:pos="2880"/>
        </w:tabs>
        <w:ind w:left="2880" w:hanging="360"/>
      </w:pPr>
      <w:rPr>
        <w:rFonts w:ascii="Symbol" w:hAnsi="Symbol" w:hint="default"/>
      </w:rPr>
    </w:lvl>
    <w:lvl w:ilvl="4" w:tplc="C00881A2" w:tentative="1">
      <w:start w:val="1"/>
      <w:numFmt w:val="bullet"/>
      <w:lvlText w:val=""/>
      <w:lvlJc w:val="left"/>
      <w:pPr>
        <w:tabs>
          <w:tab w:val="num" w:pos="3600"/>
        </w:tabs>
        <w:ind w:left="3600" w:hanging="360"/>
      </w:pPr>
      <w:rPr>
        <w:rFonts w:ascii="Symbol" w:hAnsi="Symbol" w:hint="default"/>
      </w:rPr>
    </w:lvl>
    <w:lvl w:ilvl="5" w:tplc="98E05FDE" w:tentative="1">
      <w:start w:val="1"/>
      <w:numFmt w:val="bullet"/>
      <w:lvlText w:val=""/>
      <w:lvlJc w:val="left"/>
      <w:pPr>
        <w:tabs>
          <w:tab w:val="num" w:pos="4320"/>
        </w:tabs>
        <w:ind w:left="4320" w:hanging="360"/>
      </w:pPr>
      <w:rPr>
        <w:rFonts w:ascii="Symbol" w:hAnsi="Symbol" w:hint="default"/>
      </w:rPr>
    </w:lvl>
    <w:lvl w:ilvl="6" w:tplc="2FDC734C" w:tentative="1">
      <w:start w:val="1"/>
      <w:numFmt w:val="bullet"/>
      <w:lvlText w:val=""/>
      <w:lvlJc w:val="left"/>
      <w:pPr>
        <w:tabs>
          <w:tab w:val="num" w:pos="5040"/>
        </w:tabs>
        <w:ind w:left="5040" w:hanging="360"/>
      </w:pPr>
      <w:rPr>
        <w:rFonts w:ascii="Symbol" w:hAnsi="Symbol" w:hint="default"/>
      </w:rPr>
    </w:lvl>
    <w:lvl w:ilvl="7" w:tplc="B3043506" w:tentative="1">
      <w:start w:val="1"/>
      <w:numFmt w:val="bullet"/>
      <w:lvlText w:val=""/>
      <w:lvlJc w:val="left"/>
      <w:pPr>
        <w:tabs>
          <w:tab w:val="num" w:pos="5760"/>
        </w:tabs>
        <w:ind w:left="5760" w:hanging="360"/>
      </w:pPr>
      <w:rPr>
        <w:rFonts w:ascii="Symbol" w:hAnsi="Symbol" w:hint="default"/>
      </w:rPr>
    </w:lvl>
    <w:lvl w:ilvl="8" w:tplc="AA2602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2941A0D"/>
    <w:multiLevelType w:val="multilevel"/>
    <w:tmpl w:val="1D128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BFA8F"/>
    <w:multiLevelType w:val="hybridMultilevel"/>
    <w:tmpl w:val="9210DD5C"/>
    <w:lvl w:ilvl="0" w:tplc="8CC8791E">
      <w:start w:val="2"/>
      <w:numFmt w:val="decimal"/>
      <w:lvlText w:val="[%1]"/>
      <w:lvlJc w:val="left"/>
      <w:pPr>
        <w:ind w:left="720" w:hanging="360"/>
      </w:pPr>
      <w:rPr>
        <w:rFonts w:ascii="Calibri" w:hAnsi="Calibri" w:hint="default"/>
      </w:rPr>
    </w:lvl>
    <w:lvl w:ilvl="1" w:tplc="CF2410BA">
      <w:start w:val="1"/>
      <w:numFmt w:val="lowerLetter"/>
      <w:lvlText w:val="%2."/>
      <w:lvlJc w:val="left"/>
      <w:pPr>
        <w:ind w:left="1440" w:hanging="360"/>
      </w:pPr>
    </w:lvl>
    <w:lvl w:ilvl="2" w:tplc="2794A9E0">
      <w:start w:val="1"/>
      <w:numFmt w:val="lowerRoman"/>
      <w:lvlText w:val="%3."/>
      <w:lvlJc w:val="right"/>
      <w:pPr>
        <w:ind w:left="2160" w:hanging="180"/>
      </w:pPr>
    </w:lvl>
    <w:lvl w:ilvl="3" w:tplc="96A01E2A">
      <w:start w:val="1"/>
      <w:numFmt w:val="decimal"/>
      <w:lvlText w:val="%4."/>
      <w:lvlJc w:val="left"/>
      <w:pPr>
        <w:ind w:left="2880" w:hanging="360"/>
      </w:pPr>
    </w:lvl>
    <w:lvl w:ilvl="4" w:tplc="9706559E">
      <w:start w:val="1"/>
      <w:numFmt w:val="lowerLetter"/>
      <w:lvlText w:val="%5."/>
      <w:lvlJc w:val="left"/>
      <w:pPr>
        <w:ind w:left="3600" w:hanging="360"/>
      </w:pPr>
    </w:lvl>
    <w:lvl w:ilvl="5" w:tplc="F016377E">
      <w:start w:val="1"/>
      <w:numFmt w:val="lowerRoman"/>
      <w:lvlText w:val="%6."/>
      <w:lvlJc w:val="right"/>
      <w:pPr>
        <w:ind w:left="4320" w:hanging="180"/>
      </w:pPr>
    </w:lvl>
    <w:lvl w:ilvl="6" w:tplc="32428076">
      <w:start w:val="1"/>
      <w:numFmt w:val="decimal"/>
      <w:lvlText w:val="%7."/>
      <w:lvlJc w:val="left"/>
      <w:pPr>
        <w:ind w:left="5040" w:hanging="360"/>
      </w:pPr>
    </w:lvl>
    <w:lvl w:ilvl="7" w:tplc="993AF67C">
      <w:start w:val="1"/>
      <w:numFmt w:val="lowerLetter"/>
      <w:lvlText w:val="%8."/>
      <w:lvlJc w:val="left"/>
      <w:pPr>
        <w:ind w:left="5760" w:hanging="360"/>
      </w:pPr>
    </w:lvl>
    <w:lvl w:ilvl="8" w:tplc="8392D61C">
      <w:start w:val="1"/>
      <w:numFmt w:val="lowerRoman"/>
      <w:lvlText w:val="%9."/>
      <w:lvlJc w:val="right"/>
      <w:pPr>
        <w:ind w:left="6480" w:hanging="180"/>
      </w:p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FFFFFFFF">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05558"/>
    <w:multiLevelType w:val="multilevel"/>
    <w:tmpl w:val="B4549C76"/>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506C116C"/>
    <w:multiLevelType w:val="hybridMultilevel"/>
    <w:tmpl w:val="404E4AE6"/>
    <w:lvl w:ilvl="0" w:tplc="C3CAA67A">
      <w:start w:val="1"/>
      <w:numFmt w:val="bullet"/>
      <w:lvlText w:val=""/>
      <w:lvlJc w:val="left"/>
      <w:pPr>
        <w:tabs>
          <w:tab w:val="num" w:pos="720"/>
        </w:tabs>
        <w:ind w:left="720" w:hanging="360"/>
      </w:pPr>
      <w:rPr>
        <w:rFonts w:ascii="Symbol" w:hAnsi="Symbol" w:hint="default"/>
      </w:rPr>
    </w:lvl>
    <w:lvl w:ilvl="1" w:tplc="2526AAB2">
      <w:numFmt w:val="bullet"/>
      <w:lvlText w:val="o"/>
      <w:lvlJc w:val="left"/>
      <w:pPr>
        <w:tabs>
          <w:tab w:val="num" w:pos="1440"/>
        </w:tabs>
        <w:ind w:left="1440" w:hanging="360"/>
      </w:pPr>
      <w:rPr>
        <w:rFonts w:ascii="Courier New" w:hAnsi="Courier New" w:hint="default"/>
      </w:rPr>
    </w:lvl>
    <w:lvl w:ilvl="2" w:tplc="0FB84672">
      <w:numFmt w:val="bullet"/>
      <w:lvlText w:val=""/>
      <w:lvlJc w:val="left"/>
      <w:pPr>
        <w:tabs>
          <w:tab w:val="num" w:pos="2160"/>
        </w:tabs>
        <w:ind w:left="2160" w:hanging="360"/>
      </w:pPr>
      <w:rPr>
        <w:rFonts w:ascii="Wingdings" w:hAnsi="Wingdings" w:hint="default"/>
      </w:rPr>
    </w:lvl>
    <w:lvl w:ilvl="3" w:tplc="064A8FEE">
      <w:numFmt w:val="bullet"/>
      <w:lvlText w:val=""/>
      <w:lvlJc w:val="left"/>
      <w:pPr>
        <w:tabs>
          <w:tab w:val="num" w:pos="2880"/>
        </w:tabs>
        <w:ind w:left="2880" w:hanging="360"/>
      </w:pPr>
      <w:rPr>
        <w:rFonts w:ascii="Symbol" w:hAnsi="Symbol" w:hint="default"/>
      </w:rPr>
    </w:lvl>
    <w:lvl w:ilvl="4" w:tplc="23049E1C" w:tentative="1">
      <w:start w:val="1"/>
      <w:numFmt w:val="bullet"/>
      <w:lvlText w:val=""/>
      <w:lvlJc w:val="left"/>
      <w:pPr>
        <w:tabs>
          <w:tab w:val="num" w:pos="3600"/>
        </w:tabs>
        <w:ind w:left="3600" w:hanging="360"/>
      </w:pPr>
      <w:rPr>
        <w:rFonts w:ascii="Symbol" w:hAnsi="Symbol" w:hint="default"/>
      </w:rPr>
    </w:lvl>
    <w:lvl w:ilvl="5" w:tplc="0BAE76C4" w:tentative="1">
      <w:start w:val="1"/>
      <w:numFmt w:val="bullet"/>
      <w:lvlText w:val=""/>
      <w:lvlJc w:val="left"/>
      <w:pPr>
        <w:tabs>
          <w:tab w:val="num" w:pos="4320"/>
        </w:tabs>
        <w:ind w:left="4320" w:hanging="360"/>
      </w:pPr>
      <w:rPr>
        <w:rFonts w:ascii="Symbol" w:hAnsi="Symbol" w:hint="default"/>
      </w:rPr>
    </w:lvl>
    <w:lvl w:ilvl="6" w:tplc="C932FF44" w:tentative="1">
      <w:start w:val="1"/>
      <w:numFmt w:val="bullet"/>
      <w:lvlText w:val=""/>
      <w:lvlJc w:val="left"/>
      <w:pPr>
        <w:tabs>
          <w:tab w:val="num" w:pos="5040"/>
        </w:tabs>
        <w:ind w:left="5040" w:hanging="360"/>
      </w:pPr>
      <w:rPr>
        <w:rFonts w:ascii="Symbol" w:hAnsi="Symbol" w:hint="default"/>
      </w:rPr>
    </w:lvl>
    <w:lvl w:ilvl="7" w:tplc="5BF06A1A" w:tentative="1">
      <w:start w:val="1"/>
      <w:numFmt w:val="bullet"/>
      <w:lvlText w:val=""/>
      <w:lvlJc w:val="left"/>
      <w:pPr>
        <w:tabs>
          <w:tab w:val="num" w:pos="5760"/>
        </w:tabs>
        <w:ind w:left="5760" w:hanging="360"/>
      </w:pPr>
      <w:rPr>
        <w:rFonts w:ascii="Symbol" w:hAnsi="Symbol" w:hint="default"/>
      </w:rPr>
    </w:lvl>
    <w:lvl w:ilvl="8" w:tplc="C9287E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81B5CAC"/>
    <w:multiLevelType w:val="hybridMultilevel"/>
    <w:tmpl w:val="1506F47A"/>
    <w:lvl w:ilvl="0" w:tplc="7F30E062">
      <w:start w:val="1"/>
      <w:numFmt w:val="bullet"/>
      <w:lvlText w:val="o"/>
      <w:lvlJc w:val="left"/>
      <w:pPr>
        <w:tabs>
          <w:tab w:val="num" w:pos="720"/>
        </w:tabs>
        <w:ind w:left="720" w:hanging="360"/>
      </w:pPr>
      <w:rPr>
        <w:rFonts w:ascii="Courier New" w:hAnsi="Courier New" w:hint="default"/>
      </w:rPr>
    </w:lvl>
    <w:lvl w:ilvl="1" w:tplc="BF8CEB0E">
      <w:start w:val="1"/>
      <w:numFmt w:val="bullet"/>
      <w:lvlText w:val="o"/>
      <w:lvlJc w:val="left"/>
      <w:pPr>
        <w:tabs>
          <w:tab w:val="num" w:pos="1440"/>
        </w:tabs>
        <w:ind w:left="1440" w:hanging="360"/>
      </w:pPr>
      <w:rPr>
        <w:rFonts w:ascii="Courier New" w:hAnsi="Courier New" w:hint="default"/>
      </w:rPr>
    </w:lvl>
    <w:lvl w:ilvl="2" w:tplc="06E49FEE" w:tentative="1">
      <w:start w:val="1"/>
      <w:numFmt w:val="bullet"/>
      <w:lvlText w:val="o"/>
      <w:lvlJc w:val="left"/>
      <w:pPr>
        <w:tabs>
          <w:tab w:val="num" w:pos="2160"/>
        </w:tabs>
        <w:ind w:left="2160" w:hanging="360"/>
      </w:pPr>
      <w:rPr>
        <w:rFonts w:ascii="Courier New" w:hAnsi="Courier New" w:hint="default"/>
      </w:rPr>
    </w:lvl>
    <w:lvl w:ilvl="3" w:tplc="E8FE1752" w:tentative="1">
      <w:start w:val="1"/>
      <w:numFmt w:val="bullet"/>
      <w:lvlText w:val="o"/>
      <w:lvlJc w:val="left"/>
      <w:pPr>
        <w:tabs>
          <w:tab w:val="num" w:pos="2880"/>
        </w:tabs>
        <w:ind w:left="2880" w:hanging="360"/>
      </w:pPr>
      <w:rPr>
        <w:rFonts w:ascii="Courier New" w:hAnsi="Courier New" w:hint="default"/>
      </w:rPr>
    </w:lvl>
    <w:lvl w:ilvl="4" w:tplc="136A2F26" w:tentative="1">
      <w:start w:val="1"/>
      <w:numFmt w:val="bullet"/>
      <w:lvlText w:val="o"/>
      <w:lvlJc w:val="left"/>
      <w:pPr>
        <w:tabs>
          <w:tab w:val="num" w:pos="3600"/>
        </w:tabs>
        <w:ind w:left="3600" w:hanging="360"/>
      </w:pPr>
      <w:rPr>
        <w:rFonts w:ascii="Courier New" w:hAnsi="Courier New" w:hint="default"/>
      </w:rPr>
    </w:lvl>
    <w:lvl w:ilvl="5" w:tplc="31EEFF88" w:tentative="1">
      <w:start w:val="1"/>
      <w:numFmt w:val="bullet"/>
      <w:lvlText w:val="o"/>
      <w:lvlJc w:val="left"/>
      <w:pPr>
        <w:tabs>
          <w:tab w:val="num" w:pos="4320"/>
        </w:tabs>
        <w:ind w:left="4320" w:hanging="360"/>
      </w:pPr>
      <w:rPr>
        <w:rFonts w:ascii="Courier New" w:hAnsi="Courier New" w:hint="default"/>
      </w:rPr>
    </w:lvl>
    <w:lvl w:ilvl="6" w:tplc="8DA8D3B6" w:tentative="1">
      <w:start w:val="1"/>
      <w:numFmt w:val="bullet"/>
      <w:lvlText w:val="o"/>
      <w:lvlJc w:val="left"/>
      <w:pPr>
        <w:tabs>
          <w:tab w:val="num" w:pos="5040"/>
        </w:tabs>
        <w:ind w:left="5040" w:hanging="360"/>
      </w:pPr>
      <w:rPr>
        <w:rFonts w:ascii="Courier New" w:hAnsi="Courier New" w:hint="default"/>
      </w:rPr>
    </w:lvl>
    <w:lvl w:ilvl="7" w:tplc="64047DA8" w:tentative="1">
      <w:start w:val="1"/>
      <w:numFmt w:val="bullet"/>
      <w:lvlText w:val="o"/>
      <w:lvlJc w:val="left"/>
      <w:pPr>
        <w:tabs>
          <w:tab w:val="num" w:pos="5760"/>
        </w:tabs>
        <w:ind w:left="5760" w:hanging="360"/>
      </w:pPr>
      <w:rPr>
        <w:rFonts w:ascii="Courier New" w:hAnsi="Courier New" w:hint="default"/>
      </w:rPr>
    </w:lvl>
    <w:lvl w:ilvl="8" w:tplc="F6C4532E"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A221516"/>
    <w:multiLevelType w:val="hybridMultilevel"/>
    <w:tmpl w:val="4218202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3437F2"/>
    <w:multiLevelType w:val="hybridMultilevel"/>
    <w:tmpl w:val="3AD43AF4"/>
    <w:lvl w:ilvl="0" w:tplc="1978712C">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1C1432"/>
    <w:multiLevelType w:val="multilevel"/>
    <w:tmpl w:val="FD44E754"/>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222"/>
        </w:tabs>
        <w:ind w:left="1222" w:hanging="360"/>
      </w:pPr>
      <w:rPr>
        <w:rFonts w:ascii="Symbol" w:hAnsi="Symbol" w:hint="default"/>
        <w:sz w:val="20"/>
      </w:rPr>
    </w:lvl>
    <w:lvl w:ilvl="2" w:tentative="1">
      <w:start w:val="1"/>
      <w:numFmt w:val="bullet"/>
      <w:lvlText w:val=""/>
      <w:lvlJc w:val="left"/>
      <w:pPr>
        <w:tabs>
          <w:tab w:val="num" w:pos="1942"/>
        </w:tabs>
        <w:ind w:left="1942" w:hanging="360"/>
      </w:pPr>
      <w:rPr>
        <w:rFonts w:ascii="Symbol" w:hAnsi="Symbol" w:hint="default"/>
        <w:sz w:val="20"/>
      </w:rPr>
    </w:lvl>
    <w:lvl w:ilvl="3" w:tentative="1">
      <w:start w:val="1"/>
      <w:numFmt w:val="bullet"/>
      <w:lvlText w:val=""/>
      <w:lvlJc w:val="left"/>
      <w:pPr>
        <w:tabs>
          <w:tab w:val="num" w:pos="2662"/>
        </w:tabs>
        <w:ind w:left="2662" w:hanging="360"/>
      </w:pPr>
      <w:rPr>
        <w:rFonts w:ascii="Symbol" w:hAnsi="Symbol" w:hint="default"/>
        <w:sz w:val="20"/>
      </w:rPr>
    </w:lvl>
    <w:lvl w:ilvl="4" w:tentative="1">
      <w:start w:val="1"/>
      <w:numFmt w:val="bullet"/>
      <w:lvlText w:val=""/>
      <w:lvlJc w:val="left"/>
      <w:pPr>
        <w:tabs>
          <w:tab w:val="num" w:pos="3382"/>
        </w:tabs>
        <w:ind w:left="3382" w:hanging="360"/>
      </w:pPr>
      <w:rPr>
        <w:rFonts w:ascii="Symbol" w:hAnsi="Symbol" w:hint="default"/>
        <w:sz w:val="20"/>
      </w:rPr>
    </w:lvl>
    <w:lvl w:ilvl="5" w:tentative="1">
      <w:start w:val="1"/>
      <w:numFmt w:val="bullet"/>
      <w:lvlText w:val=""/>
      <w:lvlJc w:val="left"/>
      <w:pPr>
        <w:tabs>
          <w:tab w:val="num" w:pos="4102"/>
        </w:tabs>
        <w:ind w:left="4102" w:hanging="360"/>
      </w:pPr>
      <w:rPr>
        <w:rFonts w:ascii="Symbol" w:hAnsi="Symbol" w:hint="default"/>
        <w:sz w:val="20"/>
      </w:rPr>
    </w:lvl>
    <w:lvl w:ilvl="6" w:tentative="1">
      <w:start w:val="1"/>
      <w:numFmt w:val="bullet"/>
      <w:lvlText w:val=""/>
      <w:lvlJc w:val="left"/>
      <w:pPr>
        <w:tabs>
          <w:tab w:val="num" w:pos="4822"/>
        </w:tabs>
        <w:ind w:left="4822" w:hanging="360"/>
      </w:pPr>
      <w:rPr>
        <w:rFonts w:ascii="Symbol" w:hAnsi="Symbol" w:hint="default"/>
        <w:sz w:val="20"/>
      </w:rPr>
    </w:lvl>
    <w:lvl w:ilvl="7" w:tentative="1">
      <w:start w:val="1"/>
      <w:numFmt w:val="bullet"/>
      <w:lvlText w:val=""/>
      <w:lvlJc w:val="left"/>
      <w:pPr>
        <w:tabs>
          <w:tab w:val="num" w:pos="5542"/>
        </w:tabs>
        <w:ind w:left="5542" w:hanging="360"/>
      </w:pPr>
      <w:rPr>
        <w:rFonts w:ascii="Symbol" w:hAnsi="Symbol" w:hint="default"/>
        <w:sz w:val="20"/>
      </w:rPr>
    </w:lvl>
    <w:lvl w:ilvl="8" w:tentative="1">
      <w:start w:val="1"/>
      <w:numFmt w:val="bullet"/>
      <w:lvlText w:val=""/>
      <w:lvlJc w:val="left"/>
      <w:pPr>
        <w:tabs>
          <w:tab w:val="num" w:pos="6262"/>
        </w:tabs>
        <w:ind w:left="6262" w:hanging="360"/>
      </w:pPr>
      <w:rPr>
        <w:rFonts w:ascii="Symbol" w:hAnsi="Symbol" w:hint="default"/>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13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A39546E"/>
    <w:multiLevelType w:val="hybridMultilevel"/>
    <w:tmpl w:val="85DA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A5CDA"/>
    <w:multiLevelType w:val="multilevel"/>
    <w:tmpl w:val="B8E0E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B33DB2"/>
    <w:multiLevelType w:val="hybridMultilevel"/>
    <w:tmpl w:val="F7FC47BE"/>
    <w:lvl w:ilvl="0" w:tplc="EFFC59A4">
      <w:start w:val="1"/>
      <w:numFmt w:val="bullet"/>
      <w:lvlText w:val="-"/>
      <w:lvlJc w:val="left"/>
      <w:pPr>
        <w:ind w:left="720" w:hanging="360"/>
      </w:pPr>
      <w:rPr>
        <w:rFonts w:ascii="Times" w:eastAsia="Malgun Gothic" w:hAnsi="Times" w:cs="Times" w:hint="default"/>
      </w:rPr>
    </w:lvl>
    <w:lvl w:ilvl="1" w:tplc="EFFC59A4">
      <w:start w:val="1"/>
      <w:numFmt w:val="bullet"/>
      <w:lvlText w:val="-"/>
      <w:lvlJc w:val="left"/>
      <w:pPr>
        <w:ind w:left="1440" w:hanging="360"/>
      </w:pPr>
      <w:rPr>
        <w:rFonts w:ascii="Times" w:eastAsia="Malgun Gothic"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B4816D3"/>
    <w:multiLevelType w:val="hybridMultilevel"/>
    <w:tmpl w:val="F3CEDA60"/>
    <w:lvl w:ilvl="0" w:tplc="0E507670">
      <w:start w:val="1"/>
      <w:numFmt w:val="decimal"/>
      <w:lvlText w:val="Observation %1:"/>
      <w:lvlJc w:val="left"/>
      <w:pPr>
        <w:ind w:left="360" w:hanging="360"/>
      </w:pPr>
      <w:rPr>
        <w:rFonts w:ascii="Times New Roman" w:hAnsi="Times New Roman" w:hint="default"/>
      </w:rPr>
    </w:lvl>
    <w:lvl w:ilvl="1" w:tplc="15A47956">
      <w:start w:val="1"/>
      <w:numFmt w:val="lowerLetter"/>
      <w:lvlText w:val="%2."/>
      <w:lvlJc w:val="left"/>
      <w:pPr>
        <w:ind w:left="1440" w:hanging="360"/>
      </w:pPr>
    </w:lvl>
    <w:lvl w:ilvl="2" w:tplc="4ECC66C2">
      <w:start w:val="1"/>
      <w:numFmt w:val="lowerRoman"/>
      <w:lvlText w:val="%3."/>
      <w:lvlJc w:val="right"/>
      <w:pPr>
        <w:ind w:left="2160" w:hanging="180"/>
      </w:pPr>
    </w:lvl>
    <w:lvl w:ilvl="3" w:tplc="9B324E32">
      <w:start w:val="1"/>
      <w:numFmt w:val="decimal"/>
      <w:lvlText w:val="%4."/>
      <w:lvlJc w:val="left"/>
      <w:pPr>
        <w:ind w:left="2880" w:hanging="360"/>
      </w:pPr>
    </w:lvl>
    <w:lvl w:ilvl="4" w:tplc="3B022B00">
      <w:start w:val="1"/>
      <w:numFmt w:val="lowerLetter"/>
      <w:lvlText w:val="%5."/>
      <w:lvlJc w:val="left"/>
      <w:pPr>
        <w:ind w:left="3600" w:hanging="360"/>
      </w:pPr>
    </w:lvl>
    <w:lvl w:ilvl="5" w:tplc="0C1AA11C">
      <w:start w:val="1"/>
      <w:numFmt w:val="lowerRoman"/>
      <w:lvlText w:val="%6."/>
      <w:lvlJc w:val="right"/>
      <w:pPr>
        <w:ind w:left="4320" w:hanging="180"/>
      </w:pPr>
    </w:lvl>
    <w:lvl w:ilvl="6" w:tplc="48AEB11A">
      <w:start w:val="1"/>
      <w:numFmt w:val="decimal"/>
      <w:lvlText w:val="%7."/>
      <w:lvlJc w:val="left"/>
      <w:pPr>
        <w:ind w:left="5040" w:hanging="360"/>
      </w:pPr>
    </w:lvl>
    <w:lvl w:ilvl="7" w:tplc="B45E2F3E">
      <w:start w:val="1"/>
      <w:numFmt w:val="lowerLetter"/>
      <w:lvlText w:val="%8."/>
      <w:lvlJc w:val="left"/>
      <w:pPr>
        <w:ind w:left="5760" w:hanging="360"/>
      </w:pPr>
    </w:lvl>
    <w:lvl w:ilvl="8" w:tplc="E7BEE072">
      <w:start w:val="1"/>
      <w:numFmt w:val="lowerRoman"/>
      <w:lvlText w:val="%9."/>
      <w:lvlJc w:val="right"/>
      <w:pPr>
        <w:ind w:left="6480" w:hanging="180"/>
      </w:pPr>
    </w:lvl>
  </w:abstractNum>
  <w:abstractNum w:abstractNumId="32" w15:restartNumberingAfterBreak="0">
    <w:nsid w:val="7C0F1099"/>
    <w:multiLevelType w:val="hybridMultilevel"/>
    <w:tmpl w:val="D5EC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31"/>
  </w:num>
  <w:num w:numId="4">
    <w:abstractNumId w:val="1"/>
  </w:num>
  <w:num w:numId="5">
    <w:abstractNumId w:val="8"/>
  </w:num>
  <w:num w:numId="6">
    <w:abstractNumId w:val="18"/>
  </w:num>
  <w:num w:numId="7">
    <w:abstractNumId w:val="7"/>
  </w:num>
  <w:num w:numId="8">
    <w:abstractNumId w:val="26"/>
  </w:num>
  <w:num w:numId="9">
    <w:abstractNumId w:val="16"/>
  </w:num>
  <w:num w:numId="10">
    <w:abstractNumId w:val="17"/>
  </w:num>
  <w:num w:numId="11">
    <w:abstractNumId w:val="17"/>
    <w:lvlOverride w:ilvl="0">
      <w:startOverride w:val="1"/>
    </w:lvlOverride>
  </w:num>
  <w:num w:numId="12">
    <w:abstractNumId w:val="17"/>
    <w:lvlOverride w:ilvl="0">
      <w:startOverride w:val="1"/>
    </w:lvlOverride>
  </w:num>
  <w:num w:numId="13">
    <w:abstractNumId w:val="17"/>
    <w:lvlOverride w:ilvl="0">
      <w:startOverride w:val="1"/>
    </w:lvlOverride>
  </w:num>
  <w:num w:numId="14">
    <w:abstractNumId w:val="16"/>
  </w:num>
  <w:num w:numId="15">
    <w:abstractNumId w:val="17"/>
    <w:lvlOverride w:ilvl="0">
      <w:startOverride w:val="1"/>
    </w:lvlOverride>
  </w:num>
  <w:num w:numId="16">
    <w:abstractNumId w:val="16"/>
  </w:num>
  <w:num w:numId="17">
    <w:abstractNumId w:val="17"/>
    <w:lvlOverride w:ilvl="0">
      <w:startOverride w:val="1"/>
    </w:lvlOverride>
  </w:num>
  <w:num w:numId="18">
    <w:abstractNumId w:val="29"/>
  </w:num>
  <w:num w:numId="19">
    <w:abstractNumId w:val="5"/>
  </w:num>
  <w:num w:numId="20">
    <w:abstractNumId w:val="25"/>
  </w:num>
  <w:num w:numId="21">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2"/>
  </w:num>
  <w:num w:numId="25">
    <w:abstractNumId w:val="16"/>
  </w:num>
  <w:num w:numId="26">
    <w:abstractNumId w:val="17"/>
    <w:lvlOverride w:ilvl="0">
      <w:startOverride w:val="1"/>
    </w:lvlOverride>
  </w:num>
  <w:num w:numId="27">
    <w:abstractNumId w:val="4"/>
  </w:num>
  <w:num w:numId="28">
    <w:abstractNumId w:val="0"/>
  </w:num>
  <w:num w:numId="29">
    <w:abstractNumId w:val="0"/>
    <w:lvlOverride w:ilvl="0">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9"/>
  </w:num>
  <w:num w:numId="33">
    <w:abstractNumId w:val="24"/>
  </w:num>
  <w:num w:numId="34">
    <w:abstractNumId w:val="12"/>
  </w:num>
  <w:num w:numId="35">
    <w:abstractNumId w:val="28"/>
  </w:num>
  <w:num w:numId="36">
    <w:abstractNumId w:val="9"/>
  </w:num>
  <w:num w:numId="37">
    <w:abstractNumId w:val="27"/>
  </w:num>
  <w:num w:numId="38">
    <w:abstractNumId w:val="32"/>
  </w:num>
  <w:num w:numId="39">
    <w:abstractNumId w:val="11"/>
  </w:num>
  <w:num w:numId="40">
    <w:abstractNumId w:val="6"/>
  </w:num>
  <w:num w:numId="41">
    <w:abstractNumId w:val="30"/>
  </w:num>
  <w:num w:numId="42">
    <w:abstractNumId w:val="20"/>
  </w:num>
  <w:num w:numId="43">
    <w:abstractNumId w:val="21"/>
  </w:num>
  <w:num w:numId="44">
    <w:abstractNumId w:val="1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3D87"/>
    <w:rsid w:val="000040DC"/>
    <w:rsid w:val="00014E99"/>
    <w:rsid w:val="000151A8"/>
    <w:rsid w:val="000151EF"/>
    <w:rsid w:val="000239F5"/>
    <w:rsid w:val="000275D8"/>
    <w:rsid w:val="00031816"/>
    <w:rsid w:val="0003669D"/>
    <w:rsid w:val="00042BA5"/>
    <w:rsid w:val="00042D87"/>
    <w:rsid w:val="00044F8C"/>
    <w:rsid w:val="000465F0"/>
    <w:rsid w:val="00047EC4"/>
    <w:rsid w:val="000603C6"/>
    <w:rsid w:val="0006109F"/>
    <w:rsid w:val="00061BEE"/>
    <w:rsid w:val="00072139"/>
    <w:rsid w:val="00073870"/>
    <w:rsid w:val="00077A69"/>
    <w:rsid w:val="00082692"/>
    <w:rsid w:val="0008612A"/>
    <w:rsid w:val="00086549"/>
    <w:rsid w:val="000869D2"/>
    <w:rsid w:val="00087B6C"/>
    <w:rsid w:val="00087B97"/>
    <w:rsid w:val="000902C3"/>
    <w:rsid w:val="00090E18"/>
    <w:rsid w:val="000A10BC"/>
    <w:rsid w:val="000A1217"/>
    <w:rsid w:val="000A72F4"/>
    <w:rsid w:val="000B0056"/>
    <w:rsid w:val="000B0559"/>
    <w:rsid w:val="000B2E85"/>
    <w:rsid w:val="000B594D"/>
    <w:rsid w:val="000C0BEA"/>
    <w:rsid w:val="000C1FF3"/>
    <w:rsid w:val="000C3C7B"/>
    <w:rsid w:val="000C64FE"/>
    <w:rsid w:val="000D0F93"/>
    <w:rsid w:val="000D4AB1"/>
    <w:rsid w:val="000F039C"/>
    <w:rsid w:val="000F6789"/>
    <w:rsid w:val="0010224C"/>
    <w:rsid w:val="00106416"/>
    <w:rsid w:val="00110481"/>
    <w:rsid w:val="001127C9"/>
    <w:rsid w:val="0011525A"/>
    <w:rsid w:val="00115B88"/>
    <w:rsid w:val="00123F8E"/>
    <w:rsid w:val="0012600B"/>
    <w:rsid w:val="00132F6A"/>
    <w:rsid w:val="00133913"/>
    <w:rsid w:val="00140221"/>
    <w:rsid w:val="00143BE1"/>
    <w:rsid w:val="00150E59"/>
    <w:rsid w:val="001642FC"/>
    <w:rsid w:val="0016496B"/>
    <w:rsid w:val="00172195"/>
    <w:rsid w:val="001738E4"/>
    <w:rsid w:val="001743E2"/>
    <w:rsid w:val="001745F8"/>
    <w:rsid w:val="001838CF"/>
    <w:rsid w:val="00184673"/>
    <w:rsid w:val="001848CF"/>
    <w:rsid w:val="001868EE"/>
    <w:rsid w:val="00186B94"/>
    <w:rsid w:val="00197192"/>
    <w:rsid w:val="001A3582"/>
    <w:rsid w:val="001A3BA4"/>
    <w:rsid w:val="001A6D1F"/>
    <w:rsid w:val="001A70D2"/>
    <w:rsid w:val="001A7A83"/>
    <w:rsid w:val="001B3488"/>
    <w:rsid w:val="001C0F27"/>
    <w:rsid w:val="001E30F6"/>
    <w:rsid w:val="001E3AF5"/>
    <w:rsid w:val="001F1E90"/>
    <w:rsid w:val="001F23A6"/>
    <w:rsid w:val="00203AFD"/>
    <w:rsid w:val="00213E5F"/>
    <w:rsid w:val="00215B5A"/>
    <w:rsid w:val="00217EE5"/>
    <w:rsid w:val="00235F5C"/>
    <w:rsid w:val="002361DF"/>
    <w:rsid w:val="00247D32"/>
    <w:rsid w:val="00250CE3"/>
    <w:rsid w:val="00257FA3"/>
    <w:rsid w:val="00263562"/>
    <w:rsid w:val="0026711F"/>
    <w:rsid w:val="00276C42"/>
    <w:rsid w:val="00277B56"/>
    <w:rsid w:val="00291C94"/>
    <w:rsid w:val="002A19F5"/>
    <w:rsid w:val="002A277D"/>
    <w:rsid w:val="002A3266"/>
    <w:rsid w:val="002B4922"/>
    <w:rsid w:val="002B6760"/>
    <w:rsid w:val="002C22C3"/>
    <w:rsid w:val="002C2D19"/>
    <w:rsid w:val="002D10FA"/>
    <w:rsid w:val="002D2268"/>
    <w:rsid w:val="002D4C55"/>
    <w:rsid w:val="002D587E"/>
    <w:rsid w:val="002E08BD"/>
    <w:rsid w:val="002E553A"/>
    <w:rsid w:val="002E6DED"/>
    <w:rsid w:val="002F0DC6"/>
    <w:rsid w:val="002F42B2"/>
    <w:rsid w:val="00300956"/>
    <w:rsid w:val="00305EA2"/>
    <w:rsid w:val="00314577"/>
    <w:rsid w:val="00317187"/>
    <w:rsid w:val="0032174B"/>
    <w:rsid w:val="0032499A"/>
    <w:rsid w:val="003263B1"/>
    <w:rsid w:val="003341F7"/>
    <w:rsid w:val="0033493C"/>
    <w:rsid w:val="00334F7C"/>
    <w:rsid w:val="0034126E"/>
    <w:rsid w:val="00341E4A"/>
    <w:rsid w:val="003425DD"/>
    <w:rsid w:val="0034601B"/>
    <w:rsid w:val="00347FEC"/>
    <w:rsid w:val="0035521C"/>
    <w:rsid w:val="00356F45"/>
    <w:rsid w:val="00361E64"/>
    <w:rsid w:val="00362E01"/>
    <w:rsid w:val="00366B74"/>
    <w:rsid w:val="00371061"/>
    <w:rsid w:val="0037253E"/>
    <w:rsid w:val="00374E64"/>
    <w:rsid w:val="00384CA2"/>
    <w:rsid w:val="00384FB9"/>
    <w:rsid w:val="0038757C"/>
    <w:rsid w:val="00393B8B"/>
    <w:rsid w:val="003A4246"/>
    <w:rsid w:val="003A710A"/>
    <w:rsid w:val="003B076D"/>
    <w:rsid w:val="003B0BD8"/>
    <w:rsid w:val="003B2D19"/>
    <w:rsid w:val="003B659E"/>
    <w:rsid w:val="003C157D"/>
    <w:rsid w:val="003C275E"/>
    <w:rsid w:val="003C3B50"/>
    <w:rsid w:val="003D12C0"/>
    <w:rsid w:val="003D537F"/>
    <w:rsid w:val="003D677E"/>
    <w:rsid w:val="003E1B4E"/>
    <w:rsid w:val="003E58DF"/>
    <w:rsid w:val="003F281B"/>
    <w:rsid w:val="00404C4C"/>
    <w:rsid w:val="0041423F"/>
    <w:rsid w:val="00414F81"/>
    <w:rsid w:val="00420FA4"/>
    <w:rsid w:val="004220A7"/>
    <w:rsid w:val="00430711"/>
    <w:rsid w:val="00436A0F"/>
    <w:rsid w:val="00437150"/>
    <w:rsid w:val="0043750A"/>
    <w:rsid w:val="00440769"/>
    <w:rsid w:val="00444FC1"/>
    <w:rsid w:val="00451169"/>
    <w:rsid w:val="00456A47"/>
    <w:rsid w:val="00460E75"/>
    <w:rsid w:val="0046254D"/>
    <w:rsid w:val="004732E9"/>
    <w:rsid w:val="00477488"/>
    <w:rsid w:val="004854BB"/>
    <w:rsid w:val="00486893"/>
    <w:rsid w:val="00494AB0"/>
    <w:rsid w:val="00496606"/>
    <w:rsid w:val="004A19A0"/>
    <w:rsid w:val="004A2792"/>
    <w:rsid w:val="004A6500"/>
    <w:rsid w:val="004B108A"/>
    <w:rsid w:val="004B4B11"/>
    <w:rsid w:val="004C1C30"/>
    <w:rsid w:val="004C2462"/>
    <w:rsid w:val="004C6B1F"/>
    <w:rsid w:val="004E5E66"/>
    <w:rsid w:val="004E7ADB"/>
    <w:rsid w:val="00500B94"/>
    <w:rsid w:val="00503B4D"/>
    <w:rsid w:val="00504EE9"/>
    <w:rsid w:val="00513E3A"/>
    <w:rsid w:val="00517E90"/>
    <w:rsid w:val="00521576"/>
    <w:rsid w:val="005250E6"/>
    <w:rsid w:val="00535D01"/>
    <w:rsid w:val="00540EC8"/>
    <w:rsid w:val="00541508"/>
    <w:rsid w:val="00542D23"/>
    <w:rsid w:val="0054442C"/>
    <w:rsid w:val="00550285"/>
    <w:rsid w:val="00557F4C"/>
    <w:rsid w:val="00562492"/>
    <w:rsid w:val="00567B02"/>
    <w:rsid w:val="00572A20"/>
    <w:rsid w:val="005836F8"/>
    <w:rsid w:val="00586E81"/>
    <w:rsid w:val="005871B4"/>
    <w:rsid w:val="0058723E"/>
    <w:rsid w:val="005918FA"/>
    <w:rsid w:val="00592A86"/>
    <w:rsid w:val="005A595C"/>
    <w:rsid w:val="005B4801"/>
    <w:rsid w:val="005B538D"/>
    <w:rsid w:val="005B6DCF"/>
    <w:rsid w:val="005C11AA"/>
    <w:rsid w:val="005C23A4"/>
    <w:rsid w:val="005C4E8D"/>
    <w:rsid w:val="005D0F0F"/>
    <w:rsid w:val="005D1CDF"/>
    <w:rsid w:val="005D2BB7"/>
    <w:rsid w:val="005E4441"/>
    <w:rsid w:val="005E61A8"/>
    <w:rsid w:val="005F007A"/>
    <w:rsid w:val="005F6419"/>
    <w:rsid w:val="005F7BB3"/>
    <w:rsid w:val="0060147C"/>
    <w:rsid w:val="00601B3C"/>
    <w:rsid w:val="0060543D"/>
    <w:rsid w:val="006104DD"/>
    <w:rsid w:val="006130B5"/>
    <w:rsid w:val="00617400"/>
    <w:rsid w:val="00621963"/>
    <w:rsid w:val="006300A7"/>
    <w:rsid w:val="00632D29"/>
    <w:rsid w:val="0064550B"/>
    <w:rsid w:val="00645656"/>
    <w:rsid w:val="00664950"/>
    <w:rsid w:val="00683220"/>
    <w:rsid w:val="00687FA0"/>
    <w:rsid w:val="006A1702"/>
    <w:rsid w:val="006A3C11"/>
    <w:rsid w:val="006B1A9A"/>
    <w:rsid w:val="006B4182"/>
    <w:rsid w:val="006B64DA"/>
    <w:rsid w:val="006B6CAF"/>
    <w:rsid w:val="006B7010"/>
    <w:rsid w:val="006C07BA"/>
    <w:rsid w:val="006C0D5F"/>
    <w:rsid w:val="006C3095"/>
    <w:rsid w:val="006C6A91"/>
    <w:rsid w:val="006D33FC"/>
    <w:rsid w:val="006D3748"/>
    <w:rsid w:val="006D5017"/>
    <w:rsid w:val="006E1151"/>
    <w:rsid w:val="006E2431"/>
    <w:rsid w:val="006E4E71"/>
    <w:rsid w:val="006E6311"/>
    <w:rsid w:val="006E672C"/>
    <w:rsid w:val="006E7A53"/>
    <w:rsid w:val="007054FD"/>
    <w:rsid w:val="00712BCC"/>
    <w:rsid w:val="007145FF"/>
    <w:rsid w:val="00715B2A"/>
    <w:rsid w:val="00723CEB"/>
    <w:rsid w:val="00725284"/>
    <w:rsid w:val="007339DA"/>
    <w:rsid w:val="007422EF"/>
    <w:rsid w:val="00742B8F"/>
    <w:rsid w:val="007450F1"/>
    <w:rsid w:val="00751515"/>
    <w:rsid w:val="007574EF"/>
    <w:rsid w:val="007626B7"/>
    <w:rsid w:val="00771D3F"/>
    <w:rsid w:val="00776935"/>
    <w:rsid w:val="007776EE"/>
    <w:rsid w:val="0078212B"/>
    <w:rsid w:val="00784DF6"/>
    <w:rsid w:val="00785232"/>
    <w:rsid w:val="00795434"/>
    <w:rsid w:val="00797A1D"/>
    <w:rsid w:val="007B186C"/>
    <w:rsid w:val="007C1696"/>
    <w:rsid w:val="007C1EBF"/>
    <w:rsid w:val="007C3ED0"/>
    <w:rsid w:val="007C4037"/>
    <w:rsid w:val="007C5898"/>
    <w:rsid w:val="007C5971"/>
    <w:rsid w:val="007D0BE2"/>
    <w:rsid w:val="007D4AFA"/>
    <w:rsid w:val="007D761E"/>
    <w:rsid w:val="007E609C"/>
    <w:rsid w:val="007F209D"/>
    <w:rsid w:val="007F22EB"/>
    <w:rsid w:val="007F54B9"/>
    <w:rsid w:val="00801FDB"/>
    <w:rsid w:val="008054AD"/>
    <w:rsid w:val="00806A76"/>
    <w:rsid w:val="008114A1"/>
    <w:rsid w:val="00811C9D"/>
    <w:rsid w:val="00812672"/>
    <w:rsid w:val="00816C80"/>
    <w:rsid w:val="0082087F"/>
    <w:rsid w:val="00834226"/>
    <w:rsid w:val="008409D5"/>
    <w:rsid w:val="00841BCD"/>
    <w:rsid w:val="00843FD7"/>
    <w:rsid w:val="00851A8E"/>
    <w:rsid w:val="0085365B"/>
    <w:rsid w:val="00853909"/>
    <w:rsid w:val="00854ECD"/>
    <w:rsid w:val="008600C5"/>
    <w:rsid w:val="00860E99"/>
    <w:rsid w:val="008757D9"/>
    <w:rsid w:val="00881096"/>
    <w:rsid w:val="008826C1"/>
    <w:rsid w:val="00883DFD"/>
    <w:rsid w:val="00884219"/>
    <w:rsid w:val="00895376"/>
    <w:rsid w:val="008A1BF7"/>
    <w:rsid w:val="008A4C89"/>
    <w:rsid w:val="008A5B0E"/>
    <w:rsid w:val="008B01D9"/>
    <w:rsid w:val="008B0961"/>
    <w:rsid w:val="008B2603"/>
    <w:rsid w:val="008B509C"/>
    <w:rsid w:val="008B62C5"/>
    <w:rsid w:val="008B66E5"/>
    <w:rsid w:val="008D49D4"/>
    <w:rsid w:val="008E2B28"/>
    <w:rsid w:val="0090091A"/>
    <w:rsid w:val="00902EFF"/>
    <w:rsid w:val="009042BD"/>
    <w:rsid w:val="00905EC7"/>
    <w:rsid w:val="00936159"/>
    <w:rsid w:val="00955E01"/>
    <w:rsid w:val="00957527"/>
    <w:rsid w:val="009612B4"/>
    <w:rsid w:val="009642C3"/>
    <w:rsid w:val="009746FD"/>
    <w:rsid w:val="00974BD7"/>
    <w:rsid w:val="00976C21"/>
    <w:rsid w:val="00977E1D"/>
    <w:rsid w:val="009B0573"/>
    <w:rsid w:val="009B4985"/>
    <w:rsid w:val="009B49C9"/>
    <w:rsid w:val="009B7B4B"/>
    <w:rsid w:val="009B7C21"/>
    <w:rsid w:val="009C31AD"/>
    <w:rsid w:val="009C4923"/>
    <w:rsid w:val="009F389E"/>
    <w:rsid w:val="00A01840"/>
    <w:rsid w:val="00A03645"/>
    <w:rsid w:val="00A04992"/>
    <w:rsid w:val="00A13D7B"/>
    <w:rsid w:val="00A147AA"/>
    <w:rsid w:val="00A14876"/>
    <w:rsid w:val="00A14DE4"/>
    <w:rsid w:val="00A21D71"/>
    <w:rsid w:val="00A22B78"/>
    <w:rsid w:val="00A2479A"/>
    <w:rsid w:val="00A25AE5"/>
    <w:rsid w:val="00A270B8"/>
    <w:rsid w:val="00A326CD"/>
    <w:rsid w:val="00A34825"/>
    <w:rsid w:val="00A37002"/>
    <w:rsid w:val="00A413D5"/>
    <w:rsid w:val="00A4355E"/>
    <w:rsid w:val="00A455B4"/>
    <w:rsid w:val="00A611DB"/>
    <w:rsid w:val="00A62217"/>
    <w:rsid w:val="00A66853"/>
    <w:rsid w:val="00A73C33"/>
    <w:rsid w:val="00A768D5"/>
    <w:rsid w:val="00A77765"/>
    <w:rsid w:val="00A80FD1"/>
    <w:rsid w:val="00A84D86"/>
    <w:rsid w:val="00A87C20"/>
    <w:rsid w:val="00A92BCD"/>
    <w:rsid w:val="00A93410"/>
    <w:rsid w:val="00AA1B0E"/>
    <w:rsid w:val="00AA47B6"/>
    <w:rsid w:val="00AA6496"/>
    <w:rsid w:val="00AB458F"/>
    <w:rsid w:val="00AC163B"/>
    <w:rsid w:val="00AC1E1E"/>
    <w:rsid w:val="00AC5CA7"/>
    <w:rsid w:val="00AC6058"/>
    <w:rsid w:val="00AD2E61"/>
    <w:rsid w:val="00AE1D5E"/>
    <w:rsid w:val="00AE282C"/>
    <w:rsid w:val="00AE2BA5"/>
    <w:rsid w:val="00AE56B1"/>
    <w:rsid w:val="00AE6D09"/>
    <w:rsid w:val="00AF1703"/>
    <w:rsid w:val="00AF7A7C"/>
    <w:rsid w:val="00B045A3"/>
    <w:rsid w:val="00B05519"/>
    <w:rsid w:val="00B17204"/>
    <w:rsid w:val="00B34605"/>
    <w:rsid w:val="00B361C4"/>
    <w:rsid w:val="00B4028D"/>
    <w:rsid w:val="00B408B6"/>
    <w:rsid w:val="00B40DBF"/>
    <w:rsid w:val="00B4689A"/>
    <w:rsid w:val="00B542DA"/>
    <w:rsid w:val="00B57A1D"/>
    <w:rsid w:val="00B657DC"/>
    <w:rsid w:val="00B73862"/>
    <w:rsid w:val="00B73F43"/>
    <w:rsid w:val="00B8764D"/>
    <w:rsid w:val="00B87E0A"/>
    <w:rsid w:val="00BA26C8"/>
    <w:rsid w:val="00BA6B66"/>
    <w:rsid w:val="00BA6E48"/>
    <w:rsid w:val="00BA7E71"/>
    <w:rsid w:val="00BB29B5"/>
    <w:rsid w:val="00BB3AAB"/>
    <w:rsid w:val="00BC2FF9"/>
    <w:rsid w:val="00BC6184"/>
    <w:rsid w:val="00BE01D9"/>
    <w:rsid w:val="00BE0740"/>
    <w:rsid w:val="00BE0AF6"/>
    <w:rsid w:val="00BE1F03"/>
    <w:rsid w:val="00BE31CA"/>
    <w:rsid w:val="00BE4F19"/>
    <w:rsid w:val="00BE58A7"/>
    <w:rsid w:val="00BF2218"/>
    <w:rsid w:val="00BF7128"/>
    <w:rsid w:val="00C0426B"/>
    <w:rsid w:val="00C045DF"/>
    <w:rsid w:val="00C170FF"/>
    <w:rsid w:val="00C24684"/>
    <w:rsid w:val="00C250ED"/>
    <w:rsid w:val="00C26D43"/>
    <w:rsid w:val="00C30BAF"/>
    <w:rsid w:val="00C33498"/>
    <w:rsid w:val="00C377D2"/>
    <w:rsid w:val="00C426C3"/>
    <w:rsid w:val="00C42D9D"/>
    <w:rsid w:val="00C45FB7"/>
    <w:rsid w:val="00C46548"/>
    <w:rsid w:val="00C574D5"/>
    <w:rsid w:val="00C659C1"/>
    <w:rsid w:val="00C73A7F"/>
    <w:rsid w:val="00C73F32"/>
    <w:rsid w:val="00C81B77"/>
    <w:rsid w:val="00C85B0A"/>
    <w:rsid w:val="00C87462"/>
    <w:rsid w:val="00C9246A"/>
    <w:rsid w:val="00C92810"/>
    <w:rsid w:val="00CA180C"/>
    <w:rsid w:val="00CB22B2"/>
    <w:rsid w:val="00CB5D76"/>
    <w:rsid w:val="00CC3EE2"/>
    <w:rsid w:val="00CD3DCE"/>
    <w:rsid w:val="00CD54C4"/>
    <w:rsid w:val="00CD7492"/>
    <w:rsid w:val="00CE3A6B"/>
    <w:rsid w:val="00CE5579"/>
    <w:rsid w:val="00CF0C3D"/>
    <w:rsid w:val="00CF5A50"/>
    <w:rsid w:val="00D00211"/>
    <w:rsid w:val="00D005FF"/>
    <w:rsid w:val="00D06309"/>
    <w:rsid w:val="00D130BA"/>
    <w:rsid w:val="00D2545E"/>
    <w:rsid w:val="00D256DA"/>
    <w:rsid w:val="00D26252"/>
    <w:rsid w:val="00D351EA"/>
    <w:rsid w:val="00D365E4"/>
    <w:rsid w:val="00D36D57"/>
    <w:rsid w:val="00D40288"/>
    <w:rsid w:val="00D408A6"/>
    <w:rsid w:val="00D43403"/>
    <w:rsid w:val="00D47DC3"/>
    <w:rsid w:val="00D5270B"/>
    <w:rsid w:val="00D53E53"/>
    <w:rsid w:val="00D5481C"/>
    <w:rsid w:val="00D572C0"/>
    <w:rsid w:val="00D62E71"/>
    <w:rsid w:val="00D63E7C"/>
    <w:rsid w:val="00D6430D"/>
    <w:rsid w:val="00D65C9D"/>
    <w:rsid w:val="00D66188"/>
    <w:rsid w:val="00D731F6"/>
    <w:rsid w:val="00D740CA"/>
    <w:rsid w:val="00D85728"/>
    <w:rsid w:val="00D87285"/>
    <w:rsid w:val="00D95481"/>
    <w:rsid w:val="00DA1325"/>
    <w:rsid w:val="00DA6BFC"/>
    <w:rsid w:val="00DB1886"/>
    <w:rsid w:val="00DB5074"/>
    <w:rsid w:val="00DB7EFF"/>
    <w:rsid w:val="00DC379D"/>
    <w:rsid w:val="00DC7A13"/>
    <w:rsid w:val="00DC7E01"/>
    <w:rsid w:val="00DD272E"/>
    <w:rsid w:val="00DD55F9"/>
    <w:rsid w:val="00DE1C89"/>
    <w:rsid w:val="00DE2ABD"/>
    <w:rsid w:val="00DE70FC"/>
    <w:rsid w:val="00DF2997"/>
    <w:rsid w:val="00DF6C71"/>
    <w:rsid w:val="00E06688"/>
    <w:rsid w:val="00E10BC4"/>
    <w:rsid w:val="00E1415D"/>
    <w:rsid w:val="00E27D27"/>
    <w:rsid w:val="00E323E9"/>
    <w:rsid w:val="00E34018"/>
    <w:rsid w:val="00E35CEC"/>
    <w:rsid w:val="00E437D2"/>
    <w:rsid w:val="00E55751"/>
    <w:rsid w:val="00E612D4"/>
    <w:rsid w:val="00E615FE"/>
    <w:rsid w:val="00E73587"/>
    <w:rsid w:val="00E77359"/>
    <w:rsid w:val="00E77BB3"/>
    <w:rsid w:val="00E813EC"/>
    <w:rsid w:val="00E86FB1"/>
    <w:rsid w:val="00E9258E"/>
    <w:rsid w:val="00EA2311"/>
    <w:rsid w:val="00EB3549"/>
    <w:rsid w:val="00EB6FF1"/>
    <w:rsid w:val="00EC2032"/>
    <w:rsid w:val="00EC659C"/>
    <w:rsid w:val="00EC7BC3"/>
    <w:rsid w:val="00ED3457"/>
    <w:rsid w:val="00ED7600"/>
    <w:rsid w:val="00EE2EE7"/>
    <w:rsid w:val="00EF08F0"/>
    <w:rsid w:val="00EF1AA1"/>
    <w:rsid w:val="00EF6073"/>
    <w:rsid w:val="00EF698B"/>
    <w:rsid w:val="00F04BD6"/>
    <w:rsid w:val="00F128F6"/>
    <w:rsid w:val="00F1362C"/>
    <w:rsid w:val="00F2159E"/>
    <w:rsid w:val="00F235A2"/>
    <w:rsid w:val="00F24E39"/>
    <w:rsid w:val="00F3262E"/>
    <w:rsid w:val="00F33ACA"/>
    <w:rsid w:val="00F414F1"/>
    <w:rsid w:val="00F508B8"/>
    <w:rsid w:val="00F60C4B"/>
    <w:rsid w:val="00F61CAE"/>
    <w:rsid w:val="00F627F8"/>
    <w:rsid w:val="00F70DF1"/>
    <w:rsid w:val="00F72411"/>
    <w:rsid w:val="00F72CB1"/>
    <w:rsid w:val="00F8073C"/>
    <w:rsid w:val="00F8215E"/>
    <w:rsid w:val="00F824F5"/>
    <w:rsid w:val="00F83104"/>
    <w:rsid w:val="00F83EC5"/>
    <w:rsid w:val="00F91F09"/>
    <w:rsid w:val="00F9374D"/>
    <w:rsid w:val="00FA094F"/>
    <w:rsid w:val="00FA7D72"/>
    <w:rsid w:val="00FB6D59"/>
    <w:rsid w:val="00FC1607"/>
    <w:rsid w:val="00FC1BCA"/>
    <w:rsid w:val="00FC29B9"/>
    <w:rsid w:val="00FC6FD3"/>
    <w:rsid w:val="00FD2418"/>
    <w:rsid w:val="00FE0C79"/>
    <w:rsid w:val="00FE305C"/>
    <w:rsid w:val="00FF0301"/>
    <w:rsid w:val="00FF1EAC"/>
    <w:rsid w:val="010D38E4"/>
    <w:rsid w:val="0132E81A"/>
    <w:rsid w:val="022BBE6E"/>
    <w:rsid w:val="02546559"/>
    <w:rsid w:val="026F866D"/>
    <w:rsid w:val="02AE563E"/>
    <w:rsid w:val="03B6B189"/>
    <w:rsid w:val="03B9BD7B"/>
    <w:rsid w:val="04967F43"/>
    <w:rsid w:val="04B8C1A4"/>
    <w:rsid w:val="04EE8F03"/>
    <w:rsid w:val="072FA441"/>
    <w:rsid w:val="0756BD88"/>
    <w:rsid w:val="07D248AB"/>
    <w:rsid w:val="08917FE4"/>
    <w:rsid w:val="0A1560D5"/>
    <w:rsid w:val="0A53B2F4"/>
    <w:rsid w:val="0A7C9404"/>
    <w:rsid w:val="0B84AC8A"/>
    <w:rsid w:val="0C222086"/>
    <w:rsid w:val="0C73B3B3"/>
    <w:rsid w:val="0CF5F0DF"/>
    <w:rsid w:val="0D763771"/>
    <w:rsid w:val="0D76527D"/>
    <w:rsid w:val="0E5630E4"/>
    <w:rsid w:val="0F3B5E13"/>
    <w:rsid w:val="11127A89"/>
    <w:rsid w:val="11AA8645"/>
    <w:rsid w:val="12CBA203"/>
    <w:rsid w:val="138485D9"/>
    <w:rsid w:val="1393989E"/>
    <w:rsid w:val="13B321FB"/>
    <w:rsid w:val="14585EED"/>
    <w:rsid w:val="15AE84BC"/>
    <w:rsid w:val="15C9811E"/>
    <w:rsid w:val="15CA7EBA"/>
    <w:rsid w:val="16C7B72C"/>
    <w:rsid w:val="18225493"/>
    <w:rsid w:val="18677C49"/>
    <w:rsid w:val="18874DCB"/>
    <w:rsid w:val="198BBE52"/>
    <w:rsid w:val="19BB4B8A"/>
    <w:rsid w:val="1AD27F80"/>
    <w:rsid w:val="1F326E1F"/>
    <w:rsid w:val="1F735324"/>
    <w:rsid w:val="20493412"/>
    <w:rsid w:val="20AF2ACF"/>
    <w:rsid w:val="20CEB3E0"/>
    <w:rsid w:val="2128DDBC"/>
    <w:rsid w:val="22D3E7D7"/>
    <w:rsid w:val="2323C01A"/>
    <w:rsid w:val="259C1C6A"/>
    <w:rsid w:val="25F648F9"/>
    <w:rsid w:val="2644CBBC"/>
    <w:rsid w:val="27738C58"/>
    <w:rsid w:val="29604588"/>
    <w:rsid w:val="29CE54D4"/>
    <w:rsid w:val="29D25DC7"/>
    <w:rsid w:val="2A0BB699"/>
    <w:rsid w:val="2A354CAB"/>
    <w:rsid w:val="2A6EA909"/>
    <w:rsid w:val="2B2F4A51"/>
    <w:rsid w:val="2B3492F4"/>
    <w:rsid w:val="2B4B47E4"/>
    <w:rsid w:val="2C6EF3FF"/>
    <w:rsid w:val="2DC92FBA"/>
    <w:rsid w:val="2E8D13FE"/>
    <w:rsid w:val="2F4FEDD5"/>
    <w:rsid w:val="302EB31B"/>
    <w:rsid w:val="30EBBE36"/>
    <w:rsid w:val="3158A229"/>
    <w:rsid w:val="318B38EF"/>
    <w:rsid w:val="331A17EB"/>
    <w:rsid w:val="339F68D2"/>
    <w:rsid w:val="33BA215B"/>
    <w:rsid w:val="33F16828"/>
    <w:rsid w:val="3455DFA6"/>
    <w:rsid w:val="35BF2F59"/>
    <w:rsid w:val="375CDF2B"/>
    <w:rsid w:val="3761DD17"/>
    <w:rsid w:val="37B96B16"/>
    <w:rsid w:val="3829CAD3"/>
    <w:rsid w:val="3997A3C9"/>
    <w:rsid w:val="3A87615C"/>
    <w:rsid w:val="3B6E92F2"/>
    <w:rsid w:val="3BDC493A"/>
    <w:rsid w:val="3C30DBF9"/>
    <w:rsid w:val="3D7BED67"/>
    <w:rsid w:val="3DC4D849"/>
    <w:rsid w:val="3E0EF3D9"/>
    <w:rsid w:val="3E471859"/>
    <w:rsid w:val="3ED34B2F"/>
    <w:rsid w:val="3EFCD402"/>
    <w:rsid w:val="3F55B45C"/>
    <w:rsid w:val="3FDB6BB6"/>
    <w:rsid w:val="400487C0"/>
    <w:rsid w:val="40883A4E"/>
    <w:rsid w:val="40C8C879"/>
    <w:rsid w:val="43147821"/>
    <w:rsid w:val="434CDA48"/>
    <w:rsid w:val="4485999F"/>
    <w:rsid w:val="450A6A58"/>
    <w:rsid w:val="47ED4BB2"/>
    <w:rsid w:val="497B569B"/>
    <w:rsid w:val="4A1660E5"/>
    <w:rsid w:val="4A47742F"/>
    <w:rsid w:val="4B845D75"/>
    <w:rsid w:val="4CDD0C16"/>
    <w:rsid w:val="4D323BEE"/>
    <w:rsid w:val="4DE2C387"/>
    <w:rsid w:val="4E28C275"/>
    <w:rsid w:val="4E8B717C"/>
    <w:rsid w:val="4EB62F5F"/>
    <w:rsid w:val="50AC4D18"/>
    <w:rsid w:val="565F9107"/>
    <w:rsid w:val="56936EEF"/>
    <w:rsid w:val="56A9B60E"/>
    <w:rsid w:val="56FB48E9"/>
    <w:rsid w:val="57E8312F"/>
    <w:rsid w:val="57F806F5"/>
    <w:rsid w:val="5869A8D7"/>
    <w:rsid w:val="58710819"/>
    <w:rsid w:val="592AFC35"/>
    <w:rsid w:val="5A86FD34"/>
    <w:rsid w:val="5AE51F6C"/>
    <w:rsid w:val="5BE93549"/>
    <w:rsid w:val="5BF22B33"/>
    <w:rsid w:val="5E0E110C"/>
    <w:rsid w:val="5E17347C"/>
    <w:rsid w:val="602B5B62"/>
    <w:rsid w:val="6055609D"/>
    <w:rsid w:val="61E15B5F"/>
    <w:rsid w:val="62068913"/>
    <w:rsid w:val="6465B2A4"/>
    <w:rsid w:val="65AA9297"/>
    <w:rsid w:val="678F31B1"/>
    <w:rsid w:val="6816B597"/>
    <w:rsid w:val="68C413D6"/>
    <w:rsid w:val="6915DCCF"/>
    <w:rsid w:val="69EC758A"/>
    <w:rsid w:val="6A0EFBF2"/>
    <w:rsid w:val="6A3D4EAC"/>
    <w:rsid w:val="6A84C7D0"/>
    <w:rsid w:val="6B385D9B"/>
    <w:rsid w:val="6B4E5659"/>
    <w:rsid w:val="6B54D1F2"/>
    <w:rsid w:val="6BD9CD1A"/>
    <w:rsid w:val="6C855DD1"/>
    <w:rsid w:val="6CE32175"/>
    <w:rsid w:val="6DC52E18"/>
    <w:rsid w:val="70FF246C"/>
    <w:rsid w:val="728485B3"/>
    <w:rsid w:val="73EDA04C"/>
    <w:rsid w:val="747F6E75"/>
    <w:rsid w:val="7480BE35"/>
    <w:rsid w:val="74C93596"/>
    <w:rsid w:val="75E82E61"/>
    <w:rsid w:val="761FDF57"/>
    <w:rsid w:val="76C3DD67"/>
    <w:rsid w:val="77567FF4"/>
    <w:rsid w:val="78086A99"/>
    <w:rsid w:val="7A23A0AA"/>
    <w:rsid w:val="7AD801EF"/>
    <w:rsid w:val="7B7B9FAC"/>
    <w:rsid w:val="7C69BD7A"/>
    <w:rsid w:val="7CC48731"/>
    <w:rsid w:val="7D87DA82"/>
    <w:rsid w:val="7DDAE51A"/>
    <w:rsid w:val="7EC73735"/>
    <w:rsid w:val="7F485E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56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0"/>
      </w:numPr>
      <w:ind w:left="431" w:hanging="431"/>
    </w:pPr>
    <w:rPr>
      <w:lang w:val="en-US"/>
    </w:rPr>
  </w:style>
  <w:style w:type="paragraph" w:customStyle="1" w:styleId="RAN4H1">
    <w:name w:val="RAN4 H1"/>
    <w:basedOn w:val="Normal"/>
    <w:next w:val="Normal"/>
    <w:link w:val="RAN4H1Char"/>
    <w:qFormat/>
    <w:rsid w:val="00AE56B1"/>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0"/>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entury Gothic" w:hAnsi="Century Gothi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FC1BCA"/>
    <w:pPr>
      <w:spacing w:before="100" w:beforeAutospacing="1" w:after="100" w:afterAutospacing="1" w:line="240" w:lineRule="auto"/>
    </w:pPr>
    <w:rPr>
      <w:rFonts w:eastAsia="Times New Roman" w:cs="Times New Roman"/>
      <w:sz w:val="24"/>
      <w:szCs w:val="24"/>
      <w:lang w:val="en-IN" w:eastAsia="en-IN"/>
    </w:rPr>
  </w:style>
  <w:style w:type="character" w:customStyle="1" w:styleId="normaltextrun">
    <w:name w:val="normaltextrun"/>
    <w:basedOn w:val="DefaultParagraphFont"/>
    <w:rsid w:val="00FC1BCA"/>
  </w:style>
  <w:style w:type="character" w:customStyle="1" w:styleId="eop">
    <w:name w:val="eop"/>
    <w:basedOn w:val="DefaultParagraphFont"/>
    <w:rsid w:val="00FC1BCA"/>
  </w:style>
  <w:style w:type="paragraph" w:styleId="Header">
    <w:name w:val="header"/>
    <w:basedOn w:val="Normal"/>
    <w:link w:val="HeaderChar"/>
    <w:uiPriority w:val="99"/>
    <w:unhideWhenUsed/>
    <w:rsid w:val="00213E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3E5F"/>
    <w:rPr>
      <w:rFonts w:ascii="Times New Roman" w:hAnsi="Times New Roman"/>
      <w:sz w:val="20"/>
    </w:rPr>
  </w:style>
  <w:style w:type="paragraph" w:styleId="Footer">
    <w:name w:val="footer"/>
    <w:basedOn w:val="Normal"/>
    <w:link w:val="FooterChar"/>
    <w:uiPriority w:val="99"/>
    <w:unhideWhenUsed/>
    <w:rsid w:val="00213E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3E5F"/>
    <w:rPr>
      <w:rFonts w:ascii="Times New Roman" w:hAnsi="Times New Roman"/>
      <w:sz w:val="20"/>
    </w:rPr>
  </w:style>
  <w:style w:type="paragraph" w:styleId="NormalWeb">
    <w:name w:val="Normal (Web)"/>
    <w:basedOn w:val="Normal"/>
    <w:uiPriority w:val="99"/>
    <w:unhideWhenUsed/>
    <w:rsid w:val="006C0D5F"/>
    <w:pPr>
      <w:spacing w:before="100" w:beforeAutospacing="1" w:after="100" w:afterAutospacing="1" w:line="240" w:lineRule="auto"/>
    </w:pPr>
    <w:rPr>
      <w:rFonts w:eastAsia="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499172">
      <w:bodyDiv w:val="1"/>
      <w:marLeft w:val="0"/>
      <w:marRight w:val="0"/>
      <w:marTop w:val="0"/>
      <w:marBottom w:val="0"/>
      <w:divBdr>
        <w:top w:val="none" w:sz="0" w:space="0" w:color="auto"/>
        <w:left w:val="none" w:sz="0" w:space="0" w:color="auto"/>
        <w:bottom w:val="none" w:sz="0" w:space="0" w:color="auto"/>
        <w:right w:val="none" w:sz="0" w:space="0" w:color="auto"/>
      </w:divBdr>
      <w:divsChild>
        <w:div w:id="82841736">
          <w:marLeft w:val="1166"/>
          <w:marRight w:val="0"/>
          <w:marTop w:val="0"/>
          <w:marBottom w:val="0"/>
          <w:divBdr>
            <w:top w:val="none" w:sz="0" w:space="0" w:color="auto"/>
            <w:left w:val="none" w:sz="0" w:space="0" w:color="auto"/>
            <w:bottom w:val="none" w:sz="0" w:space="0" w:color="auto"/>
            <w:right w:val="none" w:sz="0" w:space="0" w:color="auto"/>
          </w:divBdr>
        </w:div>
        <w:div w:id="402605913">
          <w:marLeft w:val="1800"/>
          <w:marRight w:val="0"/>
          <w:marTop w:val="0"/>
          <w:marBottom w:val="0"/>
          <w:divBdr>
            <w:top w:val="none" w:sz="0" w:space="0" w:color="auto"/>
            <w:left w:val="none" w:sz="0" w:space="0" w:color="auto"/>
            <w:bottom w:val="none" w:sz="0" w:space="0" w:color="auto"/>
            <w:right w:val="none" w:sz="0" w:space="0" w:color="auto"/>
          </w:divBdr>
        </w:div>
        <w:div w:id="477380681">
          <w:marLeft w:val="1166"/>
          <w:marRight w:val="0"/>
          <w:marTop w:val="0"/>
          <w:marBottom w:val="0"/>
          <w:divBdr>
            <w:top w:val="none" w:sz="0" w:space="0" w:color="auto"/>
            <w:left w:val="none" w:sz="0" w:space="0" w:color="auto"/>
            <w:bottom w:val="none" w:sz="0" w:space="0" w:color="auto"/>
            <w:right w:val="none" w:sz="0" w:space="0" w:color="auto"/>
          </w:divBdr>
        </w:div>
        <w:div w:id="507524417">
          <w:marLeft w:val="1800"/>
          <w:marRight w:val="0"/>
          <w:marTop w:val="0"/>
          <w:marBottom w:val="0"/>
          <w:divBdr>
            <w:top w:val="none" w:sz="0" w:space="0" w:color="auto"/>
            <w:left w:val="none" w:sz="0" w:space="0" w:color="auto"/>
            <w:bottom w:val="none" w:sz="0" w:space="0" w:color="auto"/>
            <w:right w:val="none" w:sz="0" w:space="0" w:color="auto"/>
          </w:divBdr>
        </w:div>
        <w:div w:id="704403563">
          <w:marLeft w:val="1166"/>
          <w:marRight w:val="0"/>
          <w:marTop w:val="0"/>
          <w:marBottom w:val="0"/>
          <w:divBdr>
            <w:top w:val="none" w:sz="0" w:space="0" w:color="auto"/>
            <w:left w:val="none" w:sz="0" w:space="0" w:color="auto"/>
            <w:bottom w:val="none" w:sz="0" w:space="0" w:color="auto"/>
            <w:right w:val="none" w:sz="0" w:space="0" w:color="auto"/>
          </w:divBdr>
        </w:div>
        <w:div w:id="1420252666">
          <w:marLeft w:val="1166"/>
          <w:marRight w:val="0"/>
          <w:marTop w:val="0"/>
          <w:marBottom w:val="0"/>
          <w:divBdr>
            <w:top w:val="none" w:sz="0" w:space="0" w:color="auto"/>
            <w:left w:val="none" w:sz="0" w:space="0" w:color="auto"/>
            <w:bottom w:val="none" w:sz="0" w:space="0" w:color="auto"/>
            <w:right w:val="none" w:sz="0" w:space="0" w:color="auto"/>
          </w:divBdr>
        </w:div>
        <w:div w:id="1928686918">
          <w:marLeft w:val="547"/>
          <w:marRight w:val="0"/>
          <w:marTop w:val="0"/>
          <w:marBottom w:val="0"/>
          <w:divBdr>
            <w:top w:val="none" w:sz="0" w:space="0" w:color="auto"/>
            <w:left w:val="none" w:sz="0" w:space="0" w:color="auto"/>
            <w:bottom w:val="none" w:sz="0" w:space="0" w:color="auto"/>
            <w:right w:val="none" w:sz="0" w:space="0" w:color="auto"/>
          </w:divBdr>
        </w:div>
      </w:divsChild>
    </w:div>
    <w:div w:id="1181973777">
      <w:bodyDiv w:val="1"/>
      <w:marLeft w:val="0"/>
      <w:marRight w:val="0"/>
      <w:marTop w:val="0"/>
      <w:marBottom w:val="0"/>
      <w:divBdr>
        <w:top w:val="none" w:sz="0" w:space="0" w:color="auto"/>
        <w:left w:val="none" w:sz="0" w:space="0" w:color="auto"/>
        <w:bottom w:val="none" w:sz="0" w:space="0" w:color="auto"/>
        <w:right w:val="none" w:sz="0" w:space="0" w:color="auto"/>
      </w:divBdr>
    </w:div>
    <w:div w:id="1256936376">
      <w:bodyDiv w:val="1"/>
      <w:marLeft w:val="0"/>
      <w:marRight w:val="0"/>
      <w:marTop w:val="0"/>
      <w:marBottom w:val="0"/>
      <w:divBdr>
        <w:top w:val="none" w:sz="0" w:space="0" w:color="auto"/>
        <w:left w:val="none" w:sz="0" w:space="0" w:color="auto"/>
        <w:bottom w:val="none" w:sz="0" w:space="0" w:color="auto"/>
        <w:right w:val="none" w:sz="0" w:space="0" w:color="auto"/>
      </w:divBdr>
      <w:divsChild>
        <w:div w:id="316805533">
          <w:marLeft w:val="0"/>
          <w:marRight w:val="0"/>
          <w:marTop w:val="0"/>
          <w:marBottom w:val="0"/>
          <w:divBdr>
            <w:top w:val="none" w:sz="0" w:space="0" w:color="auto"/>
            <w:left w:val="none" w:sz="0" w:space="0" w:color="auto"/>
            <w:bottom w:val="none" w:sz="0" w:space="0" w:color="auto"/>
            <w:right w:val="none" w:sz="0" w:space="0" w:color="auto"/>
          </w:divBdr>
        </w:div>
        <w:div w:id="458499324">
          <w:marLeft w:val="0"/>
          <w:marRight w:val="0"/>
          <w:marTop w:val="0"/>
          <w:marBottom w:val="0"/>
          <w:divBdr>
            <w:top w:val="none" w:sz="0" w:space="0" w:color="auto"/>
            <w:left w:val="none" w:sz="0" w:space="0" w:color="auto"/>
            <w:bottom w:val="none" w:sz="0" w:space="0" w:color="auto"/>
            <w:right w:val="none" w:sz="0" w:space="0" w:color="auto"/>
          </w:divBdr>
          <w:divsChild>
            <w:div w:id="36588812">
              <w:marLeft w:val="0"/>
              <w:marRight w:val="0"/>
              <w:marTop w:val="0"/>
              <w:marBottom w:val="0"/>
              <w:divBdr>
                <w:top w:val="none" w:sz="0" w:space="0" w:color="auto"/>
                <w:left w:val="none" w:sz="0" w:space="0" w:color="auto"/>
                <w:bottom w:val="none" w:sz="0" w:space="0" w:color="auto"/>
                <w:right w:val="none" w:sz="0" w:space="0" w:color="auto"/>
              </w:divBdr>
            </w:div>
            <w:div w:id="158160759">
              <w:marLeft w:val="0"/>
              <w:marRight w:val="0"/>
              <w:marTop w:val="0"/>
              <w:marBottom w:val="0"/>
              <w:divBdr>
                <w:top w:val="none" w:sz="0" w:space="0" w:color="auto"/>
                <w:left w:val="none" w:sz="0" w:space="0" w:color="auto"/>
                <w:bottom w:val="none" w:sz="0" w:space="0" w:color="auto"/>
                <w:right w:val="none" w:sz="0" w:space="0" w:color="auto"/>
              </w:divBdr>
            </w:div>
          </w:divsChild>
        </w:div>
        <w:div w:id="615525983">
          <w:marLeft w:val="0"/>
          <w:marRight w:val="0"/>
          <w:marTop w:val="0"/>
          <w:marBottom w:val="0"/>
          <w:divBdr>
            <w:top w:val="none" w:sz="0" w:space="0" w:color="auto"/>
            <w:left w:val="none" w:sz="0" w:space="0" w:color="auto"/>
            <w:bottom w:val="none" w:sz="0" w:space="0" w:color="auto"/>
            <w:right w:val="none" w:sz="0" w:space="0" w:color="auto"/>
          </w:divBdr>
          <w:divsChild>
            <w:div w:id="38019672">
              <w:marLeft w:val="0"/>
              <w:marRight w:val="0"/>
              <w:marTop w:val="0"/>
              <w:marBottom w:val="0"/>
              <w:divBdr>
                <w:top w:val="none" w:sz="0" w:space="0" w:color="auto"/>
                <w:left w:val="none" w:sz="0" w:space="0" w:color="auto"/>
                <w:bottom w:val="none" w:sz="0" w:space="0" w:color="auto"/>
                <w:right w:val="none" w:sz="0" w:space="0" w:color="auto"/>
              </w:divBdr>
            </w:div>
            <w:div w:id="173033818">
              <w:marLeft w:val="0"/>
              <w:marRight w:val="0"/>
              <w:marTop w:val="0"/>
              <w:marBottom w:val="0"/>
              <w:divBdr>
                <w:top w:val="none" w:sz="0" w:space="0" w:color="auto"/>
                <w:left w:val="none" w:sz="0" w:space="0" w:color="auto"/>
                <w:bottom w:val="none" w:sz="0" w:space="0" w:color="auto"/>
                <w:right w:val="none" w:sz="0" w:space="0" w:color="auto"/>
              </w:divBdr>
            </w:div>
            <w:div w:id="2058120910">
              <w:marLeft w:val="0"/>
              <w:marRight w:val="0"/>
              <w:marTop w:val="0"/>
              <w:marBottom w:val="0"/>
              <w:divBdr>
                <w:top w:val="none" w:sz="0" w:space="0" w:color="auto"/>
                <w:left w:val="none" w:sz="0" w:space="0" w:color="auto"/>
                <w:bottom w:val="none" w:sz="0" w:space="0" w:color="auto"/>
                <w:right w:val="none" w:sz="0" w:space="0" w:color="auto"/>
              </w:divBdr>
            </w:div>
          </w:divsChild>
        </w:div>
        <w:div w:id="743185623">
          <w:marLeft w:val="0"/>
          <w:marRight w:val="0"/>
          <w:marTop w:val="0"/>
          <w:marBottom w:val="0"/>
          <w:divBdr>
            <w:top w:val="none" w:sz="0" w:space="0" w:color="auto"/>
            <w:left w:val="none" w:sz="0" w:space="0" w:color="auto"/>
            <w:bottom w:val="none" w:sz="0" w:space="0" w:color="auto"/>
            <w:right w:val="none" w:sz="0" w:space="0" w:color="auto"/>
          </w:divBdr>
        </w:div>
        <w:div w:id="1184367731">
          <w:marLeft w:val="0"/>
          <w:marRight w:val="0"/>
          <w:marTop w:val="0"/>
          <w:marBottom w:val="0"/>
          <w:divBdr>
            <w:top w:val="none" w:sz="0" w:space="0" w:color="auto"/>
            <w:left w:val="none" w:sz="0" w:space="0" w:color="auto"/>
            <w:bottom w:val="none" w:sz="0" w:space="0" w:color="auto"/>
            <w:right w:val="none" w:sz="0" w:space="0" w:color="auto"/>
          </w:divBdr>
        </w:div>
        <w:div w:id="1420103973">
          <w:marLeft w:val="0"/>
          <w:marRight w:val="0"/>
          <w:marTop w:val="0"/>
          <w:marBottom w:val="0"/>
          <w:divBdr>
            <w:top w:val="none" w:sz="0" w:space="0" w:color="auto"/>
            <w:left w:val="none" w:sz="0" w:space="0" w:color="auto"/>
            <w:bottom w:val="none" w:sz="0" w:space="0" w:color="auto"/>
            <w:right w:val="none" w:sz="0" w:space="0" w:color="auto"/>
          </w:divBdr>
          <w:divsChild>
            <w:div w:id="882133429">
              <w:marLeft w:val="0"/>
              <w:marRight w:val="0"/>
              <w:marTop w:val="0"/>
              <w:marBottom w:val="0"/>
              <w:divBdr>
                <w:top w:val="none" w:sz="0" w:space="0" w:color="auto"/>
                <w:left w:val="none" w:sz="0" w:space="0" w:color="auto"/>
                <w:bottom w:val="none" w:sz="0" w:space="0" w:color="auto"/>
                <w:right w:val="none" w:sz="0" w:space="0" w:color="auto"/>
              </w:divBdr>
            </w:div>
          </w:divsChild>
        </w:div>
        <w:div w:id="2023579253">
          <w:marLeft w:val="0"/>
          <w:marRight w:val="0"/>
          <w:marTop w:val="0"/>
          <w:marBottom w:val="0"/>
          <w:divBdr>
            <w:top w:val="none" w:sz="0" w:space="0" w:color="auto"/>
            <w:left w:val="none" w:sz="0" w:space="0" w:color="auto"/>
            <w:bottom w:val="none" w:sz="0" w:space="0" w:color="auto"/>
            <w:right w:val="none" w:sz="0" w:space="0" w:color="auto"/>
          </w:divBdr>
        </w:div>
      </w:divsChild>
    </w:div>
    <w:div w:id="1305963363">
      <w:bodyDiv w:val="1"/>
      <w:marLeft w:val="0"/>
      <w:marRight w:val="0"/>
      <w:marTop w:val="0"/>
      <w:marBottom w:val="0"/>
      <w:divBdr>
        <w:top w:val="none" w:sz="0" w:space="0" w:color="auto"/>
        <w:left w:val="none" w:sz="0" w:space="0" w:color="auto"/>
        <w:bottom w:val="none" w:sz="0" w:space="0" w:color="auto"/>
        <w:right w:val="none" w:sz="0" w:space="0" w:color="auto"/>
      </w:divBdr>
      <w:divsChild>
        <w:div w:id="166751907">
          <w:marLeft w:val="1166"/>
          <w:marRight w:val="0"/>
          <w:marTop w:val="0"/>
          <w:marBottom w:val="0"/>
          <w:divBdr>
            <w:top w:val="none" w:sz="0" w:space="0" w:color="auto"/>
            <w:left w:val="none" w:sz="0" w:space="0" w:color="auto"/>
            <w:bottom w:val="none" w:sz="0" w:space="0" w:color="auto"/>
            <w:right w:val="none" w:sz="0" w:space="0" w:color="auto"/>
          </w:divBdr>
        </w:div>
        <w:div w:id="578104223">
          <w:marLeft w:val="547"/>
          <w:marRight w:val="0"/>
          <w:marTop w:val="0"/>
          <w:marBottom w:val="0"/>
          <w:divBdr>
            <w:top w:val="none" w:sz="0" w:space="0" w:color="auto"/>
            <w:left w:val="none" w:sz="0" w:space="0" w:color="auto"/>
            <w:bottom w:val="none" w:sz="0" w:space="0" w:color="auto"/>
            <w:right w:val="none" w:sz="0" w:space="0" w:color="auto"/>
          </w:divBdr>
        </w:div>
        <w:div w:id="1195726724">
          <w:marLeft w:val="1166"/>
          <w:marRight w:val="0"/>
          <w:marTop w:val="0"/>
          <w:marBottom w:val="0"/>
          <w:divBdr>
            <w:top w:val="none" w:sz="0" w:space="0" w:color="auto"/>
            <w:left w:val="none" w:sz="0" w:space="0" w:color="auto"/>
            <w:bottom w:val="none" w:sz="0" w:space="0" w:color="auto"/>
            <w:right w:val="none" w:sz="0" w:space="0" w:color="auto"/>
          </w:divBdr>
        </w:div>
        <w:div w:id="1716847812">
          <w:marLeft w:val="1166"/>
          <w:marRight w:val="0"/>
          <w:marTop w:val="0"/>
          <w:marBottom w:val="0"/>
          <w:divBdr>
            <w:top w:val="none" w:sz="0" w:space="0" w:color="auto"/>
            <w:left w:val="none" w:sz="0" w:space="0" w:color="auto"/>
            <w:bottom w:val="none" w:sz="0" w:space="0" w:color="auto"/>
            <w:right w:val="none" w:sz="0" w:space="0" w:color="auto"/>
          </w:divBdr>
        </w:div>
        <w:div w:id="1864323364">
          <w:marLeft w:val="1800"/>
          <w:marRight w:val="0"/>
          <w:marTop w:val="0"/>
          <w:marBottom w:val="0"/>
          <w:divBdr>
            <w:top w:val="none" w:sz="0" w:space="0" w:color="auto"/>
            <w:left w:val="none" w:sz="0" w:space="0" w:color="auto"/>
            <w:bottom w:val="none" w:sz="0" w:space="0" w:color="auto"/>
            <w:right w:val="none" w:sz="0" w:space="0" w:color="auto"/>
          </w:divBdr>
        </w:div>
        <w:div w:id="1939361886">
          <w:marLeft w:val="1166"/>
          <w:marRight w:val="0"/>
          <w:marTop w:val="0"/>
          <w:marBottom w:val="0"/>
          <w:divBdr>
            <w:top w:val="none" w:sz="0" w:space="0" w:color="auto"/>
            <w:left w:val="none" w:sz="0" w:space="0" w:color="auto"/>
            <w:bottom w:val="none" w:sz="0" w:space="0" w:color="auto"/>
            <w:right w:val="none" w:sz="0" w:space="0" w:color="auto"/>
          </w:divBdr>
        </w:div>
        <w:div w:id="2124808530">
          <w:marLeft w:val="1800"/>
          <w:marRight w:val="0"/>
          <w:marTop w:val="0"/>
          <w:marBottom w:val="0"/>
          <w:divBdr>
            <w:top w:val="none" w:sz="0" w:space="0" w:color="auto"/>
            <w:left w:val="none" w:sz="0" w:space="0" w:color="auto"/>
            <w:bottom w:val="none" w:sz="0" w:space="0" w:color="auto"/>
            <w:right w:val="none" w:sz="0" w:space="0" w:color="auto"/>
          </w:divBdr>
        </w:div>
      </w:divsChild>
    </w:div>
    <w:div w:id="1906839462">
      <w:bodyDiv w:val="1"/>
      <w:marLeft w:val="0"/>
      <w:marRight w:val="0"/>
      <w:marTop w:val="0"/>
      <w:marBottom w:val="0"/>
      <w:divBdr>
        <w:top w:val="none" w:sz="0" w:space="0" w:color="auto"/>
        <w:left w:val="none" w:sz="0" w:space="0" w:color="auto"/>
        <w:bottom w:val="none" w:sz="0" w:space="0" w:color="auto"/>
        <w:right w:val="none" w:sz="0" w:space="0" w:color="auto"/>
      </w:divBdr>
      <w:divsChild>
        <w:div w:id="357318315">
          <w:marLeft w:val="1555"/>
          <w:marRight w:val="0"/>
          <w:marTop w:val="0"/>
          <w:marBottom w:val="0"/>
          <w:divBdr>
            <w:top w:val="none" w:sz="0" w:space="0" w:color="auto"/>
            <w:left w:val="none" w:sz="0" w:space="0" w:color="auto"/>
            <w:bottom w:val="none" w:sz="0" w:space="0" w:color="auto"/>
            <w:right w:val="none" w:sz="0" w:space="0" w:color="auto"/>
          </w:divBdr>
        </w:div>
        <w:div w:id="1675575217">
          <w:marLeft w:val="1555"/>
          <w:marRight w:val="0"/>
          <w:marTop w:val="0"/>
          <w:marBottom w:val="0"/>
          <w:divBdr>
            <w:top w:val="none" w:sz="0" w:space="0" w:color="auto"/>
            <w:left w:val="none" w:sz="0" w:space="0" w:color="auto"/>
            <w:bottom w:val="none" w:sz="0" w:space="0" w:color="auto"/>
            <w:right w:val="none" w:sz="0" w:space="0" w:color="auto"/>
          </w:divBdr>
        </w:div>
        <w:div w:id="2080059174">
          <w:marLeft w:val="155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5AIRPNAIUNRU-1328258698-19763</_dlc_DocId>
    <_dlc_DocIdUrl xmlns="71c5aaf6-e6ce-465b-b873-5148d2a4c105">
      <Url>https://nokia.sharepoint.com/sites/c5g/5gradio/_layouts/15/DocIdRedir.aspx?ID=5AIRPNAIUNRU-1328258698-19763</Url>
      <Description>5AIRPNAIUNRU-1328258698-19763</Description>
    </_dlc_DocIdUrl>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A1DB6D1-B1C6-4EDD-A9A1-EF68A7DDCBDC}"/>
</file>

<file path=customXml/itemProps3.xml><?xml version="1.0" encoding="utf-8"?>
<ds:datastoreItem xmlns:ds="http://schemas.openxmlformats.org/officeDocument/2006/customXml" ds:itemID="{97369581-A56A-4161-B1D9-BB1BC419EAA4}"/>
</file>

<file path=customXml/itemProps4.xml><?xml version="1.0" encoding="utf-8"?>
<ds:datastoreItem xmlns:ds="http://schemas.openxmlformats.org/officeDocument/2006/customXml" ds:itemID="{D17533C7-9CC3-45DD-A9D4-87CB4DCDE086}"/>
</file>

<file path=customXml/itemProps5.xml><?xml version="1.0" encoding="utf-8"?>
<ds:datastoreItem xmlns:ds="http://schemas.openxmlformats.org/officeDocument/2006/customXml" ds:itemID="{69AEF52B-123C-4AE7-B12E-5A887628A48A}"/>
</file>

<file path=customXml/itemProps6.xml><?xml version="1.0" encoding="utf-8"?>
<ds:datastoreItem xmlns:ds="http://schemas.openxmlformats.org/officeDocument/2006/customXml" ds:itemID="{7B480168-FF91-418A-94E3-E16070BE8CA5}"/>
</file>

<file path=docProps/app.xml><?xml version="1.0" encoding="utf-8"?>
<Properties xmlns="http://schemas.openxmlformats.org/officeDocument/2006/extended-properties" xmlns:vt="http://schemas.openxmlformats.org/officeDocument/2006/docPropsVTypes">
  <Template>Normal</Template>
  <TotalTime>0</TotalTime>
  <Pages>5</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15119</CharactersWithSpaces>
  <SharedDoc>false</SharedDoc>
  <HLinks>
    <vt:vector size="24" baseType="variant">
      <vt:variant>
        <vt:i4>1572924</vt:i4>
      </vt:variant>
      <vt:variant>
        <vt:i4>20</vt:i4>
      </vt:variant>
      <vt:variant>
        <vt:i4>0</vt:i4>
      </vt:variant>
      <vt:variant>
        <vt:i4>5</vt:i4>
      </vt:variant>
      <vt:variant>
        <vt:lpwstr/>
      </vt:variant>
      <vt:variant>
        <vt:lpwstr>_Toc117780298</vt:lpwstr>
      </vt:variant>
      <vt:variant>
        <vt:i4>1572924</vt:i4>
      </vt:variant>
      <vt:variant>
        <vt:i4>17</vt:i4>
      </vt:variant>
      <vt:variant>
        <vt:i4>0</vt:i4>
      </vt:variant>
      <vt:variant>
        <vt:i4>5</vt:i4>
      </vt:variant>
      <vt:variant>
        <vt:lpwstr/>
      </vt:variant>
      <vt:variant>
        <vt:lpwstr>_Toc117780297</vt:lpwstr>
      </vt:variant>
      <vt:variant>
        <vt:i4>1572924</vt:i4>
      </vt:variant>
      <vt:variant>
        <vt:i4>14</vt:i4>
      </vt:variant>
      <vt:variant>
        <vt:i4>0</vt:i4>
      </vt:variant>
      <vt:variant>
        <vt:i4>5</vt:i4>
      </vt:variant>
      <vt:variant>
        <vt:lpwstr/>
      </vt:variant>
      <vt:variant>
        <vt:lpwstr>_Toc117780296</vt:lpwstr>
      </vt:variant>
      <vt:variant>
        <vt:i4>1572924</vt:i4>
      </vt:variant>
      <vt:variant>
        <vt:i4>11</vt:i4>
      </vt:variant>
      <vt:variant>
        <vt:i4>0</vt:i4>
      </vt:variant>
      <vt:variant>
        <vt:i4>5</vt:i4>
      </vt:variant>
      <vt:variant>
        <vt:lpwstr/>
      </vt:variant>
      <vt:variant>
        <vt:lpwstr>_Toc117780295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2023-02-17T10:19:00Z</dcterms:created>
  <dcterms:modified xsi:type="dcterms:W3CDTF">2023-02-17T10:19:00Z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d7f13bbd-512d-4480-b8c5-0f2986c399ed</vt:lpwstr>
  </property>
</Properties>
</file>