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4F84" w14:textId="43BBAB88" w:rsidR="00246CA7" w:rsidRDefault="00246CA7" w:rsidP="00246CA7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3GPP TSG-RAN WG4 Meeting # </w:t>
      </w:r>
      <w:r w:rsidR="006D658F">
        <w:rPr>
          <w:rFonts w:ascii="Arial" w:eastAsiaTheme="minorEastAsia" w:hAnsi="Arial" w:cs="Arial"/>
          <w:b/>
          <w:sz w:val="24"/>
          <w:szCs w:val="24"/>
          <w:lang w:eastAsia="zh-CN"/>
        </w:rPr>
        <w:t>104</w:t>
      </w:r>
      <w:r w:rsidR="00CA2516">
        <w:rPr>
          <w:rFonts w:ascii="Arial" w:eastAsiaTheme="minorEastAsia" w:hAnsi="Arial" w:cs="Arial"/>
          <w:b/>
          <w:sz w:val="24"/>
          <w:szCs w:val="24"/>
          <w:lang w:eastAsia="zh-CN"/>
        </w:rPr>
        <w:t>b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-e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</w:t>
      </w:r>
      <w:r w:rsidR="00FA5F5E" w:rsidRPr="00350DF7">
        <w:rPr>
          <w:rFonts w:ascii="Arial" w:eastAsiaTheme="minorEastAsia" w:hAnsi="Arial" w:cs="Arial"/>
          <w:b/>
          <w:sz w:val="24"/>
          <w:szCs w:val="24"/>
          <w:lang w:eastAsia="zh-CN"/>
        </w:rPr>
        <w:t>22</w:t>
      </w:r>
      <w:r w:rsidR="00FA5F5E">
        <w:rPr>
          <w:rFonts w:ascii="Arial" w:eastAsiaTheme="minorEastAsia" w:hAnsi="Arial" w:cs="Arial"/>
          <w:b/>
          <w:sz w:val="24"/>
          <w:szCs w:val="24"/>
          <w:lang w:eastAsia="zh-CN"/>
        </w:rPr>
        <w:t>xxxxx</w:t>
      </w:r>
    </w:p>
    <w:p w14:paraId="6E9F291B" w14:textId="45DD6EAB" w:rsidR="00246CA7" w:rsidRDefault="00246CA7" w:rsidP="00246CA7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 w:rsidR="00D2655B">
        <w:rPr>
          <w:rFonts w:ascii="Arial" w:hAnsi="Arial"/>
          <w:b/>
          <w:sz w:val="24"/>
          <w:szCs w:val="24"/>
          <w:lang w:eastAsia="zh-CN"/>
        </w:rPr>
        <w:t>1</w:t>
      </w:r>
      <w:r w:rsidR="00CA2516">
        <w:rPr>
          <w:rFonts w:ascii="Arial" w:hAnsi="Arial"/>
          <w:b/>
          <w:sz w:val="24"/>
          <w:szCs w:val="24"/>
          <w:lang w:eastAsia="zh-CN"/>
        </w:rPr>
        <w:t>0</w:t>
      </w:r>
      <w:r w:rsidR="00D2655B" w:rsidRPr="00C31230">
        <w:rPr>
          <w:rFonts w:ascii="Arial" w:hAnsi="Arial"/>
          <w:b/>
          <w:sz w:val="24"/>
          <w:szCs w:val="24"/>
          <w:vertAlign w:val="superscript"/>
          <w:lang w:eastAsia="zh-CN"/>
        </w:rPr>
        <w:t>th</w:t>
      </w:r>
      <w:r w:rsidR="00C31230">
        <w:rPr>
          <w:rFonts w:ascii="Arial" w:hAnsi="Arial"/>
          <w:b/>
          <w:sz w:val="24"/>
          <w:szCs w:val="24"/>
          <w:lang w:eastAsia="zh-CN"/>
        </w:rPr>
        <w:t>-</w:t>
      </w:r>
      <w:r w:rsidR="00CA2516">
        <w:rPr>
          <w:rFonts w:ascii="Arial" w:hAnsi="Arial"/>
          <w:b/>
          <w:sz w:val="24"/>
          <w:szCs w:val="24"/>
          <w:lang w:eastAsia="zh-CN"/>
        </w:rPr>
        <w:t>19</w:t>
      </w:r>
      <w:r w:rsidR="00D2655B" w:rsidRPr="00C31230">
        <w:rPr>
          <w:rFonts w:ascii="Arial" w:hAnsi="Arial"/>
          <w:b/>
          <w:sz w:val="24"/>
          <w:szCs w:val="24"/>
          <w:vertAlign w:val="superscript"/>
          <w:lang w:eastAsia="zh-CN"/>
        </w:rPr>
        <w:t>th</w:t>
      </w:r>
      <w:r w:rsidR="00C31230">
        <w:rPr>
          <w:rFonts w:ascii="Arial" w:hAnsi="Arial"/>
          <w:b/>
          <w:sz w:val="24"/>
          <w:szCs w:val="24"/>
          <w:lang w:eastAsia="zh-CN"/>
        </w:rPr>
        <w:t>,</w:t>
      </w:r>
      <w:r w:rsidR="00CA5300">
        <w:rPr>
          <w:rFonts w:ascii="Arial" w:hAnsi="Arial"/>
          <w:b/>
          <w:sz w:val="24"/>
          <w:szCs w:val="24"/>
          <w:lang w:eastAsia="zh-CN"/>
        </w:rPr>
        <w:t xml:space="preserve"> </w:t>
      </w:r>
      <w:proofErr w:type="gramStart"/>
      <w:r w:rsidR="00CA2516">
        <w:rPr>
          <w:rFonts w:ascii="Arial" w:hAnsi="Arial"/>
          <w:b/>
          <w:sz w:val="24"/>
          <w:szCs w:val="24"/>
          <w:lang w:eastAsia="zh-CN"/>
        </w:rPr>
        <w:t>Oct</w:t>
      </w:r>
      <w:r w:rsidR="00D2655B">
        <w:rPr>
          <w:rFonts w:ascii="Arial" w:hAnsi="Arial"/>
          <w:b/>
          <w:sz w:val="24"/>
          <w:szCs w:val="24"/>
          <w:lang w:eastAsia="zh-CN"/>
        </w:rPr>
        <w:t>.</w:t>
      </w:r>
      <w:r>
        <w:rPr>
          <w:rFonts w:ascii="Arial" w:hAnsi="Arial"/>
          <w:b/>
          <w:sz w:val="24"/>
          <w:szCs w:val="24"/>
          <w:lang w:eastAsia="zh-CN"/>
        </w:rPr>
        <w:t>,</w:t>
      </w:r>
      <w:proofErr w:type="gramEnd"/>
      <w:r>
        <w:rPr>
          <w:rFonts w:ascii="Arial" w:hAnsi="Arial"/>
          <w:b/>
          <w:sz w:val="24"/>
          <w:szCs w:val="24"/>
          <w:lang w:eastAsia="zh-CN"/>
        </w:rPr>
        <w:t xml:space="preserve"> 2022</w:t>
      </w:r>
    </w:p>
    <w:p w14:paraId="24D6B843" w14:textId="77777777" w:rsidR="00820C08" w:rsidRPr="00D211A9" w:rsidRDefault="00820C08" w:rsidP="00820C08">
      <w:pPr>
        <w:spacing w:after="120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19A5220E" w14:textId="03B4D9A2" w:rsidR="00DE0A1C" w:rsidRPr="00DE0A1C" w:rsidRDefault="00DE0A1C" w:rsidP="00DE0A1C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 w:rsidRPr="00C81BBA">
        <w:rPr>
          <w:rFonts w:ascii="Arial" w:eastAsia="MS Mincho" w:hAnsi="Arial" w:cs="Arial"/>
          <w:b/>
          <w:color w:val="000000"/>
          <w:sz w:val="22"/>
        </w:rPr>
        <w:t>Title:</w:t>
      </w:r>
      <w:r w:rsidRPr="00C81BBA">
        <w:rPr>
          <w:rFonts w:ascii="Arial" w:eastAsia="MS Mincho" w:hAnsi="Arial" w:cs="Arial"/>
          <w:b/>
          <w:color w:val="000000"/>
          <w:sz w:val="22"/>
        </w:rPr>
        <w:tab/>
      </w:r>
      <w:r w:rsidRPr="005C4A06">
        <w:rPr>
          <w:rFonts w:ascii="Arial" w:hAnsi="Arial" w:cs="Arial"/>
          <w:color w:val="000000"/>
          <w:sz w:val="22"/>
          <w:lang w:eastAsia="zh-CN"/>
        </w:rPr>
        <w:t xml:space="preserve">WF on </w:t>
      </w:r>
      <w:proofErr w:type="spellStart"/>
      <w:r w:rsidRPr="005C4A06">
        <w:rPr>
          <w:rFonts w:ascii="Arial" w:hAnsi="Arial" w:cs="Arial"/>
          <w:color w:val="000000"/>
          <w:sz w:val="22"/>
          <w:lang w:eastAsia="zh-CN"/>
        </w:rPr>
        <w:t>FeMIMO</w:t>
      </w:r>
      <w:proofErr w:type="spellEnd"/>
      <w:r w:rsidRPr="005C4A06">
        <w:rPr>
          <w:rFonts w:ascii="Arial" w:hAnsi="Arial" w:cs="Arial"/>
          <w:color w:val="000000"/>
          <w:sz w:val="22"/>
          <w:lang w:eastAsia="zh-CN"/>
        </w:rPr>
        <w:t xml:space="preserve"> RRM impact for unified TCI state</w:t>
      </w:r>
    </w:p>
    <w:p w14:paraId="5C67AD44" w14:textId="0FCA96F6" w:rsidR="00820C08" w:rsidRPr="00AB4182" w:rsidRDefault="00820C08" w:rsidP="00820C08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 w:rsidRPr="00915D73">
        <w:rPr>
          <w:rFonts w:ascii="Arial" w:eastAsia="MS Mincho" w:hAnsi="Arial" w:cs="Arial"/>
          <w:b/>
          <w:color w:val="000000"/>
          <w:sz w:val="22"/>
          <w:lang w:val="pt-BR"/>
        </w:rPr>
        <w:t xml:space="preserve">Agenda 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>item</w:t>
      </w:r>
      <w:r w:rsidRPr="00915D73">
        <w:rPr>
          <w:rFonts w:ascii="Arial" w:eastAsia="MS Mincho" w:hAnsi="Arial" w:cs="Arial"/>
          <w:b/>
          <w:color w:val="000000"/>
          <w:sz w:val="22"/>
          <w:lang w:val="pt-BR"/>
        </w:rPr>
        <w:t>:</w:t>
      </w:r>
      <w:r w:rsidRPr="00915D73"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 w:rsidRPr="00915D73"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Pr="00915D73"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CA2516">
        <w:rPr>
          <w:rFonts w:ascii="Arial" w:eastAsiaTheme="minorEastAsia" w:hAnsi="Arial" w:cs="Arial"/>
          <w:color w:val="000000"/>
          <w:sz w:val="22"/>
          <w:lang w:eastAsia="zh-CN"/>
        </w:rPr>
        <w:t>4.5.1</w:t>
      </w:r>
    </w:p>
    <w:p w14:paraId="106EFC1F" w14:textId="1444FBA8" w:rsidR="00820C08" w:rsidRPr="00915D73" w:rsidRDefault="00820C08" w:rsidP="00820C08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 w:rsidRPr="00915D73">
        <w:rPr>
          <w:rFonts w:ascii="Arial" w:eastAsia="MS Mincho" w:hAnsi="Arial" w:cs="Arial"/>
          <w:b/>
          <w:sz w:val="22"/>
        </w:rPr>
        <w:t>Source:</w:t>
      </w:r>
      <w:r w:rsidRPr="00915D73">
        <w:rPr>
          <w:rFonts w:ascii="Arial" w:eastAsia="MS Mincho" w:hAnsi="Arial" w:cs="Arial"/>
          <w:b/>
          <w:sz w:val="22"/>
        </w:rPr>
        <w:tab/>
      </w:r>
      <w:r w:rsidR="00A310D5">
        <w:rPr>
          <w:rFonts w:ascii="Arial" w:hAnsi="Arial" w:cs="Arial"/>
          <w:color w:val="000000"/>
          <w:sz w:val="22"/>
          <w:lang w:eastAsia="zh-CN"/>
        </w:rPr>
        <w:t>Intel</w:t>
      </w:r>
    </w:p>
    <w:p w14:paraId="69EC93B7" w14:textId="77777777" w:rsidR="004745F6" w:rsidRPr="00C81BBA" w:rsidRDefault="004745F6" w:rsidP="004745F6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 w:rsidRPr="00C81BBA">
        <w:rPr>
          <w:rFonts w:ascii="Arial" w:eastAsia="MS Mincho" w:hAnsi="Arial" w:cs="Arial"/>
          <w:b/>
          <w:color w:val="000000"/>
          <w:sz w:val="22"/>
        </w:rPr>
        <w:t>Document for:</w:t>
      </w:r>
      <w:r w:rsidRPr="00C81BBA">
        <w:rPr>
          <w:rFonts w:ascii="Arial" w:eastAsia="MS Mincho" w:hAnsi="Arial" w:cs="Arial"/>
          <w:b/>
          <w:color w:val="000000"/>
          <w:sz w:val="22"/>
        </w:rPr>
        <w:tab/>
      </w:r>
      <w:r w:rsidR="00E37529">
        <w:rPr>
          <w:rFonts w:ascii="Arial" w:eastAsiaTheme="minorEastAsia" w:hAnsi="Arial" w:cs="Arial"/>
          <w:color w:val="000000"/>
          <w:sz w:val="22"/>
          <w:lang w:eastAsia="zh-CN"/>
        </w:rPr>
        <w:t>Approval</w:t>
      </w:r>
    </w:p>
    <w:p w14:paraId="4BC339FC" w14:textId="77777777" w:rsidR="00346610" w:rsidRPr="00346610" w:rsidRDefault="00346610" w:rsidP="00346610">
      <w:pPr>
        <w:rPr>
          <w:lang w:eastAsia="zh-CN"/>
        </w:rPr>
      </w:pPr>
    </w:p>
    <w:p w14:paraId="5F3284B4" w14:textId="77777777" w:rsidR="00346610" w:rsidRDefault="00346610" w:rsidP="00346610">
      <w:pPr>
        <w:pStyle w:val="Heading1"/>
        <w:rPr>
          <w:rFonts w:eastAsiaTheme="minorEastAsia"/>
          <w:lang w:eastAsia="zh-CN"/>
        </w:rPr>
      </w:pPr>
      <w:r>
        <w:rPr>
          <w:lang w:eastAsia="ja-JP"/>
        </w:rPr>
        <w:t>W</w:t>
      </w:r>
      <w:r>
        <w:rPr>
          <w:rFonts w:hint="eastAsia"/>
          <w:lang w:eastAsia="zh-CN"/>
        </w:rPr>
        <w:t>ay</w:t>
      </w:r>
      <w:r>
        <w:rPr>
          <w:lang w:eastAsia="ja-JP"/>
        </w:rPr>
        <w:t xml:space="preserve"> F</w:t>
      </w:r>
      <w:r>
        <w:rPr>
          <w:rFonts w:hint="eastAsia"/>
          <w:lang w:eastAsia="zh-CN"/>
        </w:rPr>
        <w:t>orward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o</w:t>
      </w:r>
      <w:r>
        <w:rPr>
          <w:lang w:eastAsia="zh-CN"/>
        </w:rPr>
        <w:t xml:space="preserve">n </w:t>
      </w:r>
      <w:r>
        <w:rPr>
          <w:rFonts w:eastAsiaTheme="minorEastAsia"/>
          <w:lang w:eastAsia="zh-CN"/>
        </w:rPr>
        <w:t>Unified TCI state</w:t>
      </w:r>
    </w:p>
    <w:p w14:paraId="0FBD5F11" w14:textId="7E20EA0B" w:rsidR="002F69B8" w:rsidRDefault="002F69B8" w:rsidP="002F69B8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Sub-topic 1-1 </w:t>
      </w:r>
      <w:r w:rsidR="00857206">
        <w:rPr>
          <w:sz w:val="24"/>
          <w:szCs w:val="16"/>
        </w:rPr>
        <w:t>A</w:t>
      </w:r>
      <w:r w:rsidR="005F192B">
        <w:rPr>
          <w:sz w:val="24"/>
          <w:szCs w:val="16"/>
        </w:rPr>
        <w:t>ctive UL TCI state</w:t>
      </w:r>
      <w:r>
        <w:rPr>
          <w:sz w:val="24"/>
          <w:szCs w:val="16"/>
        </w:rPr>
        <w:t xml:space="preserve"> </w:t>
      </w:r>
    </w:p>
    <w:p w14:paraId="5F7A2D84" w14:textId="14936533" w:rsidR="00AC2402" w:rsidRPr="005D7567" w:rsidRDefault="00AC2402" w:rsidP="00AC2402">
      <w:pPr>
        <w:spacing w:after="120"/>
        <w:rPr>
          <w:rFonts w:eastAsiaTheme="minorEastAsia"/>
          <w:b/>
          <w:u w:val="single"/>
          <w:lang w:eastAsia="zh-CN"/>
        </w:rPr>
      </w:pPr>
      <w:r>
        <w:rPr>
          <w:rFonts w:eastAsiaTheme="minorEastAsia"/>
          <w:b/>
          <w:u w:val="single"/>
          <w:lang w:eastAsia="zh-CN"/>
        </w:rPr>
        <w:t xml:space="preserve">Issue1-1-1a </w:t>
      </w:r>
      <w:r w:rsidRPr="005D7567">
        <w:rPr>
          <w:rFonts w:eastAsiaTheme="minorEastAsia"/>
          <w:b/>
          <w:u w:val="single"/>
          <w:lang w:eastAsia="zh-CN"/>
        </w:rPr>
        <w:t xml:space="preserve">If source RS in UL TCI state is </w:t>
      </w:r>
      <w:r w:rsidRPr="00583555">
        <w:rPr>
          <w:rFonts w:eastAsiaTheme="minorEastAsia"/>
          <w:b/>
          <w:u w:val="single"/>
          <w:lang w:eastAsia="zh-CN"/>
        </w:rPr>
        <w:t>in</w:t>
      </w:r>
      <w:r w:rsidRPr="005D7567">
        <w:rPr>
          <w:rFonts w:eastAsiaTheme="minorEastAsia"/>
          <w:b/>
          <w:u w:val="single"/>
          <w:lang w:eastAsia="zh-CN"/>
        </w:rPr>
        <w:t xml:space="preserve"> the DL active TCI list:</w:t>
      </w:r>
    </w:p>
    <w:p w14:paraId="6D30FD0A" w14:textId="4AEEC06C" w:rsidR="00AC2402" w:rsidRPr="00A92709" w:rsidRDefault="00AC2402" w:rsidP="00AC2402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20" w:line="259" w:lineRule="auto"/>
        <w:ind w:left="740" w:firstLineChars="0"/>
        <w:textAlignment w:val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Agreements</w:t>
      </w:r>
      <w:r w:rsidRPr="00A92709">
        <w:rPr>
          <w:rFonts w:eastAsiaTheme="minorEastAsia"/>
          <w:lang w:eastAsia="zh-CN"/>
        </w:rPr>
        <w:t>:</w:t>
      </w:r>
    </w:p>
    <w:p w14:paraId="0B684B8B" w14:textId="4458CD32" w:rsidR="00AC2402" w:rsidRPr="00A92709" w:rsidRDefault="00AC2402" w:rsidP="00AC2402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 w:line="259" w:lineRule="auto"/>
        <w:ind w:left="1656" w:firstLineChars="0"/>
        <w:textAlignment w:val="auto"/>
        <w:rPr>
          <w:rFonts w:eastAsiaTheme="minorEastAsia"/>
          <w:lang w:val="sv-SE" w:eastAsia="zh-CN"/>
        </w:rPr>
      </w:pPr>
      <w:r w:rsidRPr="00A92709">
        <w:rPr>
          <w:rFonts w:eastAsiaTheme="minorEastAsia"/>
          <w:lang w:val="sv-SE" w:eastAsia="zh-CN"/>
        </w:rPr>
        <w:t>No time/frequency tracking is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8286"/>
      </w:tblGrid>
      <w:tr w:rsidR="00AC2402" w14:paraId="30DBF040" w14:textId="77777777" w:rsidTr="00A92709">
        <w:tc>
          <w:tcPr>
            <w:tcW w:w="1450" w:type="dxa"/>
          </w:tcPr>
          <w:p w14:paraId="1BF63226" w14:textId="77777777" w:rsidR="00AC2402" w:rsidRDefault="00AC2402" w:rsidP="00A92709">
            <w:pPr>
              <w:spacing w:after="120"/>
              <w:ind w:firstLine="40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286" w:type="dxa"/>
          </w:tcPr>
          <w:p w14:paraId="4EEE8E75" w14:textId="77777777" w:rsidR="00AC2402" w:rsidRDefault="00AC2402" w:rsidP="00A92709">
            <w:pPr>
              <w:spacing w:after="120"/>
              <w:ind w:firstLine="40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C2402" w14:paraId="10D3FF6D" w14:textId="77777777" w:rsidTr="00A92709">
        <w:tc>
          <w:tcPr>
            <w:tcW w:w="1450" w:type="dxa"/>
          </w:tcPr>
          <w:p w14:paraId="009CA79D" w14:textId="77777777" w:rsidR="00AC2402" w:rsidRDefault="00AC2402" w:rsidP="00A92709">
            <w:pPr>
              <w:spacing w:after="120"/>
              <w:ind w:firstLine="40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286" w:type="dxa"/>
          </w:tcPr>
          <w:p w14:paraId="14D6D5C7" w14:textId="77777777" w:rsidR="00AC2402" w:rsidRDefault="00AC2402" w:rsidP="00A92709">
            <w:pPr>
              <w:spacing w:after="120"/>
              <w:ind w:firstLine="400"/>
              <w:rPr>
                <w:bCs/>
                <w:lang w:eastAsia="zh-CN"/>
              </w:rPr>
            </w:pPr>
          </w:p>
        </w:tc>
      </w:tr>
      <w:tr w:rsidR="00AC2402" w14:paraId="03453661" w14:textId="77777777" w:rsidTr="00A92709">
        <w:tc>
          <w:tcPr>
            <w:tcW w:w="1450" w:type="dxa"/>
          </w:tcPr>
          <w:p w14:paraId="2FFAA631" w14:textId="77777777" w:rsidR="00AC2402" w:rsidRDefault="00AC2402" w:rsidP="00A9270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286" w:type="dxa"/>
          </w:tcPr>
          <w:p w14:paraId="3DC680BA" w14:textId="77777777" w:rsidR="00AC2402" w:rsidRDefault="00AC2402" w:rsidP="00A9270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AC2402" w14:paraId="2A7CFE64" w14:textId="77777777" w:rsidTr="00A92709">
        <w:tc>
          <w:tcPr>
            <w:tcW w:w="1450" w:type="dxa"/>
          </w:tcPr>
          <w:p w14:paraId="1143D818" w14:textId="77777777" w:rsidR="00AC2402" w:rsidRDefault="00AC2402" w:rsidP="00A92709">
            <w:pPr>
              <w:spacing w:after="120"/>
              <w:ind w:firstLine="40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286" w:type="dxa"/>
          </w:tcPr>
          <w:p w14:paraId="72C5D4AE" w14:textId="77777777" w:rsidR="00AC2402" w:rsidRDefault="00AC2402" w:rsidP="00A92709">
            <w:pPr>
              <w:spacing w:after="120"/>
              <w:ind w:firstLine="400"/>
              <w:rPr>
                <w:rFonts w:eastAsia="PMingLiU"/>
                <w:bCs/>
                <w:lang w:eastAsia="zh-TW"/>
              </w:rPr>
            </w:pPr>
          </w:p>
        </w:tc>
      </w:tr>
      <w:tr w:rsidR="00AC2402" w14:paraId="49FD46D6" w14:textId="77777777" w:rsidTr="00A92709">
        <w:tc>
          <w:tcPr>
            <w:tcW w:w="1450" w:type="dxa"/>
          </w:tcPr>
          <w:p w14:paraId="1837FA74" w14:textId="77777777" w:rsidR="00AC2402" w:rsidRDefault="00AC2402" w:rsidP="00A92709">
            <w:pPr>
              <w:spacing w:after="120"/>
              <w:ind w:firstLine="40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286" w:type="dxa"/>
          </w:tcPr>
          <w:p w14:paraId="368FE97E" w14:textId="77777777" w:rsidR="00AC2402" w:rsidRDefault="00AC2402" w:rsidP="00A92709">
            <w:pPr>
              <w:spacing w:after="120"/>
              <w:ind w:firstLine="400"/>
              <w:rPr>
                <w:bCs/>
                <w:lang w:eastAsia="ja-JP"/>
              </w:rPr>
            </w:pPr>
          </w:p>
        </w:tc>
      </w:tr>
    </w:tbl>
    <w:p w14:paraId="3B26BDFB" w14:textId="1DC4C877" w:rsidR="00AC2402" w:rsidRDefault="00AC2402" w:rsidP="00AC2402">
      <w:pPr>
        <w:spacing w:after="120"/>
        <w:rPr>
          <w:rFonts w:eastAsiaTheme="minorEastAsia"/>
          <w:bCs/>
          <w:lang w:val="sv-SE" w:eastAsia="zh-CN"/>
        </w:rPr>
      </w:pPr>
    </w:p>
    <w:p w14:paraId="214B33C8" w14:textId="77777777" w:rsidR="00AC2402" w:rsidRPr="00AC2402" w:rsidRDefault="00AC2402" w:rsidP="00AC2402">
      <w:pPr>
        <w:spacing w:after="120"/>
        <w:rPr>
          <w:rFonts w:eastAsiaTheme="minorEastAsia"/>
          <w:bCs/>
          <w:lang w:val="sv-SE" w:eastAsia="zh-CN"/>
        </w:rPr>
      </w:pPr>
    </w:p>
    <w:p w14:paraId="58531FA6" w14:textId="759E06C1" w:rsidR="00AC2402" w:rsidRPr="005D7567" w:rsidRDefault="00AC2402" w:rsidP="00AC2402">
      <w:pPr>
        <w:spacing w:after="120"/>
        <w:rPr>
          <w:rFonts w:eastAsiaTheme="minorEastAsia"/>
          <w:b/>
          <w:u w:val="single"/>
          <w:lang w:eastAsia="zh-CN"/>
        </w:rPr>
      </w:pPr>
      <w:r>
        <w:rPr>
          <w:rFonts w:eastAsiaTheme="minorEastAsia"/>
          <w:b/>
          <w:u w:val="single"/>
          <w:lang w:eastAsia="zh-CN"/>
        </w:rPr>
        <w:t xml:space="preserve">Issue1-1-1b </w:t>
      </w:r>
      <w:r w:rsidRPr="005D7567">
        <w:rPr>
          <w:rFonts w:eastAsiaTheme="minorEastAsia"/>
          <w:b/>
          <w:u w:val="single"/>
          <w:lang w:eastAsia="zh-CN"/>
        </w:rPr>
        <w:t xml:space="preserve">If source RS in UL TCI state </w:t>
      </w:r>
      <w:r w:rsidRPr="00583555">
        <w:rPr>
          <w:rFonts w:eastAsiaTheme="minorEastAsia"/>
          <w:b/>
          <w:u w:val="single"/>
          <w:lang w:eastAsia="zh-CN"/>
        </w:rPr>
        <w:t>is not</w:t>
      </w:r>
      <w:r w:rsidRPr="005D7567">
        <w:rPr>
          <w:rFonts w:eastAsiaTheme="minorEastAsia"/>
          <w:b/>
          <w:u w:val="single"/>
          <w:lang w:eastAsia="zh-CN"/>
        </w:rPr>
        <w:t xml:space="preserve"> in the DL active TCI list:</w:t>
      </w:r>
    </w:p>
    <w:p w14:paraId="07F1F880" w14:textId="4A7600EA" w:rsidR="00AC2402" w:rsidRPr="00A92709" w:rsidRDefault="00AC2402" w:rsidP="00AC2402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20" w:line="259" w:lineRule="auto"/>
        <w:ind w:left="740" w:firstLineChars="0"/>
        <w:textAlignment w:val="auto"/>
        <w:rPr>
          <w:rFonts w:eastAsiaTheme="minorEastAsia"/>
          <w:lang w:eastAsia="zh-CN"/>
        </w:rPr>
      </w:pPr>
      <w:r w:rsidRPr="00A92709">
        <w:rPr>
          <w:rFonts w:eastAsiaTheme="minorEastAsia"/>
          <w:lang w:eastAsia="zh-CN"/>
        </w:rPr>
        <w:t>Proposals:</w:t>
      </w:r>
    </w:p>
    <w:p w14:paraId="68D70E21" w14:textId="3422A0FD" w:rsidR="00AC2402" w:rsidRPr="00A92709" w:rsidRDefault="00AC2402" w:rsidP="00AC2402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 w:line="259" w:lineRule="auto"/>
        <w:ind w:left="1656" w:firstLineChars="0"/>
        <w:textAlignment w:val="auto"/>
        <w:rPr>
          <w:rFonts w:eastAsiaTheme="minorEastAsia"/>
          <w:lang w:val="sv-SE" w:eastAsia="zh-CN"/>
        </w:rPr>
      </w:pPr>
      <w:r>
        <w:rPr>
          <w:rFonts w:eastAsiaTheme="minorEastAsia"/>
          <w:lang w:val="sv-SE" w:eastAsia="zh-CN"/>
        </w:rPr>
        <w:t>Proposal</w:t>
      </w:r>
      <w:r w:rsidRPr="00A92709">
        <w:rPr>
          <w:rFonts w:eastAsiaTheme="minorEastAsia"/>
          <w:lang w:val="sv-SE" w:eastAsia="zh-CN"/>
        </w:rPr>
        <w:t xml:space="preserve"> 1: No time/frequency tracking is needed</w:t>
      </w:r>
    </w:p>
    <w:p w14:paraId="1D45FAB5" w14:textId="2F86D3F1" w:rsidR="00AC2402" w:rsidRPr="00A92709" w:rsidRDefault="00AC2402" w:rsidP="00AC2402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 w:line="259" w:lineRule="auto"/>
        <w:ind w:left="1656" w:firstLineChars="0"/>
        <w:textAlignment w:val="auto"/>
        <w:rPr>
          <w:rFonts w:eastAsiaTheme="minorEastAsia"/>
          <w:lang w:val="sv-SE" w:eastAsia="zh-CN"/>
        </w:rPr>
      </w:pPr>
      <w:r>
        <w:rPr>
          <w:rFonts w:eastAsiaTheme="minorEastAsia"/>
          <w:lang w:val="sv-SE" w:eastAsia="zh-CN"/>
        </w:rPr>
        <w:t>Proposal</w:t>
      </w:r>
      <w:r w:rsidRPr="00A92709">
        <w:rPr>
          <w:rFonts w:eastAsiaTheme="minorEastAsia"/>
          <w:lang w:val="sv-SE" w:eastAsia="zh-CN"/>
        </w:rPr>
        <w:t xml:space="preserve"> 2: Time/frequency tracking is needed</w:t>
      </w:r>
    </w:p>
    <w:p w14:paraId="77538CC8" w14:textId="627D89B5" w:rsidR="00A31EA8" w:rsidRDefault="00AC2402" w:rsidP="00DF5627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 w:line="259" w:lineRule="auto"/>
        <w:ind w:left="1656" w:firstLineChars="0"/>
        <w:textAlignment w:val="auto"/>
        <w:rPr>
          <w:rFonts w:eastAsiaTheme="minorEastAsia"/>
          <w:lang w:val="sv-SE" w:eastAsia="zh-CN"/>
        </w:rPr>
      </w:pPr>
      <w:r>
        <w:rPr>
          <w:rFonts w:eastAsiaTheme="minorEastAsia"/>
          <w:lang w:val="sv-SE" w:eastAsia="zh-CN"/>
        </w:rPr>
        <w:t>Proposal</w:t>
      </w:r>
      <w:r w:rsidRPr="00A92709">
        <w:rPr>
          <w:rFonts w:eastAsiaTheme="minorEastAsia"/>
          <w:lang w:val="sv-SE" w:eastAsia="zh-CN"/>
        </w:rPr>
        <w:t xml:space="preserve"> 3: No requirement for the case.</w:t>
      </w:r>
      <w:r>
        <w:rPr>
          <w:rFonts w:eastAsiaTheme="minorEastAsia"/>
          <w:lang w:val="sv-SE" w:eastAsia="zh-CN"/>
        </w:rPr>
        <w:t xml:space="preserve"> </w:t>
      </w:r>
      <w:r w:rsidRPr="00A92709">
        <w:rPr>
          <w:rFonts w:eastAsiaTheme="minorEastAsia"/>
          <w:lang w:val="sv-SE" w:eastAsia="zh-CN"/>
        </w:rPr>
        <w:t>Adding applicability rules for current UL TCI switching when source RS in active UL TCI state is a subset of source RS in DL active TCI list</w:t>
      </w:r>
    </w:p>
    <w:p w14:paraId="4FB51027" w14:textId="21CFABA7" w:rsidR="00DC01E7" w:rsidRDefault="00DC01E7" w:rsidP="00DF5627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 w:line="259" w:lineRule="auto"/>
        <w:ind w:left="1656" w:firstLineChars="0"/>
        <w:textAlignment w:val="auto"/>
        <w:rPr>
          <w:rFonts w:eastAsiaTheme="minorEastAsia"/>
          <w:lang w:val="sv-SE" w:eastAsia="zh-CN"/>
        </w:rPr>
      </w:pPr>
      <w:r>
        <w:rPr>
          <w:rFonts w:eastAsiaTheme="minorEastAsia"/>
          <w:lang w:val="sv-SE" w:eastAsia="zh-CN"/>
        </w:rPr>
        <w:t>Proposal</w:t>
      </w:r>
      <w:r w:rsidRPr="00A92709">
        <w:rPr>
          <w:rFonts w:eastAsiaTheme="minorEastAsia"/>
          <w:lang w:val="sv-SE" w:eastAsia="zh-CN"/>
        </w:rPr>
        <w:t xml:space="preserve"> </w:t>
      </w:r>
      <w:r>
        <w:rPr>
          <w:rFonts w:eastAsiaTheme="minorEastAsia"/>
          <w:lang w:val="sv-SE" w:eastAsia="zh-CN"/>
        </w:rPr>
        <w:t>4</w:t>
      </w:r>
      <w:r w:rsidRPr="00A92709">
        <w:rPr>
          <w:rFonts w:eastAsiaTheme="minorEastAsia"/>
          <w:lang w:val="sv-SE" w:eastAsia="zh-CN"/>
        </w:rPr>
        <w:t>:</w:t>
      </w:r>
      <w:r>
        <w:rPr>
          <w:rFonts w:eastAsiaTheme="minorEastAsia"/>
          <w:lang w:val="sv-SE" w:eastAsia="zh-CN"/>
        </w:rPr>
        <w:t xml:space="preserve"> other option</w:t>
      </w:r>
    </w:p>
    <w:p w14:paraId="2E2DCA8A" w14:textId="77777777" w:rsidR="00AC2402" w:rsidRPr="004160EF" w:rsidRDefault="00AC2402" w:rsidP="00AC2402">
      <w:pPr>
        <w:pStyle w:val="ListParagraph"/>
        <w:overflowPunct/>
        <w:autoSpaceDE/>
        <w:autoSpaceDN/>
        <w:adjustRightInd/>
        <w:spacing w:after="120"/>
        <w:ind w:left="1656" w:firstLineChars="0" w:firstLine="0"/>
        <w:textAlignment w:val="auto"/>
        <w:rPr>
          <w:rFonts w:eastAsiaTheme="minorEastAsia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8286"/>
      </w:tblGrid>
      <w:tr w:rsidR="00A31EA8" w14:paraId="7D5BF062" w14:textId="77777777" w:rsidTr="008F194A">
        <w:tc>
          <w:tcPr>
            <w:tcW w:w="1450" w:type="dxa"/>
          </w:tcPr>
          <w:p w14:paraId="39087ACD" w14:textId="77777777" w:rsidR="00A31EA8" w:rsidRDefault="00A31EA8" w:rsidP="008F194A">
            <w:pPr>
              <w:spacing w:after="120"/>
              <w:ind w:firstLine="40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286" w:type="dxa"/>
          </w:tcPr>
          <w:p w14:paraId="155BC9DD" w14:textId="77777777" w:rsidR="00A31EA8" w:rsidRDefault="00A31EA8" w:rsidP="008F194A">
            <w:pPr>
              <w:spacing w:after="120"/>
              <w:ind w:firstLine="40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31EA8" w14:paraId="176CEAC2" w14:textId="77777777" w:rsidTr="008F194A">
        <w:tc>
          <w:tcPr>
            <w:tcW w:w="1450" w:type="dxa"/>
          </w:tcPr>
          <w:p w14:paraId="4B21DC48" w14:textId="6188885F" w:rsidR="00A31EA8" w:rsidRDefault="00A31EA8" w:rsidP="008F194A">
            <w:pPr>
              <w:spacing w:after="120"/>
              <w:ind w:firstLine="40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286" w:type="dxa"/>
          </w:tcPr>
          <w:p w14:paraId="6D0C9995" w14:textId="054F5198" w:rsidR="00A31EA8" w:rsidRDefault="00A31EA8" w:rsidP="008F194A">
            <w:pPr>
              <w:spacing w:after="120"/>
              <w:ind w:firstLine="400"/>
              <w:rPr>
                <w:bCs/>
                <w:lang w:eastAsia="zh-CN"/>
              </w:rPr>
            </w:pPr>
          </w:p>
        </w:tc>
      </w:tr>
      <w:tr w:rsidR="00A31EA8" w14:paraId="49DDF9E5" w14:textId="77777777" w:rsidTr="008F194A">
        <w:tc>
          <w:tcPr>
            <w:tcW w:w="1450" w:type="dxa"/>
          </w:tcPr>
          <w:p w14:paraId="4876D13E" w14:textId="6F43BF34" w:rsidR="00A31EA8" w:rsidRDefault="00A31EA8" w:rsidP="008F194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286" w:type="dxa"/>
          </w:tcPr>
          <w:p w14:paraId="11461D47" w14:textId="4DFB733F" w:rsidR="00A31EA8" w:rsidRDefault="00A31EA8" w:rsidP="008F194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A31EA8" w14:paraId="1B8AAA4C" w14:textId="77777777" w:rsidTr="008F194A">
        <w:tc>
          <w:tcPr>
            <w:tcW w:w="1450" w:type="dxa"/>
          </w:tcPr>
          <w:p w14:paraId="63C89C82" w14:textId="5D3758AE" w:rsidR="00A31EA8" w:rsidRDefault="00A31EA8" w:rsidP="008F194A">
            <w:pPr>
              <w:spacing w:after="120"/>
              <w:ind w:firstLine="40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286" w:type="dxa"/>
          </w:tcPr>
          <w:p w14:paraId="22290AA9" w14:textId="14E265FB" w:rsidR="00A31EA8" w:rsidRDefault="00A31EA8" w:rsidP="008F194A">
            <w:pPr>
              <w:spacing w:after="120"/>
              <w:ind w:firstLine="400"/>
              <w:rPr>
                <w:rFonts w:eastAsia="PMingLiU"/>
                <w:bCs/>
                <w:lang w:eastAsia="zh-TW"/>
              </w:rPr>
            </w:pPr>
          </w:p>
        </w:tc>
      </w:tr>
      <w:tr w:rsidR="00A31EA8" w14:paraId="1647B3D0" w14:textId="77777777" w:rsidTr="008F194A">
        <w:tc>
          <w:tcPr>
            <w:tcW w:w="1450" w:type="dxa"/>
          </w:tcPr>
          <w:p w14:paraId="31B3E23A" w14:textId="77777777" w:rsidR="00A31EA8" w:rsidRDefault="00A31EA8" w:rsidP="008F194A">
            <w:pPr>
              <w:spacing w:after="120"/>
              <w:ind w:firstLine="40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286" w:type="dxa"/>
          </w:tcPr>
          <w:p w14:paraId="5CFAA2E3" w14:textId="77777777" w:rsidR="00A31EA8" w:rsidRDefault="00A31EA8" w:rsidP="00AC2402">
            <w:pPr>
              <w:spacing w:after="120"/>
              <w:rPr>
                <w:bCs/>
                <w:lang w:eastAsia="ja-JP"/>
              </w:rPr>
            </w:pPr>
          </w:p>
        </w:tc>
      </w:tr>
    </w:tbl>
    <w:p w14:paraId="35777477" w14:textId="004A6EE6" w:rsidR="008A2175" w:rsidRPr="00D211A9" w:rsidRDefault="008A2175" w:rsidP="00A31EA8">
      <w:pPr>
        <w:spacing w:after="120"/>
        <w:rPr>
          <w:rFonts w:eastAsiaTheme="minorEastAsia"/>
          <w:lang w:eastAsia="zh-CN"/>
        </w:rPr>
      </w:pPr>
    </w:p>
    <w:p w14:paraId="0495D8C6" w14:textId="77777777" w:rsidR="00A31EA8" w:rsidRPr="00D211A9" w:rsidRDefault="00A31EA8" w:rsidP="00D211A9">
      <w:pPr>
        <w:spacing w:after="120"/>
        <w:rPr>
          <w:lang w:val="en-US"/>
        </w:rPr>
      </w:pPr>
    </w:p>
    <w:p w14:paraId="70700516" w14:textId="4BE4A899" w:rsidR="00A53EE2" w:rsidRDefault="00A53EE2" w:rsidP="00A53EE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Sub-topic 1-2 </w:t>
      </w:r>
      <w:r w:rsidR="005F192B">
        <w:rPr>
          <w:sz w:val="24"/>
          <w:szCs w:val="16"/>
        </w:rPr>
        <w:t xml:space="preserve">MAC CE based TCI state Switching delay requirements </w:t>
      </w:r>
    </w:p>
    <w:p w14:paraId="396879BB" w14:textId="77777777" w:rsidR="00AC2402" w:rsidRDefault="00AC2402" w:rsidP="00AC2402">
      <w:pPr>
        <w:spacing w:after="120"/>
        <w:rPr>
          <w:rFonts w:eastAsiaTheme="minorEastAsia"/>
          <w:b/>
          <w:u w:val="single"/>
          <w:lang w:eastAsia="zh-CN"/>
        </w:rPr>
      </w:pPr>
      <w:r>
        <w:rPr>
          <w:rFonts w:eastAsiaTheme="minorEastAsia"/>
          <w:b/>
          <w:u w:val="single"/>
          <w:lang w:eastAsia="zh-CN"/>
        </w:rPr>
        <w:t>Issue 1-2-1 Joint TCI switching delay requirement for DL TCI state switch</w:t>
      </w:r>
    </w:p>
    <w:p w14:paraId="15C637BE" w14:textId="77777777" w:rsidR="00AC2402" w:rsidRDefault="00AC2402" w:rsidP="00AC2402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20" w:line="259" w:lineRule="auto"/>
        <w:ind w:left="740" w:firstLineChars="0"/>
        <w:textAlignment w:val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Proposals:</w:t>
      </w:r>
    </w:p>
    <w:p w14:paraId="70552207" w14:textId="77777777" w:rsidR="00AC2402" w:rsidRDefault="00AC2402" w:rsidP="00AC2402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 w:line="259" w:lineRule="auto"/>
        <w:ind w:left="1656" w:firstLineChars="0"/>
        <w:textAlignment w:val="auto"/>
        <w:rPr>
          <w:rFonts w:eastAsiaTheme="minorEastAsia"/>
          <w:lang w:val="sv-SE" w:eastAsia="zh-CN"/>
        </w:rPr>
      </w:pPr>
      <w:r>
        <w:rPr>
          <w:rFonts w:eastAsiaTheme="minorEastAsia"/>
          <w:lang w:val="sv-SE" w:eastAsia="zh-CN"/>
        </w:rPr>
        <w:t>Proposal 1(Intel, MTK, vivo, Ericsson, Apple, Samsung,vivo, Qualcomm):</w:t>
      </w:r>
    </w:p>
    <w:p w14:paraId="0D07549E" w14:textId="77777777" w:rsidR="00AC2402" w:rsidRDefault="00AC2402" w:rsidP="00AC2402">
      <w:pPr>
        <w:pStyle w:val="ListParagraph"/>
        <w:numPr>
          <w:ilvl w:val="2"/>
          <w:numId w:val="5"/>
        </w:numPr>
        <w:overflowPunct/>
        <w:autoSpaceDE/>
        <w:autoSpaceDN/>
        <w:adjustRightInd/>
        <w:spacing w:after="120" w:line="259" w:lineRule="auto"/>
        <w:ind w:left="2376" w:firstLineChars="0"/>
        <w:textAlignment w:val="auto"/>
        <w:rPr>
          <w:bCs/>
        </w:rPr>
      </w:pPr>
      <w:r>
        <w:rPr>
          <w:rFonts w:eastAsiaTheme="minorEastAsia"/>
          <w:bCs/>
          <w:lang w:eastAsia="zh-CN"/>
        </w:rPr>
        <w:t xml:space="preserve">Remove the square bracket: </w:t>
      </w:r>
    </w:p>
    <w:p w14:paraId="6D45DE6E" w14:textId="77777777" w:rsidR="00AC2402" w:rsidRDefault="00AC2402" w:rsidP="00AC2402">
      <w:pPr>
        <w:pStyle w:val="ListParagraph"/>
        <w:overflowPunct/>
        <w:autoSpaceDE/>
        <w:autoSpaceDN/>
        <w:adjustRightInd/>
        <w:spacing w:after="120"/>
        <w:ind w:left="2376" w:firstLineChars="0" w:firstLine="0"/>
        <w:textAlignment w:val="auto"/>
        <w:rPr>
          <w:bCs/>
        </w:rPr>
      </w:pPr>
      <w:r>
        <w:rPr>
          <w:rFonts w:eastAsiaTheme="minorEastAsia"/>
          <w:bCs/>
          <w:lang w:eastAsia="zh-CN"/>
        </w:rPr>
        <w:t xml:space="preserve">-   </w:t>
      </w:r>
      <w:r>
        <w:rPr>
          <w:bCs/>
          <w:iCs/>
          <w:lang w:val="en-US" w:eastAsia="zh-CN"/>
        </w:rPr>
        <w:t>In case of joint TCI state switch, UE is not expected to receive on DL before UE completes the DL and UL TCI state switch.</w:t>
      </w:r>
    </w:p>
    <w:p w14:paraId="2C73022C" w14:textId="77777777" w:rsidR="00AC2402" w:rsidRDefault="00AC2402" w:rsidP="00AC2402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 w:line="259" w:lineRule="auto"/>
        <w:ind w:left="1656" w:firstLineChars="0"/>
        <w:textAlignment w:val="auto"/>
        <w:rPr>
          <w:rFonts w:eastAsiaTheme="minorEastAsia"/>
          <w:lang w:val="sv-SE" w:eastAsia="zh-CN"/>
        </w:rPr>
      </w:pPr>
      <w:r>
        <w:rPr>
          <w:rFonts w:eastAsiaTheme="minorEastAsia"/>
          <w:lang w:val="sv-SE" w:eastAsia="zh-CN"/>
        </w:rPr>
        <w:t>Proposal 2(Nokia):</w:t>
      </w:r>
    </w:p>
    <w:p w14:paraId="53270E27" w14:textId="77777777" w:rsidR="00AC2402" w:rsidRDefault="00AC2402" w:rsidP="00AC2402">
      <w:pPr>
        <w:pStyle w:val="ListParagraph"/>
        <w:numPr>
          <w:ilvl w:val="2"/>
          <w:numId w:val="5"/>
        </w:numPr>
        <w:overflowPunct/>
        <w:autoSpaceDE/>
        <w:autoSpaceDN/>
        <w:adjustRightInd/>
        <w:spacing w:after="120" w:line="259" w:lineRule="auto"/>
        <w:ind w:left="2376" w:firstLineChars="0"/>
        <w:textAlignment w:val="auto"/>
      </w:pPr>
      <w:r>
        <w:t>For joint TCI state switch, if the UL TCI state switch delay exceeds the DL TCI state switch delay, the UE is required to receive in DL up to T</w:t>
      </w:r>
      <w:r>
        <w:rPr>
          <w:vertAlign w:val="subscript"/>
        </w:rPr>
        <w:t>HARQ</w:t>
      </w:r>
      <w:r>
        <w:t xml:space="preserve"> before it completes UL TCI state switch.</w:t>
      </w:r>
    </w:p>
    <w:p w14:paraId="1C56C28A" w14:textId="77777777" w:rsidR="00AC2402" w:rsidRDefault="00AC2402" w:rsidP="00AC2402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 w:line="259" w:lineRule="auto"/>
        <w:ind w:left="1656" w:firstLineChars="0"/>
        <w:textAlignment w:val="auto"/>
        <w:rPr>
          <w:rFonts w:eastAsiaTheme="minorEastAsia"/>
          <w:lang w:val="sv-SE" w:eastAsia="zh-CN"/>
        </w:rPr>
      </w:pPr>
      <w:r>
        <w:rPr>
          <w:rFonts w:eastAsiaTheme="minorEastAsia"/>
          <w:lang w:val="sv-SE" w:eastAsia="zh-CN"/>
        </w:rPr>
        <w:t>Proposal 3(ZTE):</w:t>
      </w:r>
    </w:p>
    <w:p w14:paraId="1E24C59C" w14:textId="73BFEB05" w:rsidR="00AC2402" w:rsidRDefault="00AC2402" w:rsidP="00F933E9">
      <w:pPr>
        <w:pStyle w:val="ListParagraph"/>
        <w:numPr>
          <w:ilvl w:val="2"/>
          <w:numId w:val="5"/>
        </w:numPr>
        <w:overflowPunct/>
        <w:autoSpaceDE/>
        <w:autoSpaceDN/>
        <w:adjustRightInd/>
        <w:spacing w:after="120" w:line="259" w:lineRule="auto"/>
        <w:ind w:left="2376" w:firstLineChars="0"/>
        <w:textAlignment w:val="auto"/>
      </w:pPr>
      <w:r>
        <w:t xml:space="preserve">No matter whether UL TCI state switching completed or not, UE can receive DL by the target DL TCI state given that DL TCI state switching has been finished. </w:t>
      </w:r>
      <w:proofErr w:type="gramStart"/>
      <w:r>
        <w:t>So</w:t>
      </w:r>
      <w:proofErr w:type="gramEnd"/>
      <w:r>
        <w:t xml:space="preserve"> we suggest the bullet in square brackets can be ignored.</w:t>
      </w:r>
    </w:p>
    <w:p w14:paraId="6C6F1D0B" w14:textId="77777777" w:rsidR="00F933E9" w:rsidRPr="00F933E9" w:rsidRDefault="00F933E9" w:rsidP="00F933E9">
      <w:pPr>
        <w:spacing w:after="120"/>
        <w:rPr>
          <w:rFonts w:eastAsiaTheme="minorEastAsia"/>
          <w:b/>
          <w:u w:val="single"/>
          <w:lang w:eastAsia="zh-CN"/>
        </w:rPr>
      </w:pPr>
      <w:r w:rsidRPr="00F933E9">
        <w:rPr>
          <w:rFonts w:eastAsiaTheme="minorEastAsia"/>
          <w:i/>
          <w:color w:val="0070C0"/>
          <w:lang w:val="en-US" w:eastAsia="zh-CN"/>
        </w:rPr>
        <w:t>Moderator note: As majority company support Proposal 1, suggest proponent of other proposals to check whether proposal 1 is agreeable.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8286"/>
      </w:tblGrid>
      <w:tr w:rsidR="00F933E9" w14:paraId="703A2CDB" w14:textId="77777777" w:rsidTr="00A92709">
        <w:tc>
          <w:tcPr>
            <w:tcW w:w="1450" w:type="dxa"/>
          </w:tcPr>
          <w:p w14:paraId="0E0F7EB8" w14:textId="77777777" w:rsidR="00F933E9" w:rsidRDefault="00F933E9" w:rsidP="00A92709">
            <w:pPr>
              <w:spacing w:after="120"/>
              <w:ind w:firstLine="40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286" w:type="dxa"/>
          </w:tcPr>
          <w:p w14:paraId="037D1278" w14:textId="77777777" w:rsidR="00F933E9" w:rsidRDefault="00F933E9" w:rsidP="00A92709">
            <w:pPr>
              <w:spacing w:after="120"/>
              <w:ind w:firstLine="40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F933E9" w14:paraId="4C2837C6" w14:textId="77777777" w:rsidTr="00A92709">
        <w:tc>
          <w:tcPr>
            <w:tcW w:w="1450" w:type="dxa"/>
          </w:tcPr>
          <w:p w14:paraId="02D7AE4C" w14:textId="77777777" w:rsidR="00F933E9" w:rsidRDefault="00F933E9" w:rsidP="00A92709">
            <w:pPr>
              <w:spacing w:after="120"/>
              <w:ind w:firstLine="40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286" w:type="dxa"/>
          </w:tcPr>
          <w:p w14:paraId="274639E8" w14:textId="77777777" w:rsidR="00F933E9" w:rsidRDefault="00F933E9" w:rsidP="00A92709">
            <w:pPr>
              <w:spacing w:after="120"/>
              <w:ind w:firstLine="400"/>
              <w:rPr>
                <w:bCs/>
                <w:lang w:eastAsia="zh-CN"/>
              </w:rPr>
            </w:pPr>
          </w:p>
        </w:tc>
      </w:tr>
      <w:tr w:rsidR="00F933E9" w14:paraId="5516B5A1" w14:textId="77777777" w:rsidTr="00A92709">
        <w:tc>
          <w:tcPr>
            <w:tcW w:w="1450" w:type="dxa"/>
          </w:tcPr>
          <w:p w14:paraId="3DF08424" w14:textId="77777777" w:rsidR="00F933E9" w:rsidRDefault="00F933E9" w:rsidP="00A9270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286" w:type="dxa"/>
          </w:tcPr>
          <w:p w14:paraId="4F0A316B" w14:textId="77777777" w:rsidR="00F933E9" w:rsidRDefault="00F933E9" w:rsidP="00A9270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933E9" w14:paraId="18739A2D" w14:textId="77777777" w:rsidTr="00A92709">
        <w:tc>
          <w:tcPr>
            <w:tcW w:w="1450" w:type="dxa"/>
          </w:tcPr>
          <w:p w14:paraId="6342C092" w14:textId="77777777" w:rsidR="00F933E9" w:rsidRDefault="00F933E9" w:rsidP="00A92709">
            <w:pPr>
              <w:spacing w:after="120"/>
              <w:ind w:firstLine="40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286" w:type="dxa"/>
          </w:tcPr>
          <w:p w14:paraId="12E28E23" w14:textId="77777777" w:rsidR="00F933E9" w:rsidRDefault="00F933E9" w:rsidP="00A92709">
            <w:pPr>
              <w:spacing w:after="120"/>
              <w:ind w:firstLine="400"/>
              <w:rPr>
                <w:rFonts w:eastAsia="PMingLiU"/>
                <w:bCs/>
                <w:lang w:eastAsia="zh-TW"/>
              </w:rPr>
            </w:pPr>
          </w:p>
        </w:tc>
      </w:tr>
      <w:tr w:rsidR="00F933E9" w14:paraId="36C35D39" w14:textId="77777777" w:rsidTr="00A92709">
        <w:tc>
          <w:tcPr>
            <w:tcW w:w="1450" w:type="dxa"/>
          </w:tcPr>
          <w:p w14:paraId="25EE7270" w14:textId="77777777" w:rsidR="00F933E9" w:rsidRDefault="00F933E9" w:rsidP="00A92709">
            <w:pPr>
              <w:spacing w:after="120"/>
              <w:ind w:firstLine="40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286" w:type="dxa"/>
          </w:tcPr>
          <w:p w14:paraId="47A8EE1B" w14:textId="77777777" w:rsidR="00F933E9" w:rsidRDefault="00F933E9" w:rsidP="00A92709">
            <w:pPr>
              <w:spacing w:after="120"/>
              <w:rPr>
                <w:bCs/>
                <w:lang w:eastAsia="ja-JP"/>
              </w:rPr>
            </w:pPr>
          </w:p>
        </w:tc>
      </w:tr>
    </w:tbl>
    <w:p w14:paraId="6B11F3A8" w14:textId="75901BFB" w:rsidR="00F933E9" w:rsidRDefault="00F933E9" w:rsidP="00F933E9">
      <w:pPr>
        <w:spacing w:after="120" w:line="259" w:lineRule="auto"/>
      </w:pPr>
    </w:p>
    <w:p w14:paraId="50EBC792" w14:textId="77777777" w:rsidR="00F933E9" w:rsidRDefault="00F933E9" w:rsidP="00F933E9">
      <w:pPr>
        <w:spacing w:after="120"/>
        <w:rPr>
          <w:rFonts w:eastAsiaTheme="minorEastAsia"/>
          <w:b/>
          <w:u w:val="single"/>
          <w:lang w:eastAsia="zh-CN"/>
        </w:rPr>
      </w:pPr>
      <w:r>
        <w:rPr>
          <w:rFonts w:eastAsiaTheme="minorEastAsia"/>
          <w:b/>
          <w:u w:val="single"/>
          <w:lang w:eastAsia="zh-CN"/>
        </w:rPr>
        <w:t>Issue 1-2-2 MAC-CE based UL TCI state switching delay when SSB is indicated as PL-RS in UL TCI state for FR2</w:t>
      </w:r>
    </w:p>
    <w:p w14:paraId="0B5756A7" w14:textId="77777777" w:rsidR="00F933E9" w:rsidRDefault="00F933E9" w:rsidP="00F933E9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20" w:line="259" w:lineRule="auto"/>
        <w:ind w:left="720" w:firstLineChars="0"/>
        <w:textAlignment w:val="auto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Proposals</w:t>
      </w:r>
    </w:p>
    <w:p w14:paraId="30A3EC28" w14:textId="77777777" w:rsidR="00F933E9" w:rsidRDefault="00F933E9" w:rsidP="00F933E9">
      <w:pPr>
        <w:pStyle w:val="ListParagraph"/>
        <w:numPr>
          <w:ilvl w:val="1"/>
          <w:numId w:val="45"/>
        </w:numPr>
        <w:overflowPunct/>
        <w:autoSpaceDE/>
        <w:autoSpaceDN/>
        <w:adjustRightInd/>
        <w:spacing w:after="120" w:line="259" w:lineRule="auto"/>
        <w:ind w:firstLineChars="0"/>
        <w:textAlignment w:val="auto"/>
        <w:rPr>
          <w:rFonts w:eastAsiaTheme="minorEastAsia"/>
          <w:lang w:val="sv-SE" w:eastAsia="zh-CN"/>
        </w:rPr>
      </w:pPr>
      <w:r>
        <w:rPr>
          <w:rFonts w:eastAsiaTheme="minorEastAsia"/>
          <w:lang w:val="sv-SE" w:eastAsia="zh-CN"/>
        </w:rPr>
        <w:t>Proposal 1(Apple, Samsung, Huawei):</w:t>
      </w:r>
    </w:p>
    <w:p w14:paraId="1BA789CF" w14:textId="77777777" w:rsidR="00F933E9" w:rsidRDefault="00F933E9" w:rsidP="00F933E9">
      <w:pPr>
        <w:pStyle w:val="ListParagraph"/>
        <w:numPr>
          <w:ilvl w:val="2"/>
          <w:numId w:val="5"/>
        </w:numPr>
        <w:overflowPunct/>
        <w:autoSpaceDE/>
        <w:autoSpaceDN/>
        <w:adjustRightInd/>
        <w:spacing w:after="120" w:line="259" w:lineRule="auto"/>
        <w:ind w:left="2376" w:firstLineChars="0"/>
        <w:textAlignment w:val="auto"/>
        <w:rPr>
          <w:iCs/>
          <w:lang w:eastAsia="zh-CN"/>
        </w:rPr>
      </w:pPr>
      <w:r>
        <w:rPr>
          <w:iCs/>
          <w:lang w:eastAsia="zh-CN"/>
        </w:rPr>
        <w:t>When PL-RS in UL TCI state switch is SSB in FR2, longer delay is expected.</w:t>
      </w:r>
    </w:p>
    <w:p w14:paraId="055E846C" w14:textId="77777777" w:rsidR="00F933E9" w:rsidRDefault="00F933E9" w:rsidP="00F933E9">
      <w:pPr>
        <w:pStyle w:val="ListParagraph"/>
        <w:numPr>
          <w:ilvl w:val="1"/>
          <w:numId w:val="45"/>
        </w:numPr>
        <w:overflowPunct/>
        <w:autoSpaceDE/>
        <w:autoSpaceDN/>
        <w:adjustRightInd/>
        <w:spacing w:after="120" w:line="259" w:lineRule="auto"/>
        <w:ind w:firstLineChars="0"/>
        <w:textAlignment w:val="auto"/>
        <w:rPr>
          <w:rFonts w:eastAsiaTheme="minorEastAsia"/>
          <w:lang w:val="sv-SE" w:eastAsia="zh-CN"/>
        </w:rPr>
      </w:pPr>
      <w:r>
        <w:rPr>
          <w:rFonts w:eastAsiaTheme="minorEastAsia"/>
          <w:lang w:val="sv-SE" w:eastAsia="zh-CN"/>
        </w:rPr>
        <w:lastRenderedPageBreak/>
        <w:t>Proposal 2(Huawei, Apple, Samsung):</w:t>
      </w:r>
    </w:p>
    <w:p w14:paraId="160ADBE2" w14:textId="77777777" w:rsidR="00F933E9" w:rsidRDefault="00F933E9" w:rsidP="00F933E9">
      <w:pPr>
        <w:pStyle w:val="ListParagraph"/>
        <w:numPr>
          <w:ilvl w:val="2"/>
          <w:numId w:val="5"/>
        </w:numPr>
        <w:overflowPunct/>
        <w:autoSpaceDE/>
        <w:autoSpaceDN/>
        <w:adjustRightInd/>
        <w:spacing w:after="120" w:line="259" w:lineRule="auto"/>
        <w:ind w:left="2376" w:firstLineChars="0"/>
        <w:textAlignment w:val="auto"/>
        <w:rPr>
          <w:iCs/>
          <w:lang w:eastAsia="zh-CN"/>
        </w:rPr>
      </w:pPr>
      <w:r>
        <w:rPr>
          <w:iCs/>
          <w:lang w:eastAsia="zh-CN"/>
        </w:rPr>
        <w:t xml:space="preserve">If no consensus can be achieved in RAN4, we suggest that there </w:t>
      </w:r>
      <w:proofErr w:type="gramStart"/>
      <w:r>
        <w:rPr>
          <w:iCs/>
          <w:lang w:eastAsia="zh-CN"/>
        </w:rPr>
        <w:t>is</w:t>
      </w:r>
      <w:proofErr w:type="gramEnd"/>
      <w:r>
        <w:rPr>
          <w:iCs/>
          <w:lang w:eastAsia="zh-CN"/>
        </w:rPr>
        <w:t xml:space="preserve"> no requirements when SSB is indicated as PL-RS in UL TCI state in FR2.</w:t>
      </w:r>
    </w:p>
    <w:p w14:paraId="39A22CDE" w14:textId="77777777" w:rsidR="00F933E9" w:rsidRDefault="00F933E9" w:rsidP="00F933E9">
      <w:pPr>
        <w:pStyle w:val="ListParagraph"/>
        <w:numPr>
          <w:ilvl w:val="1"/>
          <w:numId w:val="45"/>
        </w:numPr>
        <w:overflowPunct/>
        <w:autoSpaceDE/>
        <w:autoSpaceDN/>
        <w:adjustRightInd/>
        <w:spacing w:after="120" w:line="259" w:lineRule="auto"/>
        <w:ind w:firstLineChars="0"/>
        <w:textAlignment w:val="auto"/>
        <w:rPr>
          <w:rFonts w:eastAsiaTheme="minorEastAsia"/>
          <w:b/>
          <w:lang w:eastAsia="zh-CN"/>
        </w:rPr>
      </w:pPr>
      <w:r>
        <w:rPr>
          <w:rFonts w:eastAsiaTheme="minorEastAsia"/>
          <w:lang w:val="sv-SE" w:eastAsia="zh-CN"/>
        </w:rPr>
        <w:t>Proposal 3(Intel):</w:t>
      </w:r>
    </w:p>
    <w:p w14:paraId="1DA00A3B" w14:textId="77777777" w:rsidR="00F933E9" w:rsidRDefault="00F933E9" w:rsidP="00F933E9">
      <w:pPr>
        <w:pStyle w:val="ListParagraph"/>
        <w:numPr>
          <w:ilvl w:val="2"/>
          <w:numId w:val="5"/>
        </w:numPr>
        <w:overflowPunct/>
        <w:autoSpaceDE/>
        <w:autoSpaceDN/>
        <w:adjustRightInd/>
        <w:spacing w:after="120" w:line="259" w:lineRule="auto"/>
        <w:ind w:left="2376" w:firstLineChars="0"/>
        <w:textAlignment w:val="auto"/>
        <w:rPr>
          <w:iCs/>
          <w:lang w:eastAsia="zh-CN"/>
        </w:rPr>
      </w:pPr>
      <w:r>
        <w:rPr>
          <w:iCs/>
          <w:lang w:eastAsia="zh-CN"/>
        </w:rPr>
        <w:t>When SSB is indicated as PL-RS in UL TCI state for FR2, the total delay is:</w:t>
      </w:r>
    </w:p>
    <w:p w14:paraId="1FB53B26" w14:textId="77777777" w:rsidR="00F933E9" w:rsidRDefault="00F933E9" w:rsidP="00F933E9">
      <w:pPr>
        <w:pStyle w:val="ListParagraph"/>
        <w:overflowPunct/>
        <w:autoSpaceDE/>
        <w:autoSpaceDN/>
        <w:adjustRightInd/>
        <w:spacing w:after="120"/>
        <w:ind w:left="2376" w:firstLineChars="0" w:firstLine="0"/>
        <w:textAlignment w:val="auto"/>
        <w:rPr>
          <w:lang w:val="en-US" w:eastAsia="zh-CN"/>
        </w:rPr>
      </w:pPr>
      <w:r>
        <w:rPr>
          <w:lang w:val="en-US" w:eastAsia="zh-CN"/>
        </w:rPr>
        <w:t xml:space="preserve"> -    n+</w:t>
      </w:r>
      <w:r>
        <w:rPr>
          <w:iCs/>
        </w:rPr>
        <w:t>T</w:t>
      </w:r>
      <w:r>
        <w:rPr>
          <w:iCs/>
          <w:vertAlign w:val="subscript"/>
        </w:rPr>
        <w:t>HARQ</w:t>
      </w:r>
      <w:r>
        <w:rPr>
          <w:iCs/>
        </w:rPr>
        <w:t xml:space="preserve"> + 3ms + NM</w:t>
      </w:r>
      <w:r>
        <w:rPr>
          <w:i/>
        </w:rPr>
        <w:t>*</w:t>
      </w:r>
      <w:r>
        <w:rPr>
          <w:iCs/>
        </w:rPr>
        <w:t xml:space="preserve"> (</w:t>
      </w:r>
      <w:proofErr w:type="spellStart"/>
      <w:r>
        <w:rPr>
          <w:iCs/>
        </w:rPr>
        <w:t>T</w:t>
      </w:r>
      <w:r>
        <w:rPr>
          <w:iCs/>
          <w:vertAlign w:val="subscript"/>
        </w:rPr>
        <w:t>first_target</w:t>
      </w:r>
      <w:proofErr w:type="spellEnd"/>
      <w:r>
        <w:rPr>
          <w:iCs/>
          <w:vertAlign w:val="subscript"/>
        </w:rPr>
        <w:t xml:space="preserve">-PL-RS </w:t>
      </w:r>
      <w:r>
        <w:rPr>
          <w:iCs/>
        </w:rPr>
        <w:t>+ 7*</w:t>
      </w:r>
      <w:proofErr w:type="spellStart"/>
      <w:r>
        <w:rPr>
          <w:iCs/>
        </w:rPr>
        <w:t>T</w:t>
      </w:r>
      <w:r>
        <w:rPr>
          <w:iCs/>
          <w:vertAlign w:val="subscript"/>
        </w:rPr>
        <w:t>target_PL</w:t>
      </w:r>
      <w:proofErr w:type="spellEnd"/>
      <w:r>
        <w:rPr>
          <w:iCs/>
          <w:vertAlign w:val="subscript"/>
        </w:rPr>
        <w:t xml:space="preserve">-RS </w:t>
      </w:r>
      <w:r>
        <w:rPr>
          <w:iCs/>
        </w:rPr>
        <w:t>+ 2ms)</w:t>
      </w:r>
    </w:p>
    <w:p w14:paraId="06AADFC0" w14:textId="77777777" w:rsidR="00F933E9" w:rsidRDefault="00F933E9" w:rsidP="00F933E9">
      <w:pPr>
        <w:pStyle w:val="ListParagraph"/>
        <w:numPr>
          <w:ilvl w:val="1"/>
          <w:numId w:val="45"/>
        </w:numPr>
        <w:overflowPunct/>
        <w:autoSpaceDE/>
        <w:autoSpaceDN/>
        <w:adjustRightInd/>
        <w:spacing w:after="120" w:line="259" w:lineRule="auto"/>
        <w:ind w:firstLineChars="0"/>
        <w:textAlignment w:val="auto"/>
        <w:rPr>
          <w:rFonts w:eastAsiaTheme="minorEastAsia"/>
          <w:lang w:val="sv-SE" w:eastAsia="zh-CN"/>
        </w:rPr>
      </w:pPr>
      <w:r>
        <w:rPr>
          <w:rFonts w:eastAsiaTheme="minorEastAsia"/>
          <w:lang w:val="sv-SE" w:eastAsia="zh-CN"/>
        </w:rPr>
        <w:t xml:space="preserve">Proposal 4(MTK, vivo, Ericsson, ZTE, Qualcomm): </w:t>
      </w:r>
    </w:p>
    <w:p w14:paraId="64566C0A" w14:textId="77777777" w:rsidR="00F933E9" w:rsidRDefault="00F933E9" w:rsidP="00F933E9">
      <w:pPr>
        <w:pStyle w:val="ListParagraph"/>
        <w:numPr>
          <w:ilvl w:val="2"/>
          <w:numId w:val="5"/>
        </w:numPr>
        <w:overflowPunct/>
        <w:autoSpaceDE/>
        <w:autoSpaceDN/>
        <w:adjustRightInd/>
        <w:spacing w:after="120" w:line="259" w:lineRule="auto"/>
        <w:ind w:left="2376" w:firstLineChars="0"/>
        <w:textAlignment w:val="auto"/>
        <w:rPr>
          <w:iCs/>
          <w:lang w:eastAsia="zh-CN"/>
        </w:rPr>
      </w:pPr>
      <w:r>
        <w:rPr>
          <w:iCs/>
          <w:lang w:eastAsia="zh-CN"/>
        </w:rPr>
        <w:t>Reuse the existing delay requirement of MAC CE based UL TCI state switch.</w:t>
      </w:r>
    </w:p>
    <w:p w14:paraId="627BAAAD" w14:textId="77777777" w:rsidR="00F933E9" w:rsidRDefault="00F933E9" w:rsidP="00F933E9">
      <w:pPr>
        <w:pStyle w:val="ListParagraph"/>
        <w:numPr>
          <w:ilvl w:val="1"/>
          <w:numId w:val="45"/>
        </w:numPr>
        <w:overflowPunct/>
        <w:autoSpaceDE/>
        <w:autoSpaceDN/>
        <w:adjustRightInd/>
        <w:spacing w:after="120" w:line="259" w:lineRule="auto"/>
        <w:ind w:firstLineChars="0"/>
        <w:textAlignment w:val="auto"/>
        <w:rPr>
          <w:rFonts w:eastAsiaTheme="minorEastAsia"/>
          <w:lang w:val="sv-SE" w:eastAsia="zh-CN"/>
        </w:rPr>
      </w:pPr>
      <w:r>
        <w:rPr>
          <w:rFonts w:eastAsiaTheme="minorEastAsia"/>
          <w:lang w:val="sv-SE" w:eastAsia="zh-CN"/>
        </w:rPr>
        <w:t>Proposal</w:t>
      </w:r>
      <w:r>
        <w:rPr>
          <w:rFonts w:eastAsiaTheme="minorEastAsia"/>
          <w:bCs/>
          <w:lang w:eastAsia="zh-CN"/>
        </w:rPr>
        <w:t xml:space="preserve"> </w:t>
      </w:r>
      <w:r>
        <w:rPr>
          <w:rFonts w:eastAsiaTheme="minorEastAsia"/>
          <w:lang w:val="sv-SE" w:eastAsia="zh-CN"/>
        </w:rPr>
        <w:t>5(Nokia):</w:t>
      </w:r>
    </w:p>
    <w:p w14:paraId="3D4F9008" w14:textId="77777777" w:rsidR="00F933E9" w:rsidRDefault="00F933E9" w:rsidP="00F933E9">
      <w:pPr>
        <w:pStyle w:val="ListParagraph"/>
        <w:numPr>
          <w:ilvl w:val="2"/>
          <w:numId w:val="5"/>
        </w:numPr>
        <w:overflowPunct/>
        <w:autoSpaceDE/>
        <w:autoSpaceDN/>
        <w:adjustRightInd/>
        <w:spacing w:after="120" w:line="259" w:lineRule="auto"/>
        <w:ind w:left="2376" w:firstLineChars="0"/>
        <w:textAlignment w:val="auto"/>
        <w:rPr>
          <w:bCs/>
          <w:lang w:eastAsia="ja-JP"/>
        </w:rPr>
      </w:pPr>
      <w:r>
        <w:rPr>
          <w:bCs/>
          <w:lang w:eastAsia="ja-JP"/>
        </w:rPr>
        <w:t>known conditions:</w:t>
      </w:r>
    </w:p>
    <w:p w14:paraId="30554CF0" w14:textId="77777777" w:rsidR="00F933E9" w:rsidRDefault="00F933E9" w:rsidP="00F933E9">
      <w:pPr>
        <w:pStyle w:val="ListParagraph"/>
        <w:numPr>
          <w:ilvl w:val="2"/>
          <w:numId w:val="5"/>
        </w:numPr>
        <w:overflowPunct/>
        <w:autoSpaceDE/>
        <w:autoSpaceDN/>
        <w:adjustRightInd/>
        <w:spacing w:after="120" w:line="259" w:lineRule="auto"/>
        <w:ind w:left="2376" w:firstLineChars="0"/>
        <w:textAlignment w:val="auto"/>
        <w:rPr>
          <w:lang w:val="en-US" w:eastAsia="zh-CN"/>
        </w:rPr>
      </w:pPr>
      <w:r w:rsidRPr="00A92709">
        <w:rPr>
          <w:iCs/>
          <w:lang w:eastAsia="zh-CN"/>
        </w:rPr>
        <w:t>The</w:t>
      </w:r>
      <w:r>
        <w:rPr>
          <w:lang w:val="en-US" w:eastAsia="zh-CN"/>
        </w:rPr>
        <w:t xml:space="preserve"> UE shall be able to transmit uplink signal with the target TCI state in the slot n+</w:t>
      </w:r>
      <w:r>
        <w:rPr>
          <w:bCs/>
          <w:iCs/>
          <w:szCs w:val="21"/>
        </w:rPr>
        <w:t>T</w:t>
      </w:r>
      <w:r>
        <w:rPr>
          <w:bCs/>
          <w:iCs/>
          <w:szCs w:val="21"/>
          <w:vertAlign w:val="subscript"/>
        </w:rPr>
        <w:t>HARQ</w:t>
      </w:r>
      <w:r>
        <w:rPr>
          <w:bCs/>
          <w:iCs/>
          <w:szCs w:val="21"/>
        </w:rPr>
        <w:t xml:space="preserve"> +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subframe,µ</m:t>
            </m:r>
          </m:sup>
        </m:sSubSup>
      </m:oMath>
      <w:r>
        <w:rPr>
          <w:bCs/>
          <w:iCs/>
          <w:szCs w:val="21"/>
        </w:rPr>
        <w:t xml:space="preserve"> + NM</w:t>
      </w:r>
      <w:r>
        <w:rPr>
          <w:bCs/>
          <w:i/>
          <w:szCs w:val="21"/>
        </w:rPr>
        <w:t>*</w:t>
      </w:r>
      <w:r>
        <w:rPr>
          <w:bCs/>
          <w:iCs/>
          <w:szCs w:val="21"/>
        </w:rPr>
        <w:t xml:space="preserve"> (1*</w:t>
      </w:r>
      <w:proofErr w:type="spellStart"/>
      <w:r>
        <w:rPr>
          <w:bCs/>
          <w:iCs/>
          <w:szCs w:val="21"/>
        </w:rPr>
        <w:t>T</w:t>
      </w:r>
      <w:r>
        <w:rPr>
          <w:bCs/>
          <w:iCs/>
          <w:szCs w:val="21"/>
          <w:vertAlign w:val="subscript"/>
        </w:rPr>
        <w:t>target_PL</w:t>
      </w:r>
      <w:proofErr w:type="spellEnd"/>
      <w:r>
        <w:rPr>
          <w:bCs/>
          <w:iCs/>
          <w:szCs w:val="21"/>
          <w:vertAlign w:val="subscript"/>
        </w:rPr>
        <w:t xml:space="preserve">-RS </w:t>
      </w:r>
      <w:r>
        <w:rPr>
          <w:bCs/>
          <w:iCs/>
          <w:szCs w:val="21"/>
        </w:rPr>
        <w:t xml:space="preserve">+ </w:t>
      </w:r>
      <w:proofErr w:type="spellStart"/>
      <w:r>
        <w:rPr>
          <w:bCs/>
          <w:iCs/>
          <w:szCs w:val="21"/>
        </w:rPr>
        <w:t>T</w:t>
      </w:r>
      <w:r>
        <w:rPr>
          <w:bCs/>
          <w:iCs/>
          <w:szCs w:val="21"/>
          <w:vertAlign w:val="subscript"/>
        </w:rPr>
        <w:t>processing</w:t>
      </w:r>
      <w:r>
        <w:rPr>
          <w:bCs/>
          <w:iCs/>
          <w:szCs w:val="21"/>
        </w:rPr>
        <w:t>ms</w:t>
      </w:r>
      <w:proofErr w:type="spellEnd"/>
      <w:r>
        <w:rPr>
          <w:bCs/>
          <w:iCs/>
          <w:szCs w:val="21"/>
        </w:rPr>
        <w:t>)</w:t>
      </w:r>
      <w:r>
        <w:rPr>
          <w:lang w:val="en-US" w:eastAsia="zh-CN"/>
        </w:rPr>
        <w:t xml:space="preserve"> / </w:t>
      </w:r>
      <w:r>
        <w:rPr>
          <w:i/>
          <w:lang w:val="en-US" w:eastAsia="zh-CN"/>
        </w:rPr>
        <w:t>NR slot length</w:t>
      </w:r>
      <w:r>
        <w:rPr>
          <w:lang w:val="en-US" w:eastAsia="zh-CN"/>
        </w:rPr>
        <w:t>.</w:t>
      </w:r>
      <w:r>
        <w:rPr>
          <w:lang w:eastAsia="zh-CN"/>
        </w:rPr>
        <w:t xml:space="preserve"> </w:t>
      </w:r>
    </w:p>
    <w:p w14:paraId="53755858" w14:textId="77777777" w:rsidR="00F933E9" w:rsidRDefault="00F933E9" w:rsidP="00F933E9">
      <w:pPr>
        <w:pStyle w:val="ListParagraph"/>
        <w:overflowPunct/>
        <w:autoSpaceDE/>
        <w:autoSpaceDN/>
        <w:adjustRightInd/>
        <w:spacing w:after="120"/>
        <w:ind w:left="2376" w:firstLineChars="0" w:firstLine="400"/>
        <w:textAlignment w:val="auto"/>
        <w:rPr>
          <w:bCs/>
          <w:lang w:val="en-US" w:eastAsia="ja-JP"/>
        </w:rPr>
      </w:pPr>
      <w:r>
        <w:rPr>
          <w:bCs/>
          <w:lang w:val="en-US" w:eastAsia="ja-JP"/>
        </w:rPr>
        <w:t>where:</w:t>
      </w:r>
    </w:p>
    <w:p w14:paraId="57CB1AE8" w14:textId="77777777" w:rsidR="00F933E9" w:rsidRDefault="00F933E9" w:rsidP="00F933E9">
      <w:pPr>
        <w:pStyle w:val="ListParagraph"/>
        <w:overflowPunct/>
        <w:autoSpaceDE/>
        <w:autoSpaceDN/>
        <w:adjustRightInd/>
        <w:spacing w:after="120"/>
        <w:ind w:left="2376" w:firstLineChars="0" w:firstLine="400"/>
        <w:textAlignment w:val="auto"/>
      </w:pPr>
      <w:r>
        <w:t xml:space="preserve">   -</w:t>
      </w:r>
      <w:r>
        <w:rPr>
          <w:lang w:eastAsia="zh-CN"/>
        </w:rPr>
        <w:tab/>
      </w:r>
      <w:r>
        <w:t>NM = 1, if the target PL-RS is not maintained by the UE, 0 otherwise.</w:t>
      </w:r>
    </w:p>
    <w:p w14:paraId="25D4288C" w14:textId="1DEC8E47" w:rsidR="00F933E9" w:rsidRDefault="00F933E9" w:rsidP="00F933E9">
      <w:pPr>
        <w:pStyle w:val="ListParagraph"/>
        <w:overflowPunct/>
        <w:autoSpaceDE/>
        <w:autoSpaceDN/>
        <w:adjustRightInd/>
        <w:spacing w:after="120"/>
        <w:ind w:left="2376" w:firstLineChars="0" w:firstLine="400"/>
        <w:textAlignment w:val="auto"/>
        <w:rPr>
          <w:lang w:val="en-US"/>
        </w:rPr>
      </w:pPr>
      <w:r>
        <w:t xml:space="preserve">   -</w:t>
      </w:r>
      <w:r>
        <w:rPr>
          <w:lang w:eastAsia="zh-CN"/>
        </w:rPr>
        <w:tab/>
        <w:t xml:space="preserve">PL-RS is considered maintained if the DL RS associated with the UL TCI state is </w:t>
      </w:r>
      <w:r>
        <w:rPr>
          <w:lang w:val="en-US"/>
        </w:rPr>
        <w:t>in the active TCI state list.</w:t>
      </w:r>
    </w:p>
    <w:p w14:paraId="171AFFB4" w14:textId="69923A36" w:rsidR="00F933E9" w:rsidRDefault="00F933E9" w:rsidP="00F933E9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8286"/>
      </w:tblGrid>
      <w:tr w:rsidR="00F933E9" w14:paraId="26D35373" w14:textId="77777777" w:rsidTr="00A92709">
        <w:tc>
          <w:tcPr>
            <w:tcW w:w="1450" w:type="dxa"/>
          </w:tcPr>
          <w:p w14:paraId="05E91435" w14:textId="77777777" w:rsidR="00F933E9" w:rsidRDefault="00F933E9" w:rsidP="00A92709">
            <w:pPr>
              <w:spacing w:after="120"/>
              <w:ind w:firstLine="40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286" w:type="dxa"/>
          </w:tcPr>
          <w:p w14:paraId="59B8EFC6" w14:textId="77777777" w:rsidR="00F933E9" w:rsidRDefault="00F933E9" w:rsidP="00A92709">
            <w:pPr>
              <w:spacing w:after="120"/>
              <w:ind w:firstLine="40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F933E9" w14:paraId="31DCA10D" w14:textId="77777777" w:rsidTr="00A92709">
        <w:tc>
          <w:tcPr>
            <w:tcW w:w="1450" w:type="dxa"/>
          </w:tcPr>
          <w:p w14:paraId="1435386C" w14:textId="77777777" w:rsidR="00F933E9" w:rsidRDefault="00F933E9" w:rsidP="00A92709">
            <w:pPr>
              <w:spacing w:after="120"/>
              <w:ind w:firstLine="40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286" w:type="dxa"/>
          </w:tcPr>
          <w:p w14:paraId="58C25250" w14:textId="77777777" w:rsidR="00F933E9" w:rsidRDefault="00F933E9" w:rsidP="00A92709">
            <w:pPr>
              <w:spacing w:after="120"/>
              <w:ind w:firstLine="400"/>
              <w:rPr>
                <w:bCs/>
                <w:lang w:eastAsia="zh-CN"/>
              </w:rPr>
            </w:pPr>
          </w:p>
        </w:tc>
      </w:tr>
      <w:tr w:rsidR="00F933E9" w14:paraId="262E7898" w14:textId="77777777" w:rsidTr="00A92709">
        <w:tc>
          <w:tcPr>
            <w:tcW w:w="1450" w:type="dxa"/>
          </w:tcPr>
          <w:p w14:paraId="781B4F54" w14:textId="77777777" w:rsidR="00F933E9" w:rsidRDefault="00F933E9" w:rsidP="00A9270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286" w:type="dxa"/>
          </w:tcPr>
          <w:p w14:paraId="4ABF4107" w14:textId="77777777" w:rsidR="00F933E9" w:rsidRDefault="00F933E9" w:rsidP="00A9270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933E9" w14:paraId="72933F50" w14:textId="77777777" w:rsidTr="00A92709">
        <w:tc>
          <w:tcPr>
            <w:tcW w:w="1450" w:type="dxa"/>
          </w:tcPr>
          <w:p w14:paraId="5FD52AE5" w14:textId="77777777" w:rsidR="00F933E9" w:rsidRDefault="00F933E9" w:rsidP="00A92709">
            <w:pPr>
              <w:spacing w:after="120"/>
              <w:ind w:firstLine="40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286" w:type="dxa"/>
          </w:tcPr>
          <w:p w14:paraId="0FDB7E91" w14:textId="77777777" w:rsidR="00F933E9" w:rsidRDefault="00F933E9" w:rsidP="00A92709">
            <w:pPr>
              <w:spacing w:after="120"/>
              <w:ind w:firstLine="400"/>
              <w:rPr>
                <w:rFonts w:eastAsia="PMingLiU"/>
                <w:bCs/>
                <w:lang w:eastAsia="zh-TW"/>
              </w:rPr>
            </w:pPr>
          </w:p>
        </w:tc>
      </w:tr>
      <w:tr w:rsidR="00F933E9" w14:paraId="4F5E4672" w14:textId="77777777" w:rsidTr="00A92709">
        <w:tc>
          <w:tcPr>
            <w:tcW w:w="1450" w:type="dxa"/>
          </w:tcPr>
          <w:p w14:paraId="15F0DA93" w14:textId="77777777" w:rsidR="00F933E9" w:rsidRDefault="00F933E9" w:rsidP="00A92709">
            <w:pPr>
              <w:spacing w:after="120"/>
              <w:ind w:firstLine="40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286" w:type="dxa"/>
          </w:tcPr>
          <w:p w14:paraId="53FDEC47" w14:textId="77777777" w:rsidR="00F933E9" w:rsidRDefault="00F933E9" w:rsidP="00A92709">
            <w:pPr>
              <w:spacing w:after="120"/>
              <w:rPr>
                <w:bCs/>
                <w:lang w:eastAsia="ja-JP"/>
              </w:rPr>
            </w:pPr>
          </w:p>
        </w:tc>
      </w:tr>
    </w:tbl>
    <w:p w14:paraId="348E52E9" w14:textId="77777777" w:rsidR="00F933E9" w:rsidRPr="00F933E9" w:rsidRDefault="00F933E9" w:rsidP="00F933E9">
      <w:pPr>
        <w:spacing w:after="120" w:line="259" w:lineRule="auto"/>
      </w:pPr>
    </w:p>
    <w:p w14:paraId="1F98774F" w14:textId="77777777" w:rsidR="00A53EE2" w:rsidRDefault="00A53EE2" w:rsidP="00A53EE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1-3 Common TCI state switching in CA case</w:t>
      </w:r>
    </w:p>
    <w:p w14:paraId="1D254DC7" w14:textId="59A8E053" w:rsidR="00271300" w:rsidRDefault="00271300" w:rsidP="00271300">
      <w:pPr>
        <w:spacing w:after="120"/>
        <w:rPr>
          <w:rFonts w:eastAsiaTheme="minorEastAsia"/>
          <w:b/>
          <w:u w:val="single"/>
          <w:lang w:eastAsia="zh-CN"/>
        </w:rPr>
      </w:pPr>
      <w:r>
        <w:rPr>
          <w:rFonts w:eastAsiaTheme="minorEastAsia"/>
          <w:b/>
          <w:u w:val="single"/>
          <w:lang w:eastAsia="zh-CN"/>
        </w:rPr>
        <w:t xml:space="preserve">Issue 1-3-1 Common TCI state switching delay requirement </w:t>
      </w:r>
    </w:p>
    <w:p w14:paraId="3C4AC201" w14:textId="77777777" w:rsidR="00271300" w:rsidRPr="00A92709" w:rsidRDefault="00271300" w:rsidP="00271300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20" w:line="259" w:lineRule="auto"/>
        <w:ind w:left="740" w:firstLineChars="0"/>
        <w:textAlignment w:val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Agreements</w:t>
      </w:r>
      <w:r w:rsidRPr="00A92709">
        <w:rPr>
          <w:rFonts w:eastAsiaTheme="minorEastAsia"/>
          <w:lang w:eastAsia="zh-CN"/>
        </w:rPr>
        <w:t>:</w:t>
      </w:r>
    </w:p>
    <w:p w14:paraId="27F04394" w14:textId="77777777" w:rsidR="00271300" w:rsidRPr="00271300" w:rsidRDefault="00271300" w:rsidP="00271300">
      <w:pPr>
        <w:pStyle w:val="ListParagraph"/>
        <w:numPr>
          <w:ilvl w:val="1"/>
          <w:numId w:val="45"/>
        </w:numPr>
        <w:overflowPunct/>
        <w:autoSpaceDE/>
        <w:autoSpaceDN/>
        <w:adjustRightInd/>
        <w:spacing w:after="120" w:line="259" w:lineRule="auto"/>
        <w:ind w:firstLineChars="0"/>
        <w:textAlignment w:val="auto"/>
        <w:rPr>
          <w:rFonts w:eastAsiaTheme="minorEastAsia"/>
          <w:i/>
          <w:lang w:val="en-US" w:eastAsia="zh-CN"/>
        </w:rPr>
      </w:pPr>
      <w:r w:rsidRPr="00271300">
        <w:rPr>
          <w:rFonts w:eastAsiaTheme="minorEastAsia"/>
          <w:lang w:val="en-US" w:eastAsia="zh-CN"/>
        </w:rPr>
        <w:t>No further spec change is needed</w:t>
      </w:r>
    </w:p>
    <w:p w14:paraId="5E22F65E" w14:textId="77777777" w:rsidR="000C31A8" w:rsidRPr="00271300" w:rsidRDefault="000C31A8" w:rsidP="00A53EE2">
      <w:pPr>
        <w:rPr>
          <w:lang w:val="en-US" w:eastAsia="zh-CN"/>
        </w:rPr>
      </w:pPr>
    </w:p>
    <w:p w14:paraId="00AA2CE2" w14:textId="5235568A" w:rsidR="00A53EE2" w:rsidRDefault="00A53EE2" w:rsidP="00A53EE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1-4 TCI state list update delay</w:t>
      </w:r>
    </w:p>
    <w:p w14:paraId="089A5E2F" w14:textId="37BF9D7F" w:rsidR="002021A6" w:rsidRDefault="002021A6" w:rsidP="002021A6">
      <w:pPr>
        <w:spacing w:after="120"/>
        <w:rPr>
          <w:rFonts w:eastAsiaTheme="minorEastAsia"/>
          <w:b/>
          <w:u w:val="single"/>
          <w:lang w:eastAsia="zh-CN"/>
        </w:rPr>
      </w:pPr>
      <w:r>
        <w:rPr>
          <w:rFonts w:eastAsiaTheme="minorEastAsia"/>
          <w:b/>
          <w:u w:val="single"/>
          <w:lang w:eastAsia="zh-CN"/>
        </w:rPr>
        <w:t xml:space="preserve">Issue 1-4-1 Whether to consider unknown TCI state in the TCI state list </w:t>
      </w:r>
    </w:p>
    <w:p w14:paraId="59DBB2C9" w14:textId="77777777" w:rsidR="009D7848" w:rsidRDefault="009D7848" w:rsidP="009D7848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20" w:line="259" w:lineRule="auto"/>
        <w:ind w:left="720" w:firstLineChars="0"/>
        <w:textAlignment w:val="auto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Proposals</w:t>
      </w:r>
    </w:p>
    <w:p w14:paraId="40D353C6" w14:textId="77777777" w:rsidR="009D7848" w:rsidRPr="00A92709" w:rsidRDefault="009D7848" w:rsidP="009D7848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 w:line="259" w:lineRule="auto"/>
        <w:ind w:left="1656" w:firstLineChars="0"/>
        <w:textAlignment w:val="auto"/>
        <w:rPr>
          <w:rFonts w:eastAsiaTheme="minorEastAsia"/>
          <w:lang w:val="sv-SE" w:eastAsia="zh-CN"/>
        </w:rPr>
      </w:pPr>
      <w:r>
        <w:rPr>
          <w:rFonts w:eastAsiaTheme="minorEastAsia"/>
          <w:lang w:val="sv-SE" w:eastAsia="zh-CN"/>
        </w:rPr>
        <w:t>Proposal 1(Samsung, Apple, MTK, Huawei):</w:t>
      </w:r>
    </w:p>
    <w:p w14:paraId="0641AD72" w14:textId="77777777" w:rsidR="009D7848" w:rsidRPr="00A92709" w:rsidRDefault="009D7848" w:rsidP="009D7848">
      <w:pPr>
        <w:pStyle w:val="ListParagraph"/>
        <w:numPr>
          <w:ilvl w:val="2"/>
          <w:numId w:val="5"/>
        </w:numPr>
        <w:overflowPunct/>
        <w:autoSpaceDE/>
        <w:autoSpaceDN/>
        <w:adjustRightInd/>
        <w:spacing w:after="120" w:line="259" w:lineRule="auto"/>
        <w:ind w:left="2376" w:firstLineChars="0"/>
        <w:textAlignment w:val="auto"/>
        <w:rPr>
          <w:rFonts w:eastAsia="SimSun"/>
          <w:lang w:eastAsia="zh-CN"/>
        </w:rPr>
      </w:pPr>
      <w:r w:rsidRPr="00A92709">
        <w:rPr>
          <w:rFonts w:eastAsia="SimSun"/>
          <w:lang w:eastAsia="zh-CN"/>
        </w:rPr>
        <w:lastRenderedPageBreak/>
        <w:t>Longer delay applies if any TCI state is unknown in TCI state list update. Active TCI state list can contain known and unknown TCI states.</w:t>
      </w:r>
    </w:p>
    <w:p w14:paraId="20A7B214" w14:textId="77777777" w:rsidR="009D7848" w:rsidRDefault="009D7848" w:rsidP="009D7848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 w:line="259" w:lineRule="auto"/>
        <w:ind w:left="1656" w:firstLineChars="0"/>
        <w:textAlignment w:val="auto"/>
        <w:rPr>
          <w:rFonts w:eastAsiaTheme="minorEastAsia"/>
          <w:lang w:val="sv-SE" w:eastAsia="zh-CN"/>
        </w:rPr>
      </w:pPr>
      <w:r>
        <w:rPr>
          <w:rFonts w:eastAsiaTheme="minorEastAsia"/>
          <w:lang w:val="sv-SE" w:eastAsia="zh-CN"/>
        </w:rPr>
        <w:t>Proposal 2(Ericsson, Nokia, ZTE,vivo):</w:t>
      </w:r>
    </w:p>
    <w:p w14:paraId="5C675D90" w14:textId="79158725" w:rsidR="009D7848" w:rsidRDefault="009D7848" w:rsidP="009D7848">
      <w:pPr>
        <w:pStyle w:val="ListParagraph"/>
        <w:numPr>
          <w:ilvl w:val="2"/>
          <w:numId w:val="5"/>
        </w:numPr>
        <w:overflowPunct/>
        <w:autoSpaceDE/>
        <w:autoSpaceDN/>
        <w:adjustRightInd/>
        <w:spacing w:after="120" w:line="259" w:lineRule="auto"/>
        <w:ind w:left="2376" w:firstLineChars="0"/>
        <w:textAlignment w:val="auto"/>
        <w:rPr>
          <w:rFonts w:eastAsia="SimSun"/>
          <w:lang w:eastAsia="zh-CN"/>
        </w:rPr>
      </w:pPr>
      <w:r w:rsidRPr="00A92709">
        <w:rPr>
          <w:rFonts w:eastAsia="SimSun"/>
          <w:lang w:eastAsia="zh-CN"/>
        </w:rPr>
        <w:t xml:space="preserve">Define </w:t>
      </w:r>
      <w:r>
        <w:rPr>
          <w:rFonts w:eastAsia="SimSun"/>
          <w:lang w:eastAsia="zh-CN"/>
        </w:rPr>
        <w:t>the detailed delay requirement</w:t>
      </w:r>
    </w:p>
    <w:p w14:paraId="49EE918C" w14:textId="5F74D8C0" w:rsidR="009D7848" w:rsidRPr="009D7848" w:rsidRDefault="009D7848" w:rsidP="009D7848">
      <w:pPr>
        <w:spacing w:after="120" w:line="259" w:lineRule="auto"/>
        <w:rPr>
          <w:rFonts w:eastAsiaTheme="minorEastAsia"/>
          <w:i/>
          <w:color w:val="0070C0"/>
          <w:lang w:val="en-US" w:eastAsia="zh-CN"/>
        </w:rPr>
      </w:pPr>
      <w:r w:rsidRPr="009D7848">
        <w:rPr>
          <w:rFonts w:eastAsiaTheme="minorEastAsia"/>
          <w:i/>
          <w:color w:val="0070C0"/>
          <w:lang w:val="en-US" w:eastAsia="zh-CN"/>
        </w:rPr>
        <w:t xml:space="preserve">Moderate note: The wording of proposal 1 is from the GTW agreement </w:t>
      </w:r>
      <w:r w:rsidR="00877743">
        <w:rPr>
          <w:rFonts w:eastAsiaTheme="minorEastAsia"/>
          <w:i/>
          <w:color w:val="0070C0"/>
          <w:lang w:val="en-US" w:eastAsia="zh-CN"/>
        </w:rPr>
        <w:t>with removed bracket</w:t>
      </w:r>
      <w:r w:rsidR="00877743" w:rsidRPr="009D7848">
        <w:rPr>
          <w:rFonts w:eastAsiaTheme="minorEastAsia"/>
          <w:i/>
          <w:color w:val="0070C0"/>
          <w:lang w:val="en-US" w:eastAsia="zh-CN"/>
        </w:rPr>
        <w:t xml:space="preserve"> </w:t>
      </w:r>
      <w:r w:rsidRPr="009D7848">
        <w:rPr>
          <w:rFonts w:eastAsiaTheme="minorEastAsia"/>
          <w:i/>
          <w:color w:val="0070C0"/>
          <w:lang w:val="en-US" w:eastAsia="zh-CN"/>
        </w:rPr>
        <w:t>in RAN4 #104 meeting</w:t>
      </w:r>
      <w:r w:rsidR="00352A7D">
        <w:rPr>
          <w:rFonts w:eastAsiaTheme="minorEastAsia"/>
          <w:i/>
          <w:color w:val="0070C0"/>
          <w:lang w:val="en-US"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8286"/>
      </w:tblGrid>
      <w:tr w:rsidR="009D7848" w14:paraId="6CE058CD" w14:textId="77777777" w:rsidTr="00A92709">
        <w:tc>
          <w:tcPr>
            <w:tcW w:w="1450" w:type="dxa"/>
          </w:tcPr>
          <w:p w14:paraId="7E94B17F" w14:textId="77777777" w:rsidR="009D7848" w:rsidRDefault="009D7848" w:rsidP="00A92709">
            <w:pPr>
              <w:spacing w:after="120"/>
              <w:ind w:firstLine="40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286" w:type="dxa"/>
          </w:tcPr>
          <w:p w14:paraId="296A44DB" w14:textId="77777777" w:rsidR="009D7848" w:rsidRDefault="009D7848" w:rsidP="00A92709">
            <w:pPr>
              <w:spacing w:after="120"/>
              <w:ind w:firstLine="40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D7848" w14:paraId="07F2F692" w14:textId="77777777" w:rsidTr="00A92709">
        <w:tc>
          <w:tcPr>
            <w:tcW w:w="1450" w:type="dxa"/>
          </w:tcPr>
          <w:p w14:paraId="75BBA91B" w14:textId="77777777" w:rsidR="009D7848" w:rsidRDefault="009D7848" w:rsidP="00A92709">
            <w:pPr>
              <w:spacing w:after="120"/>
              <w:ind w:firstLine="40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286" w:type="dxa"/>
          </w:tcPr>
          <w:p w14:paraId="3B535BBB" w14:textId="77777777" w:rsidR="009D7848" w:rsidRDefault="009D7848" w:rsidP="00A92709">
            <w:pPr>
              <w:spacing w:after="120"/>
              <w:ind w:firstLine="400"/>
              <w:rPr>
                <w:bCs/>
                <w:lang w:eastAsia="zh-CN"/>
              </w:rPr>
            </w:pPr>
          </w:p>
        </w:tc>
      </w:tr>
      <w:tr w:rsidR="009D7848" w14:paraId="34A92A8E" w14:textId="77777777" w:rsidTr="00A92709">
        <w:tc>
          <w:tcPr>
            <w:tcW w:w="1450" w:type="dxa"/>
          </w:tcPr>
          <w:p w14:paraId="0EE9E628" w14:textId="77777777" w:rsidR="009D7848" w:rsidRDefault="009D7848" w:rsidP="00A9270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286" w:type="dxa"/>
          </w:tcPr>
          <w:p w14:paraId="3E2F38F7" w14:textId="77777777" w:rsidR="009D7848" w:rsidRDefault="009D7848" w:rsidP="00A9270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D7848" w14:paraId="29D949A6" w14:textId="77777777" w:rsidTr="00A92709">
        <w:tc>
          <w:tcPr>
            <w:tcW w:w="1450" w:type="dxa"/>
          </w:tcPr>
          <w:p w14:paraId="58D266B8" w14:textId="77777777" w:rsidR="009D7848" w:rsidRDefault="009D7848" w:rsidP="00A92709">
            <w:pPr>
              <w:spacing w:after="120"/>
              <w:ind w:firstLine="40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286" w:type="dxa"/>
          </w:tcPr>
          <w:p w14:paraId="1ABB9895" w14:textId="77777777" w:rsidR="009D7848" w:rsidRDefault="009D7848" w:rsidP="00A92709">
            <w:pPr>
              <w:spacing w:after="120"/>
              <w:ind w:firstLine="400"/>
              <w:rPr>
                <w:rFonts w:eastAsia="PMingLiU"/>
                <w:bCs/>
                <w:lang w:eastAsia="zh-TW"/>
              </w:rPr>
            </w:pPr>
          </w:p>
        </w:tc>
      </w:tr>
      <w:tr w:rsidR="009D7848" w14:paraId="4BCF8CCC" w14:textId="77777777" w:rsidTr="00A92709">
        <w:tc>
          <w:tcPr>
            <w:tcW w:w="1450" w:type="dxa"/>
          </w:tcPr>
          <w:p w14:paraId="0FEB1DA7" w14:textId="77777777" w:rsidR="009D7848" w:rsidRDefault="009D7848" w:rsidP="00A92709">
            <w:pPr>
              <w:spacing w:after="120"/>
              <w:ind w:firstLine="40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286" w:type="dxa"/>
          </w:tcPr>
          <w:p w14:paraId="49DD59EC" w14:textId="77777777" w:rsidR="009D7848" w:rsidRDefault="009D7848" w:rsidP="00A92709">
            <w:pPr>
              <w:spacing w:after="120"/>
              <w:rPr>
                <w:bCs/>
                <w:lang w:eastAsia="ja-JP"/>
              </w:rPr>
            </w:pPr>
          </w:p>
        </w:tc>
      </w:tr>
    </w:tbl>
    <w:p w14:paraId="607DE99F" w14:textId="77777777" w:rsidR="000608A5" w:rsidRPr="00D211A9" w:rsidRDefault="000608A5" w:rsidP="0042297D">
      <w:pPr>
        <w:spacing w:after="120"/>
        <w:rPr>
          <w:highlight w:val="green"/>
          <w:lang w:val="en-US"/>
        </w:rPr>
      </w:pPr>
    </w:p>
    <w:p w14:paraId="64E0307F" w14:textId="77777777" w:rsidR="000608A5" w:rsidRPr="00D211A9" w:rsidRDefault="000608A5" w:rsidP="000608A5">
      <w:pPr>
        <w:spacing w:after="120"/>
        <w:rPr>
          <w:rFonts w:eastAsiaTheme="minorEastAsia"/>
          <w:i/>
          <w:color w:val="0070C0"/>
          <w:highlight w:val="yellow"/>
          <w:lang w:eastAsia="zh-CN"/>
        </w:rPr>
      </w:pPr>
    </w:p>
    <w:p w14:paraId="278152CD" w14:textId="550E965C" w:rsidR="004D5C24" w:rsidRPr="007C65D5" w:rsidRDefault="004D5C24" w:rsidP="00D211A9">
      <w:pPr>
        <w:spacing w:after="120"/>
        <w:rPr>
          <w:rFonts w:eastAsiaTheme="minorEastAsia"/>
          <w:lang w:val="en-US" w:eastAsia="zh-CN"/>
        </w:rPr>
      </w:pPr>
    </w:p>
    <w:sectPr w:rsidR="004D5C24" w:rsidRPr="007C65D5" w:rsidSect="00820C0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A04E" w14:textId="77777777" w:rsidR="00F13D7F" w:rsidRDefault="00F13D7F" w:rsidP="00533B52">
      <w:pPr>
        <w:spacing w:after="0"/>
      </w:pPr>
      <w:r>
        <w:separator/>
      </w:r>
    </w:p>
  </w:endnote>
  <w:endnote w:type="continuationSeparator" w:id="0">
    <w:p w14:paraId="43222EBB" w14:textId="77777777" w:rsidR="00F13D7F" w:rsidRDefault="00F13D7F" w:rsidP="00533B52">
      <w:pPr>
        <w:spacing w:after="0"/>
      </w:pPr>
      <w:r>
        <w:continuationSeparator/>
      </w:r>
    </w:p>
  </w:endnote>
  <w:endnote w:type="continuationNotice" w:id="1">
    <w:p w14:paraId="4CF82977" w14:textId="77777777" w:rsidR="00F13D7F" w:rsidRDefault="00F13D7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34D1" w14:textId="77777777" w:rsidR="00F13D7F" w:rsidRDefault="00F13D7F" w:rsidP="00533B52">
      <w:pPr>
        <w:spacing w:after="0"/>
      </w:pPr>
      <w:r>
        <w:separator/>
      </w:r>
    </w:p>
  </w:footnote>
  <w:footnote w:type="continuationSeparator" w:id="0">
    <w:p w14:paraId="27FCEC4D" w14:textId="77777777" w:rsidR="00F13D7F" w:rsidRDefault="00F13D7F" w:rsidP="00533B52">
      <w:pPr>
        <w:spacing w:after="0"/>
      </w:pPr>
      <w:r>
        <w:continuationSeparator/>
      </w:r>
    </w:p>
  </w:footnote>
  <w:footnote w:type="continuationNotice" w:id="1">
    <w:p w14:paraId="4415910C" w14:textId="77777777" w:rsidR="00F13D7F" w:rsidRDefault="00F13D7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5F6"/>
    <w:multiLevelType w:val="hybridMultilevel"/>
    <w:tmpl w:val="BAAABC78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F8848860">
      <w:start w:val="129"/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0FA856B9"/>
    <w:multiLevelType w:val="hybridMultilevel"/>
    <w:tmpl w:val="7F4600FC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A860F42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12951B8C"/>
    <w:multiLevelType w:val="hybridMultilevel"/>
    <w:tmpl w:val="F7FA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20876"/>
    <w:multiLevelType w:val="hybridMultilevel"/>
    <w:tmpl w:val="B114E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882A00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F7E1F"/>
    <w:multiLevelType w:val="hybridMultilevel"/>
    <w:tmpl w:val="6966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E5EFC"/>
    <w:multiLevelType w:val="hybridMultilevel"/>
    <w:tmpl w:val="4BAEB002"/>
    <w:lvl w:ilvl="0" w:tplc="F9C81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0847"/>
    <w:multiLevelType w:val="multilevel"/>
    <w:tmpl w:val="2A6B0847"/>
    <w:lvl w:ilvl="0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7" w15:restartNumberingAfterBreak="0">
    <w:nsid w:val="2B3432AF"/>
    <w:multiLevelType w:val="hybridMultilevel"/>
    <w:tmpl w:val="3C76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A5AD4"/>
    <w:multiLevelType w:val="hybridMultilevel"/>
    <w:tmpl w:val="784C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A7D8B"/>
    <w:multiLevelType w:val="hybridMultilevel"/>
    <w:tmpl w:val="EA543174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A1B6FF5"/>
    <w:multiLevelType w:val="hybridMultilevel"/>
    <w:tmpl w:val="A9B89758"/>
    <w:lvl w:ilvl="0" w:tplc="D4F07E1E">
      <w:numFmt w:val="bullet"/>
      <w:lvlText w:val="-"/>
      <w:lvlJc w:val="left"/>
      <w:pPr>
        <w:ind w:left="780" w:hanging="360"/>
      </w:pPr>
      <w:rPr>
        <w:rFonts w:ascii="DengXian" w:eastAsia="DengXian" w:hAnsi="DengXian" w:cs="Times New Roman" w:hint="eastAsia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A2C6F41"/>
    <w:multiLevelType w:val="multilevel"/>
    <w:tmpl w:val="B59E08F2"/>
    <w:lvl w:ilvl="0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 w15:restartNumberingAfterBreak="0">
    <w:nsid w:val="3AD37A3D"/>
    <w:multiLevelType w:val="multilevel"/>
    <w:tmpl w:val="00B2E46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81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1005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3" w15:restartNumberingAfterBreak="0">
    <w:nsid w:val="3E062E0A"/>
    <w:multiLevelType w:val="multilevel"/>
    <w:tmpl w:val="8D7A262E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206"/>
      <w:numFmt w:val="bullet"/>
      <w:lvlText w:val=""/>
      <w:lvlJc w:val="left"/>
      <w:pPr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422B3F28"/>
    <w:multiLevelType w:val="hybridMultilevel"/>
    <w:tmpl w:val="BE42A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CA670E"/>
    <w:multiLevelType w:val="multilevel"/>
    <w:tmpl w:val="52CA670E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54EE0682"/>
    <w:multiLevelType w:val="hybridMultilevel"/>
    <w:tmpl w:val="2AF6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6504E"/>
    <w:multiLevelType w:val="hybridMultilevel"/>
    <w:tmpl w:val="277C0870"/>
    <w:lvl w:ilvl="0" w:tplc="F8848860">
      <w:start w:val="129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5A8667A">
      <w:numFmt w:val="bullet"/>
      <w:lvlText w:val="-"/>
      <w:lvlJc w:val="left"/>
      <w:pPr>
        <w:ind w:left="2700" w:hanging="360"/>
      </w:pPr>
      <w:rPr>
        <w:rFonts w:ascii="Times" w:eastAsia="Batang" w:hAnsi="Times" w:cs="Time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8B73482"/>
    <w:multiLevelType w:val="hybridMultilevel"/>
    <w:tmpl w:val="1C46F44E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" w15:restartNumberingAfterBreak="0">
    <w:nsid w:val="60142FC2"/>
    <w:multiLevelType w:val="multilevel"/>
    <w:tmpl w:val="60142FC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-"/>
      <w:lvlJc w:val="left"/>
      <w:pPr>
        <w:ind w:left="315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0" w15:restartNumberingAfterBreak="0">
    <w:nsid w:val="647B095A"/>
    <w:multiLevelType w:val="hybridMultilevel"/>
    <w:tmpl w:val="E8440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882A00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267C66"/>
    <w:multiLevelType w:val="hybridMultilevel"/>
    <w:tmpl w:val="35EAC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276D02"/>
    <w:multiLevelType w:val="hybridMultilevel"/>
    <w:tmpl w:val="D49A9D68"/>
    <w:lvl w:ilvl="0" w:tplc="56D8FF90">
      <w:start w:val="8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2684C64"/>
    <w:multiLevelType w:val="hybridMultilevel"/>
    <w:tmpl w:val="DD2A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55A5E"/>
    <w:multiLevelType w:val="hybridMultilevel"/>
    <w:tmpl w:val="0696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255FE"/>
    <w:multiLevelType w:val="hybridMultilevel"/>
    <w:tmpl w:val="75CE03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2"/>
  </w:num>
  <w:num w:numId="4">
    <w:abstractNumId w:val="25"/>
  </w:num>
  <w:num w:numId="5">
    <w:abstractNumId w:val="18"/>
  </w:num>
  <w:num w:numId="6">
    <w:abstractNumId w:val="9"/>
  </w:num>
  <w:num w:numId="7">
    <w:abstractNumId w:val="21"/>
  </w:num>
  <w:num w:numId="8">
    <w:abstractNumId w:val="24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  <w:num w:numId="13">
    <w:abstractNumId w:val="12"/>
  </w:num>
  <w:num w:numId="14">
    <w:abstractNumId w:val="12"/>
  </w:num>
  <w:num w:numId="15">
    <w:abstractNumId w:val="12"/>
  </w:num>
  <w:num w:numId="16">
    <w:abstractNumId w:val="7"/>
  </w:num>
  <w:num w:numId="17">
    <w:abstractNumId w:val="20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0"/>
  </w:num>
  <w:num w:numId="26">
    <w:abstractNumId w:val="1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2"/>
  </w:num>
  <w:num w:numId="30">
    <w:abstractNumId w:val="13"/>
  </w:num>
  <w:num w:numId="31">
    <w:abstractNumId w:val="11"/>
  </w:num>
  <w:num w:numId="32">
    <w:abstractNumId w:val="6"/>
  </w:num>
  <w:num w:numId="33">
    <w:abstractNumId w:val="12"/>
  </w:num>
  <w:num w:numId="34">
    <w:abstractNumId w:val="12"/>
  </w:num>
  <w:num w:numId="35">
    <w:abstractNumId w:val="12"/>
    <w:lvlOverride w:ilvl="0">
      <w:startOverride w:val="2"/>
    </w:lvlOverride>
    <w:lvlOverride w:ilvl="1">
      <w:startOverride w:val="4"/>
    </w:lvlOverride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  <w:num w:numId="42">
    <w:abstractNumId w:val="17"/>
  </w:num>
  <w:num w:numId="43">
    <w:abstractNumId w:val="1"/>
  </w:num>
  <w:num w:numId="44">
    <w:abstractNumId w:val="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5F6"/>
    <w:rsid w:val="00001C14"/>
    <w:rsid w:val="0000289E"/>
    <w:rsid w:val="00004771"/>
    <w:rsid w:val="000140ED"/>
    <w:rsid w:val="00015846"/>
    <w:rsid w:val="00016002"/>
    <w:rsid w:val="0002166D"/>
    <w:rsid w:val="00025A91"/>
    <w:rsid w:val="00026433"/>
    <w:rsid w:val="00027A4F"/>
    <w:rsid w:val="00030FDC"/>
    <w:rsid w:val="000312E5"/>
    <w:rsid w:val="000323D2"/>
    <w:rsid w:val="000340A2"/>
    <w:rsid w:val="00035456"/>
    <w:rsid w:val="00037860"/>
    <w:rsid w:val="00037C3C"/>
    <w:rsid w:val="00044820"/>
    <w:rsid w:val="00044D7E"/>
    <w:rsid w:val="000537B6"/>
    <w:rsid w:val="0005428F"/>
    <w:rsid w:val="00056904"/>
    <w:rsid w:val="000576CA"/>
    <w:rsid w:val="000608A5"/>
    <w:rsid w:val="000644BD"/>
    <w:rsid w:val="00070DB3"/>
    <w:rsid w:val="00072635"/>
    <w:rsid w:val="000755E2"/>
    <w:rsid w:val="00076546"/>
    <w:rsid w:val="000804EA"/>
    <w:rsid w:val="00080CCD"/>
    <w:rsid w:val="00082208"/>
    <w:rsid w:val="00083482"/>
    <w:rsid w:val="000850B6"/>
    <w:rsid w:val="00085833"/>
    <w:rsid w:val="000900BE"/>
    <w:rsid w:val="000909CC"/>
    <w:rsid w:val="000933D9"/>
    <w:rsid w:val="000978A3"/>
    <w:rsid w:val="000A1765"/>
    <w:rsid w:val="000A198B"/>
    <w:rsid w:val="000A51E9"/>
    <w:rsid w:val="000A5BEC"/>
    <w:rsid w:val="000A6A44"/>
    <w:rsid w:val="000A6D22"/>
    <w:rsid w:val="000B0A76"/>
    <w:rsid w:val="000B512C"/>
    <w:rsid w:val="000C02EC"/>
    <w:rsid w:val="000C2C70"/>
    <w:rsid w:val="000C31A8"/>
    <w:rsid w:val="000C4689"/>
    <w:rsid w:val="000C6886"/>
    <w:rsid w:val="000C6F5E"/>
    <w:rsid w:val="000C6FCC"/>
    <w:rsid w:val="000D1A1D"/>
    <w:rsid w:val="000D1DE7"/>
    <w:rsid w:val="000D35E0"/>
    <w:rsid w:val="000D60FE"/>
    <w:rsid w:val="000E5184"/>
    <w:rsid w:val="000E5EC1"/>
    <w:rsid w:val="000E6A39"/>
    <w:rsid w:val="000F07B3"/>
    <w:rsid w:val="000F0F83"/>
    <w:rsid w:val="000F352B"/>
    <w:rsid w:val="000F62BA"/>
    <w:rsid w:val="00101DD8"/>
    <w:rsid w:val="00102F22"/>
    <w:rsid w:val="0011258D"/>
    <w:rsid w:val="00114006"/>
    <w:rsid w:val="001141D5"/>
    <w:rsid w:val="0011632C"/>
    <w:rsid w:val="001212E0"/>
    <w:rsid w:val="00122F38"/>
    <w:rsid w:val="00125886"/>
    <w:rsid w:val="00132890"/>
    <w:rsid w:val="00133559"/>
    <w:rsid w:val="001345F4"/>
    <w:rsid w:val="00136D5E"/>
    <w:rsid w:val="00143059"/>
    <w:rsid w:val="00144DBF"/>
    <w:rsid w:val="00145F1A"/>
    <w:rsid w:val="00146F3D"/>
    <w:rsid w:val="0015066B"/>
    <w:rsid w:val="00150BD2"/>
    <w:rsid w:val="00160E4E"/>
    <w:rsid w:val="00161A34"/>
    <w:rsid w:val="001677CE"/>
    <w:rsid w:val="00171301"/>
    <w:rsid w:val="0017456D"/>
    <w:rsid w:val="00180E92"/>
    <w:rsid w:val="00182517"/>
    <w:rsid w:val="001830A8"/>
    <w:rsid w:val="0019013B"/>
    <w:rsid w:val="00190F84"/>
    <w:rsid w:val="0019140E"/>
    <w:rsid w:val="001A29BD"/>
    <w:rsid w:val="001A29CB"/>
    <w:rsid w:val="001A7DF8"/>
    <w:rsid w:val="001B44BB"/>
    <w:rsid w:val="001B70DB"/>
    <w:rsid w:val="001C2F93"/>
    <w:rsid w:val="001D5E6B"/>
    <w:rsid w:val="001D6180"/>
    <w:rsid w:val="001D732B"/>
    <w:rsid w:val="001E31A1"/>
    <w:rsid w:val="001E4B26"/>
    <w:rsid w:val="001E60BF"/>
    <w:rsid w:val="001F4690"/>
    <w:rsid w:val="001F5664"/>
    <w:rsid w:val="001F6BF1"/>
    <w:rsid w:val="001F6CA7"/>
    <w:rsid w:val="001F7818"/>
    <w:rsid w:val="001F7D68"/>
    <w:rsid w:val="00200BDA"/>
    <w:rsid w:val="002019A3"/>
    <w:rsid w:val="002021A6"/>
    <w:rsid w:val="00203A42"/>
    <w:rsid w:val="002068BF"/>
    <w:rsid w:val="00207530"/>
    <w:rsid w:val="00207B34"/>
    <w:rsid w:val="00213626"/>
    <w:rsid w:val="00215441"/>
    <w:rsid w:val="00217166"/>
    <w:rsid w:val="00223D9F"/>
    <w:rsid w:val="0023516E"/>
    <w:rsid w:val="00235FF1"/>
    <w:rsid w:val="002361AB"/>
    <w:rsid w:val="00237B5C"/>
    <w:rsid w:val="00240EF2"/>
    <w:rsid w:val="00245A12"/>
    <w:rsid w:val="00246CA7"/>
    <w:rsid w:val="002526E2"/>
    <w:rsid w:val="00255204"/>
    <w:rsid w:val="00255EC2"/>
    <w:rsid w:val="00256168"/>
    <w:rsid w:val="00263FE2"/>
    <w:rsid w:val="00265A20"/>
    <w:rsid w:val="00266371"/>
    <w:rsid w:val="00267CC5"/>
    <w:rsid w:val="00270360"/>
    <w:rsid w:val="00271300"/>
    <w:rsid w:val="00274DDE"/>
    <w:rsid w:val="00281082"/>
    <w:rsid w:val="002839E0"/>
    <w:rsid w:val="00285D4A"/>
    <w:rsid w:val="00287471"/>
    <w:rsid w:val="00290B5F"/>
    <w:rsid w:val="0029100B"/>
    <w:rsid w:val="00294218"/>
    <w:rsid w:val="0029703B"/>
    <w:rsid w:val="002A2DF5"/>
    <w:rsid w:val="002A6913"/>
    <w:rsid w:val="002A76CB"/>
    <w:rsid w:val="002B6312"/>
    <w:rsid w:val="002B6E7C"/>
    <w:rsid w:val="002B72F1"/>
    <w:rsid w:val="002C0209"/>
    <w:rsid w:val="002C18A9"/>
    <w:rsid w:val="002C41C9"/>
    <w:rsid w:val="002C5137"/>
    <w:rsid w:val="002C6D9F"/>
    <w:rsid w:val="002C7307"/>
    <w:rsid w:val="002C76A0"/>
    <w:rsid w:val="002D5AD2"/>
    <w:rsid w:val="002D604A"/>
    <w:rsid w:val="002D671E"/>
    <w:rsid w:val="002E3267"/>
    <w:rsid w:val="002E7C0A"/>
    <w:rsid w:val="002F2248"/>
    <w:rsid w:val="002F69B8"/>
    <w:rsid w:val="00307B04"/>
    <w:rsid w:val="003135A5"/>
    <w:rsid w:val="00313CA1"/>
    <w:rsid w:val="00316497"/>
    <w:rsid w:val="00324D3E"/>
    <w:rsid w:val="00330068"/>
    <w:rsid w:val="0033115A"/>
    <w:rsid w:val="003311FB"/>
    <w:rsid w:val="00332A01"/>
    <w:rsid w:val="00335FDF"/>
    <w:rsid w:val="00337E5C"/>
    <w:rsid w:val="00346610"/>
    <w:rsid w:val="00352A7D"/>
    <w:rsid w:val="00352D5E"/>
    <w:rsid w:val="00356E1C"/>
    <w:rsid w:val="00356FEB"/>
    <w:rsid w:val="003615F7"/>
    <w:rsid w:val="00364D8F"/>
    <w:rsid w:val="00364EF9"/>
    <w:rsid w:val="003661D3"/>
    <w:rsid w:val="00373183"/>
    <w:rsid w:val="003740B6"/>
    <w:rsid w:val="00374799"/>
    <w:rsid w:val="00382178"/>
    <w:rsid w:val="0039480F"/>
    <w:rsid w:val="0039621D"/>
    <w:rsid w:val="003976C4"/>
    <w:rsid w:val="003A31DC"/>
    <w:rsid w:val="003A666A"/>
    <w:rsid w:val="003A6E13"/>
    <w:rsid w:val="003B0A23"/>
    <w:rsid w:val="003B3793"/>
    <w:rsid w:val="003D16BA"/>
    <w:rsid w:val="003D27CC"/>
    <w:rsid w:val="003D6B19"/>
    <w:rsid w:val="003D7AE8"/>
    <w:rsid w:val="003E158C"/>
    <w:rsid w:val="003E15BB"/>
    <w:rsid w:val="003E6C06"/>
    <w:rsid w:val="003E7790"/>
    <w:rsid w:val="003F524C"/>
    <w:rsid w:val="003F60D6"/>
    <w:rsid w:val="003F6382"/>
    <w:rsid w:val="003F6EA7"/>
    <w:rsid w:val="00400C36"/>
    <w:rsid w:val="004064BF"/>
    <w:rsid w:val="00406AC9"/>
    <w:rsid w:val="004139AA"/>
    <w:rsid w:val="00415442"/>
    <w:rsid w:val="0042297D"/>
    <w:rsid w:val="004242E9"/>
    <w:rsid w:val="004274A7"/>
    <w:rsid w:val="00430D4A"/>
    <w:rsid w:val="0043100D"/>
    <w:rsid w:val="00433535"/>
    <w:rsid w:val="00435A8B"/>
    <w:rsid w:val="00437BDE"/>
    <w:rsid w:val="004407B1"/>
    <w:rsid w:val="00441FC1"/>
    <w:rsid w:val="004424D8"/>
    <w:rsid w:val="00444405"/>
    <w:rsid w:val="00446555"/>
    <w:rsid w:val="00446EC6"/>
    <w:rsid w:val="004507A8"/>
    <w:rsid w:val="004515E9"/>
    <w:rsid w:val="0045245F"/>
    <w:rsid w:val="0045387C"/>
    <w:rsid w:val="004555CC"/>
    <w:rsid w:val="004607FA"/>
    <w:rsid w:val="0046387C"/>
    <w:rsid w:val="00467F4D"/>
    <w:rsid w:val="004745D4"/>
    <w:rsid w:val="004745F6"/>
    <w:rsid w:val="00476A29"/>
    <w:rsid w:val="00480007"/>
    <w:rsid w:val="00482280"/>
    <w:rsid w:val="004827FD"/>
    <w:rsid w:val="0048298D"/>
    <w:rsid w:val="00486E1F"/>
    <w:rsid w:val="00490BBC"/>
    <w:rsid w:val="00490E06"/>
    <w:rsid w:val="00490E3D"/>
    <w:rsid w:val="004961C4"/>
    <w:rsid w:val="00496386"/>
    <w:rsid w:val="00496D7A"/>
    <w:rsid w:val="0049790A"/>
    <w:rsid w:val="00497A36"/>
    <w:rsid w:val="004A62C6"/>
    <w:rsid w:val="004B05EF"/>
    <w:rsid w:val="004B2A87"/>
    <w:rsid w:val="004B30DB"/>
    <w:rsid w:val="004B3A2B"/>
    <w:rsid w:val="004B55E2"/>
    <w:rsid w:val="004B6D26"/>
    <w:rsid w:val="004C1991"/>
    <w:rsid w:val="004C3331"/>
    <w:rsid w:val="004D4D3F"/>
    <w:rsid w:val="004D5C24"/>
    <w:rsid w:val="004E2D29"/>
    <w:rsid w:val="004E4574"/>
    <w:rsid w:val="004E66E3"/>
    <w:rsid w:val="004E7AEC"/>
    <w:rsid w:val="004F1054"/>
    <w:rsid w:val="004F194C"/>
    <w:rsid w:val="004F3BD1"/>
    <w:rsid w:val="004F6EFD"/>
    <w:rsid w:val="00500D5F"/>
    <w:rsid w:val="005019AC"/>
    <w:rsid w:val="00504156"/>
    <w:rsid w:val="00510A1B"/>
    <w:rsid w:val="005166B4"/>
    <w:rsid w:val="0051792B"/>
    <w:rsid w:val="00523B35"/>
    <w:rsid w:val="005252E4"/>
    <w:rsid w:val="00527B60"/>
    <w:rsid w:val="005306C7"/>
    <w:rsid w:val="005306DA"/>
    <w:rsid w:val="00533B52"/>
    <w:rsid w:val="00533DF2"/>
    <w:rsid w:val="00540B81"/>
    <w:rsid w:val="00544171"/>
    <w:rsid w:val="0054509B"/>
    <w:rsid w:val="005527CD"/>
    <w:rsid w:val="00562F0C"/>
    <w:rsid w:val="0056381C"/>
    <w:rsid w:val="005662C3"/>
    <w:rsid w:val="00574E4F"/>
    <w:rsid w:val="005805E7"/>
    <w:rsid w:val="00582132"/>
    <w:rsid w:val="00582818"/>
    <w:rsid w:val="00583555"/>
    <w:rsid w:val="005874D2"/>
    <w:rsid w:val="00587543"/>
    <w:rsid w:val="005A46DD"/>
    <w:rsid w:val="005B3787"/>
    <w:rsid w:val="005B691D"/>
    <w:rsid w:val="005C132D"/>
    <w:rsid w:val="005C1AF9"/>
    <w:rsid w:val="005C2D5B"/>
    <w:rsid w:val="005C4A06"/>
    <w:rsid w:val="005D0A6F"/>
    <w:rsid w:val="005D3121"/>
    <w:rsid w:val="005D4694"/>
    <w:rsid w:val="005D4E99"/>
    <w:rsid w:val="005D5AAA"/>
    <w:rsid w:val="005D7B67"/>
    <w:rsid w:val="005D7DE5"/>
    <w:rsid w:val="005E07E3"/>
    <w:rsid w:val="005E4DB3"/>
    <w:rsid w:val="005E5FEB"/>
    <w:rsid w:val="005E67AF"/>
    <w:rsid w:val="005E75C5"/>
    <w:rsid w:val="005F192B"/>
    <w:rsid w:val="005F6826"/>
    <w:rsid w:val="00600821"/>
    <w:rsid w:val="00600FA1"/>
    <w:rsid w:val="006010E4"/>
    <w:rsid w:val="00601203"/>
    <w:rsid w:val="00604652"/>
    <w:rsid w:val="006050C8"/>
    <w:rsid w:val="00605388"/>
    <w:rsid w:val="00605D73"/>
    <w:rsid w:val="00606048"/>
    <w:rsid w:val="0061125A"/>
    <w:rsid w:val="00612155"/>
    <w:rsid w:val="00612C6D"/>
    <w:rsid w:val="00613F8C"/>
    <w:rsid w:val="006157B9"/>
    <w:rsid w:val="006213E9"/>
    <w:rsid w:val="00622754"/>
    <w:rsid w:val="00624EA2"/>
    <w:rsid w:val="00627FF7"/>
    <w:rsid w:val="00636310"/>
    <w:rsid w:val="00641EEC"/>
    <w:rsid w:val="0064651F"/>
    <w:rsid w:val="00646E68"/>
    <w:rsid w:val="00647FE6"/>
    <w:rsid w:val="00651E29"/>
    <w:rsid w:val="00652C62"/>
    <w:rsid w:val="006539F9"/>
    <w:rsid w:val="00666F6F"/>
    <w:rsid w:val="0067413B"/>
    <w:rsid w:val="00676268"/>
    <w:rsid w:val="006816C8"/>
    <w:rsid w:val="00683EF5"/>
    <w:rsid w:val="00685DBC"/>
    <w:rsid w:val="00686A43"/>
    <w:rsid w:val="00687D40"/>
    <w:rsid w:val="0069137F"/>
    <w:rsid w:val="006953FF"/>
    <w:rsid w:val="006A0D5C"/>
    <w:rsid w:val="006A1F5A"/>
    <w:rsid w:val="006A6B17"/>
    <w:rsid w:val="006B29FD"/>
    <w:rsid w:val="006B3DEC"/>
    <w:rsid w:val="006C109B"/>
    <w:rsid w:val="006C1D4B"/>
    <w:rsid w:val="006C2D30"/>
    <w:rsid w:val="006C4AE4"/>
    <w:rsid w:val="006C4FD7"/>
    <w:rsid w:val="006D2BBB"/>
    <w:rsid w:val="006D33AA"/>
    <w:rsid w:val="006D658F"/>
    <w:rsid w:val="006D7841"/>
    <w:rsid w:val="006E07C4"/>
    <w:rsid w:val="006E4375"/>
    <w:rsid w:val="006E5261"/>
    <w:rsid w:val="006F10B3"/>
    <w:rsid w:val="006F4B53"/>
    <w:rsid w:val="006F75F1"/>
    <w:rsid w:val="007022C6"/>
    <w:rsid w:val="00704FC2"/>
    <w:rsid w:val="0071197C"/>
    <w:rsid w:val="00712F55"/>
    <w:rsid w:val="00715657"/>
    <w:rsid w:val="007178A4"/>
    <w:rsid w:val="00721CFA"/>
    <w:rsid w:val="00723636"/>
    <w:rsid w:val="00724103"/>
    <w:rsid w:val="00724F37"/>
    <w:rsid w:val="00726531"/>
    <w:rsid w:val="0073348D"/>
    <w:rsid w:val="00737134"/>
    <w:rsid w:val="007379E2"/>
    <w:rsid w:val="0074019F"/>
    <w:rsid w:val="0074467C"/>
    <w:rsid w:val="007454BE"/>
    <w:rsid w:val="00745896"/>
    <w:rsid w:val="00750C39"/>
    <w:rsid w:val="00752057"/>
    <w:rsid w:val="007524EF"/>
    <w:rsid w:val="00752EA9"/>
    <w:rsid w:val="007610BA"/>
    <w:rsid w:val="007625D6"/>
    <w:rsid w:val="00763687"/>
    <w:rsid w:val="00765170"/>
    <w:rsid w:val="00766355"/>
    <w:rsid w:val="007700DC"/>
    <w:rsid w:val="0077166F"/>
    <w:rsid w:val="00774DF1"/>
    <w:rsid w:val="00777CB3"/>
    <w:rsid w:val="007817A3"/>
    <w:rsid w:val="00783BCB"/>
    <w:rsid w:val="00794746"/>
    <w:rsid w:val="007A370E"/>
    <w:rsid w:val="007B00A7"/>
    <w:rsid w:val="007C0565"/>
    <w:rsid w:val="007C15F0"/>
    <w:rsid w:val="007C2DA2"/>
    <w:rsid w:val="007C432E"/>
    <w:rsid w:val="007C65D5"/>
    <w:rsid w:val="007D0973"/>
    <w:rsid w:val="007F6ABA"/>
    <w:rsid w:val="00801C5C"/>
    <w:rsid w:val="008051F5"/>
    <w:rsid w:val="0081328C"/>
    <w:rsid w:val="00814AFC"/>
    <w:rsid w:val="00815697"/>
    <w:rsid w:val="00820A50"/>
    <w:rsid w:val="00820C08"/>
    <w:rsid w:val="00822805"/>
    <w:rsid w:val="008242FE"/>
    <w:rsid w:val="00830D51"/>
    <w:rsid w:val="008314A8"/>
    <w:rsid w:val="00833F7C"/>
    <w:rsid w:val="008357D3"/>
    <w:rsid w:val="008402E3"/>
    <w:rsid w:val="00841456"/>
    <w:rsid w:val="00844E44"/>
    <w:rsid w:val="008463EF"/>
    <w:rsid w:val="00847919"/>
    <w:rsid w:val="00854C2F"/>
    <w:rsid w:val="00857206"/>
    <w:rsid w:val="0085790F"/>
    <w:rsid w:val="0086109A"/>
    <w:rsid w:val="00861749"/>
    <w:rsid w:val="00870AEA"/>
    <w:rsid w:val="00870D18"/>
    <w:rsid w:val="00873BE7"/>
    <w:rsid w:val="00875DCF"/>
    <w:rsid w:val="00877743"/>
    <w:rsid w:val="0088044B"/>
    <w:rsid w:val="0088076C"/>
    <w:rsid w:val="00882B5B"/>
    <w:rsid w:val="00882C1B"/>
    <w:rsid w:val="008A14F4"/>
    <w:rsid w:val="008A2175"/>
    <w:rsid w:val="008A48FF"/>
    <w:rsid w:val="008A59FC"/>
    <w:rsid w:val="008B0E25"/>
    <w:rsid w:val="008B24C2"/>
    <w:rsid w:val="008B2CF3"/>
    <w:rsid w:val="008B450D"/>
    <w:rsid w:val="008B548C"/>
    <w:rsid w:val="008C246F"/>
    <w:rsid w:val="008C763B"/>
    <w:rsid w:val="008D1085"/>
    <w:rsid w:val="008D38DF"/>
    <w:rsid w:val="008D77DF"/>
    <w:rsid w:val="008E34BB"/>
    <w:rsid w:val="008F12A7"/>
    <w:rsid w:val="00900F1A"/>
    <w:rsid w:val="00902F74"/>
    <w:rsid w:val="0090603E"/>
    <w:rsid w:val="009073D2"/>
    <w:rsid w:val="00910440"/>
    <w:rsid w:val="00910F22"/>
    <w:rsid w:val="009115B5"/>
    <w:rsid w:val="00922945"/>
    <w:rsid w:val="00930A41"/>
    <w:rsid w:val="00930C17"/>
    <w:rsid w:val="00932263"/>
    <w:rsid w:val="00932989"/>
    <w:rsid w:val="00932BFC"/>
    <w:rsid w:val="00933826"/>
    <w:rsid w:val="009358A3"/>
    <w:rsid w:val="009369F9"/>
    <w:rsid w:val="00936BFD"/>
    <w:rsid w:val="0094017D"/>
    <w:rsid w:val="009463EB"/>
    <w:rsid w:val="00955A0C"/>
    <w:rsid w:val="009568F6"/>
    <w:rsid w:val="0095738F"/>
    <w:rsid w:val="00960C78"/>
    <w:rsid w:val="0096315E"/>
    <w:rsid w:val="00963A7B"/>
    <w:rsid w:val="00963E11"/>
    <w:rsid w:val="0097126C"/>
    <w:rsid w:val="00973C76"/>
    <w:rsid w:val="00976686"/>
    <w:rsid w:val="00987DC4"/>
    <w:rsid w:val="00992249"/>
    <w:rsid w:val="009945E2"/>
    <w:rsid w:val="0099487D"/>
    <w:rsid w:val="00994C9E"/>
    <w:rsid w:val="0099595C"/>
    <w:rsid w:val="00997CD9"/>
    <w:rsid w:val="009A03B8"/>
    <w:rsid w:val="009A1701"/>
    <w:rsid w:val="009A24D3"/>
    <w:rsid w:val="009A33DD"/>
    <w:rsid w:val="009A4692"/>
    <w:rsid w:val="009B0F18"/>
    <w:rsid w:val="009C00D1"/>
    <w:rsid w:val="009C0F6B"/>
    <w:rsid w:val="009C150A"/>
    <w:rsid w:val="009C19B2"/>
    <w:rsid w:val="009D08AF"/>
    <w:rsid w:val="009D187C"/>
    <w:rsid w:val="009D2CB6"/>
    <w:rsid w:val="009D3911"/>
    <w:rsid w:val="009D7848"/>
    <w:rsid w:val="009E2B6F"/>
    <w:rsid w:val="009E39FC"/>
    <w:rsid w:val="009E3C99"/>
    <w:rsid w:val="009F17F5"/>
    <w:rsid w:val="009F1800"/>
    <w:rsid w:val="009F1B1F"/>
    <w:rsid w:val="009F2884"/>
    <w:rsid w:val="009F5D8F"/>
    <w:rsid w:val="00A003E8"/>
    <w:rsid w:val="00A02F1F"/>
    <w:rsid w:val="00A05ABE"/>
    <w:rsid w:val="00A10B7F"/>
    <w:rsid w:val="00A15B16"/>
    <w:rsid w:val="00A22DFA"/>
    <w:rsid w:val="00A23E5E"/>
    <w:rsid w:val="00A25643"/>
    <w:rsid w:val="00A310D5"/>
    <w:rsid w:val="00A31799"/>
    <w:rsid w:val="00A31C2F"/>
    <w:rsid w:val="00A31EA8"/>
    <w:rsid w:val="00A32350"/>
    <w:rsid w:val="00A35B01"/>
    <w:rsid w:val="00A369FD"/>
    <w:rsid w:val="00A51C40"/>
    <w:rsid w:val="00A53EE2"/>
    <w:rsid w:val="00A60B6D"/>
    <w:rsid w:val="00A6172B"/>
    <w:rsid w:val="00A65595"/>
    <w:rsid w:val="00A65CC1"/>
    <w:rsid w:val="00A73539"/>
    <w:rsid w:val="00A74D70"/>
    <w:rsid w:val="00A7504C"/>
    <w:rsid w:val="00A75805"/>
    <w:rsid w:val="00A76BA4"/>
    <w:rsid w:val="00A77807"/>
    <w:rsid w:val="00A7793D"/>
    <w:rsid w:val="00A80035"/>
    <w:rsid w:val="00A81425"/>
    <w:rsid w:val="00A85CD7"/>
    <w:rsid w:val="00A902D9"/>
    <w:rsid w:val="00A92EB0"/>
    <w:rsid w:val="00A93716"/>
    <w:rsid w:val="00A97229"/>
    <w:rsid w:val="00AA01B9"/>
    <w:rsid w:val="00AA0C61"/>
    <w:rsid w:val="00AA0DCE"/>
    <w:rsid w:val="00AA4A63"/>
    <w:rsid w:val="00AA74F4"/>
    <w:rsid w:val="00AC1351"/>
    <w:rsid w:val="00AC17AD"/>
    <w:rsid w:val="00AC2402"/>
    <w:rsid w:val="00AC358B"/>
    <w:rsid w:val="00AC3CC8"/>
    <w:rsid w:val="00AC400B"/>
    <w:rsid w:val="00AD1BF6"/>
    <w:rsid w:val="00AD63AA"/>
    <w:rsid w:val="00AD7FF3"/>
    <w:rsid w:val="00AE6254"/>
    <w:rsid w:val="00AE670B"/>
    <w:rsid w:val="00AF3FC0"/>
    <w:rsid w:val="00AF3FD3"/>
    <w:rsid w:val="00AF65DE"/>
    <w:rsid w:val="00B01761"/>
    <w:rsid w:val="00B02004"/>
    <w:rsid w:val="00B073D3"/>
    <w:rsid w:val="00B1452E"/>
    <w:rsid w:val="00B15B5D"/>
    <w:rsid w:val="00B15EB7"/>
    <w:rsid w:val="00B21563"/>
    <w:rsid w:val="00B2768D"/>
    <w:rsid w:val="00B3095B"/>
    <w:rsid w:val="00B309E5"/>
    <w:rsid w:val="00B3156F"/>
    <w:rsid w:val="00B33709"/>
    <w:rsid w:val="00B34996"/>
    <w:rsid w:val="00B34EFE"/>
    <w:rsid w:val="00B37B80"/>
    <w:rsid w:val="00B404DF"/>
    <w:rsid w:val="00B4061C"/>
    <w:rsid w:val="00B41474"/>
    <w:rsid w:val="00B42FD7"/>
    <w:rsid w:val="00B534CA"/>
    <w:rsid w:val="00B5609D"/>
    <w:rsid w:val="00B604B4"/>
    <w:rsid w:val="00B62CC3"/>
    <w:rsid w:val="00B64D5D"/>
    <w:rsid w:val="00B6624D"/>
    <w:rsid w:val="00B66729"/>
    <w:rsid w:val="00B7270F"/>
    <w:rsid w:val="00B73261"/>
    <w:rsid w:val="00B772F6"/>
    <w:rsid w:val="00B80601"/>
    <w:rsid w:val="00B858BB"/>
    <w:rsid w:val="00B9017C"/>
    <w:rsid w:val="00B93961"/>
    <w:rsid w:val="00B93FA6"/>
    <w:rsid w:val="00B9590F"/>
    <w:rsid w:val="00B96F00"/>
    <w:rsid w:val="00B9786E"/>
    <w:rsid w:val="00BA202E"/>
    <w:rsid w:val="00BB08C9"/>
    <w:rsid w:val="00BB0AB3"/>
    <w:rsid w:val="00BB4111"/>
    <w:rsid w:val="00BB5606"/>
    <w:rsid w:val="00BB6872"/>
    <w:rsid w:val="00BB711A"/>
    <w:rsid w:val="00BB7455"/>
    <w:rsid w:val="00BC05A9"/>
    <w:rsid w:val="00BC1C34"/>
    <w:rsid w:val="00BC20B1"/>
    <w:rsid w:val="00BC2883"/>
    <w:rsid w:val="00BC3774"/>
    <w:rsid w:val="00BC390E"/>
    <w:rsid w:val="00BC465D"/>
    <w:rsid w:val="00BC49E3"/>
    <w:rsid w:val="00BC7441"/>
    <w:rsid w:val="00BD1BE2"/>
    <w:rsid w:val="00BD4A10"/>
    <w:rsid w:val="00BD52A2"/>
    <w:rsid w:val="00BD6923"/>
    <w:rsid w:val="00BD7540"/>
    <w:rsid w:val="00BE1BA6"/>
    <w:rsid w:val="00BE1BF2"/>
    <w:rsid w:val="00BE25BF"/>
    <w:rsid w:val="00BE283D"/>
    <w:rsid w:val="00BE41B7"/>
    <w:rsid w:val="00BE5D2C"/>
    <w:rsid w:val="00BE72CC"/>
    <w:rsid w:val="00BF2490"/>
    <w:rsid w:val="00BF754D"/>
    <w:rsid w:val="00C1149C"/>
    <w:rsid w:val="00C12D52"/>
    <w:rsid w:val="00C15CE2"/>
    <w:rsid w:val="00C21339"/>
    <w:rsid w:val="00C21742"/>
    <w:rsid w:val="00C21818"/>
    <w:rsid w:val="00C25AE9"/>
    <w:rsid w:val="00C279FC"/>
    <w:rsid w:val="00C307EC"/>
    <w:rsid w:val="00C30F62"/>
    <w:rsid w:val="00C31230"/>
    <w:rsid w:val="00C31277"/>
    <w:rsid w:val="00C32595"/>
    <w:rsid w:val="00C410BB"/>
    <w:rsid w:val="00C45E61"/>
    <w:rsid w:val="00C52B3D"/>
    <w:rsid w:val="00C52CEF"/>
    <w:rsid w:val="00C5700A"/>
    <w:rsid w:val="00C571D9"/>
    <w:rsid w:val="00C61721"/>
    <w:rsid w:val="00C62362"/>
    <w:rsid w:val="00C62D90"/>
    <w:rsid w:val="00C66100"/>
    <w:rsid w:val="00C666B5"/>
    <w:rsid w:val="00C67DAF"/>
    <w:rsid w:val="00C71584"/>
    <w:rsid w:val="00C7635A"/>
    <w:rsid w:val="00C77C90"/>
    <w:rsid w:val="00C81CD5"/>
    <w:rsid w:val="00C83E9C"/>
    <w:rsid w:val="00C85D6F"/>
    <w:rsid w:val="00C86D31"/>
    <w:rsid w:val="00C87768"/>
    <w:rsid w:val="00C9249E"/>
    <w:rsid w:val="00C97413"/>
    <w:rsid w:val="00CA103B"/>
    <w:rsid w:val="00CA2516"/>
    <w:rsid w:val="00CA41E9"/>
    <w:rsid w:val="00CA5300"/>
    <w:rsid w:val="00CA5B23"/>
    <w:rsid w:val="00CA6957"/>
    <w:rsid w:val="00CB1C9D"/>
    <w:rsid w:val="00CB2C5A"/>
    <w:rsid w:val="00CC15CC"/>
    <w:rsid w:val="00CD0A25"/>
    <w:rsid w:val="00CD18D4"/>
    <w:rsid w:val="00CD22DD"/>
    <w:rsid w:val="00CD51C8"/>
    <w:rsid w:val="00CE21CB"/>
    <w:rsid w:val="00CE279D"/>
    <w:rsid w:val="00CE2D8F"/>
    <w:rsid w:val="00CF038C"/>
    <w:rsid w:val="00CF4459"/>
    <w:rsid w:val="00CF5843"/>
    <w:rsid w:val="00D01E8F"/>
    <w:rsid w:val="00D1058F"/>
    <w:rsid w:val="00D138F9"/>
    <w:rsid w:val="00D13900"/>
    <w:rsid w:val="00D141F4"/>
    <w:rsid w:val="00D15473"/>
    <w:rsid w:val="00D161CC"/>
    <w:rsid w:val="00D17696"/>
    <w:rsid w:val="00D206BF"/>
    <w:rsid w:val="00D211A9"/>
    <w:rsid w:val="00D24D0B"/>
    <w:rsid w:val="00D2655B"/>
    <w:rsid w:val="00D31C67"/>
    <w:rsid w:val="00D336D9"/>
    <w:rsid w:val="00D37184"/>
    <w:rsid w:val="00D422AE"/>
    <w:rsid w:val="00D42492"/>
    <w:rsid w:val="00D44ACE"/>
    <w:rsid w:val="00D44F86"/>
    <w:rsid w:val="00D459BC"/>
    <w:rsid w:val="00D4777D"/>
    <w:rsid w:val="00D52381"/>
    <w:rsid w:val="00D52A4B"/>
    <w:rsid w:val="00D5543D"/>
    <w:rsid w:val="00D55F0E"/>
    <w:rsid w:val="00D57557"/>
    <w:rsid w:val="00D57AD9"/>
    <w:rsid w:val="00D62758"/>
    <w:rsid w:val="00D62D2F"/>
    <w:rsid w:val="00D6643E"/>
    <w:rsid w:val="00D73674"/>
    <w:rsid w:val="00D74600"/>
    <w:rsid w:val="00D74D04"/>
    <w:rsid w:val="00D761EE"/>
    <w:rsid w:val="00D766DC"/>
    <w:rsid w:val="00D76FAC"/>
    <w:rsid w:val="00D859D5"/>
    <w:rsid w:val="00D90C3E"/>
    <w:rsid w:val="00D92F67"/>
    <w:rsid w:val="00D938D6"/>
    <w:rsid w:val="00D939E8"/>
    <w:rsid w:val="00DA3449"/>
    <w:rsid w:val="00DA3C65"/>
    <w:rsid w:val="00DA4282"/>
    <w:rsid w:val="00DB1B17"/>
    <w:rsid w:val="00DB45F5"/>
    <w:rsid w:val="00DC01E7"/>
    <w:rsid w:val="00DC0556"/>
    <w:rsid w:val="00DC431E"/>
    <w:rsid w:val="00DC584F"/>
    <w:rsid w:val="00DD2C7B"/>
    <w:rsid w:val="00DD3255"/>
    <w:rsid w:val="00DD619C"/>
    <w:rsid w:val="00DE0A1C"/>
    <w:rsid w:val="00DE3266"/>
    <w:rsid w:val="00DE5A70"/>
    <w:rsid w:val="00DE604B"/>
    <w:rsid w:val="00DF0DD9"/>
    <w:rsid w:val="00DF3092"/>
    <w:rsid w:val="00DF5627"/>
    <w:rsid w:val="00E0150A"/>
    <w:rsid w:val="00E031AB"/>
    <w:rsid w:val="00E044C2"/>
    <w:rsid w:val="00E05FF4"/>
    <w:rsid w:val="00E1382A"/>
    <w:rsid w:val="00E15C3A"/>
    <w:rsid w:val="00E160BA"/>
    <w:rsid w:val="00E230EB"/>
    <w:rsid w:val="00E2494D"/>
    <w:rsid w:val="00E25708"/>
    <w:rsid w:val="00E25881"/>
    <w:rsid w:val="00E34184"/>
    <w:rsid w:val="00E34291"/>
    <w:rsid w:val="00E34FC7"/>
    <w:rsid w:val="00E35888"/>
    <w:rsid w:val="00E37529"/>
    <w:rsid w:val="00E475D3"/>
    <w:rsid w:val="00E517F8"/>
    <w:rsid w:val="00E62520"/>
    <w:rsid w:val="00E70E39"/>
    <w:rsid w:val="00E808D8"/>
    <w:rsid w:val="00E82E57"/>
    <w:rsid w:val="00E849AB"/>
    <w:rsid w:val="00E85A0E"/>
    <w:rsid w:val="00E87473"/>
    <w:rsid w:val="00E90CE4"/>
    <w:rsid w:val="00E935A4"/>
    <w:rsid w:val="00E95C1C"/>
    <w:rsid w:val="00E97B83"/>
    <w:rsid w:val="00EA0DA6"/>
    <w:rsid w:val="00EA36C8"/>
    <w:rsid w:val="00EA5F6F"/>
    <w:rsid w:val="00EB0A35"/>
    <w:rsid w:val="00EB4B16"/>
    <w:rsid w:val="00EB4B9E"/>
    <w:rsid w:val="00EB4CD9"/>
    <w:rsid w:val="00EB69D3"/>
    <w:rsid w:val="00EC25FA"/>
    <w:rsid w:val="00EC533F"/>
    <w:rsid w:val="00EC7C61"/>
    <w:rsid w:val="00ED16D6"/>
    <w:rsid w:val="00EE213B"/>
    <w:rsid w:val="00EF29BC"/>
    <w:rsid w:val="00EF5606"/>
    <w:rsid w:val="00F02A87"/>
    <w:rsid w:val="00F10719"/>
    <w:rsid w:val="00F10ECD"/>
    <w:rsid w:val="00F1296A"/>
    <w:rsid w:val="00F12CE0"/>
    <w:rsid w:val="00F13D7F"/>
    <w:rsid w:val="00F162F4"/>
    <w:rsid w:val="00F36826"/>
    <w:rsid w:val="00F47501"/>
    <w:rsid w:val="00F51552"/>
    <w:rsid w:val="00F531A6"/>
    <w:rsid w:val="00F56542"/>
    <w:rsid w:val="00F60719"/>
    <w:rsid w:val="00F61977"/>
    <w:rsid w:val="00F64226"/>
    <w:rsid w:val="00F6487D"/>
    <w:rsid w:val="00F66587"/>
    <w:rsid w:val="00F7068B"/>
    <w:rsid w:val="00F72D3D"/>
    <w:rsid w:val="00F805C1"/>
    <w:rsid w:val="00F87928"/>
    <w:rsid w:val="00F92332"/>
    <w:rsid w:val="00F933E9"/>
    <w:rsid w:val="00F96192"/>
    <w:rsid w:val="00F96D9E"/>
    <w:rsid w:val="00FA2597"/>
    <w:rsid w:val="00FA420A"/>
    <w:rsid w:val="00FA5F5E"/>
    <w:rsid w:val="00FA6F34"/>
    <w:rsid w:val="00FC2885"/>
    <w:rsid w:val="00FC7DD6"/>
    <w:rsid w:val="00FD28BD"/>
    <w:rsid w:val="00FD3C8C"/>
    <w:rsid w:val="00FD6E6A"/>
    <w:rsid w:val="00FE2FF0"/>
    <w:rsid w:val="00FE4129"/>
    <w:rsid w:val="00FE7D6E"/>
    <w:rsid w:val="00FF1211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14225"/>
  <w15:chartTrackingRefBased/>
  <w15:docId w15:val="{471053E5-5D62-4E51-8D7A-8DE478B0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848"/>
    <w:pPr>
      <w:spacing w:after="180"/>
    </w:pPr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styleId="Heading1">
    <w:name w:val="heading 1"/>
    <w:aliases w:val="H1,NMP Heading 1,h1,app heading 1,l1,Memo Heading 1,h11,h12,h13,h14,h15,h16,h17,h111,h121,h131,h141,h151,h161,h18,h112,h122,h132,h142,h152,h162,h19,h113,h123,h133,h143,h153,h163,1,Section of paper,Heading 1_a,Huvudrubrik,heading 1,Titre§,Char"/>
    <w:next w:val="Normal"/>
    <w:link w:val="Heading1Char"/>
    <w:qFormat/>
    <w:rsid w:val="004745F6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SimSun" w:hAnsi="Arial" w:cs="Times New Roman"/>
      <w:kern w:val="0"/>
      <w:sz w:val="36"/>
      <w:szCs w:val="20"/>
      <w:lang w:val="sv-SE" w:eastAsia="en-US"/>
    </w:rPr>
  </w:style>
  <w:style w:type="paragraph" w:styleId="Heading2">
    <w:name w:val="heading 2"/>
    <w:aliases w:val="header,Head2A,2,H2,h2,DO NOT USE_h2,h21,UNDERRUBRIK 1-2,Head 2,l2,TitreProp,Header 2,ITT t2,PA Major Section,Livello 2,R2,H21,Heading 2 Hidden,Head1,2nd level,heading 2,I2,Section Title,Heading2,list2,H2-Heading 2"/>
    <w:basedOn w:val="Heading1"/>
    <w:next w:val="Normal"/>
    <w:link w:val="Heading2Char"/>
    <w:autoRedefine/>
    <w:qFormat/>
    <w:rsid w:val="004745F6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"/>
    <w:basedOn w:val="Heading2"/>
    <w:next w:val="Normal"/>
    <w:link w:val="Heading3Char"/>
    <w:qFormat/>
    <w:rsid w:val="004745F6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745F6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4745F6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4745F6"/>
    <w:pPr>
      <w:keepNext/>
      <w:keepLines/>
      <w:numPr>
        <w:ilvl w:val="5"/>
        <w:numId w:val="1"/>
      </w:numPr>
      <w:spacing w:before="120"/>
      <w:outlineLvl w:val="5"/>
    </w:pPr>
    <w:rPr>
      <w:rFonts w:ascii="Arial" w:hAnsi="Arial"/>
      <w:szCs w:val="18"/>
      <w:lang w:val="sv-SE" w:eastAsia="zh-CN"/>
    </w:rPr>
  </w:style>
  <w:style w:type="paragraph" w:styleId="Heading7">
    <w:name w:val="heading 7"/>
    <w:basedOn w:val="Normal"/>
    <w:next w:val="Normal"/>
    <w:link w:val="Heading7Char"/>
    <w:qFormat/>
    <w:rsid w:val="004745F6"/>
    <w:pPr>
      <w:keepNext/>
      <w:keepLines/>
      <w:numPr>
        <w:ilvl w:val="6"/>
        <w:numId w:val="1"/>
      </w:numPr>
      <w:spacing w:before="120"/>
      <w:outlineLvl w:val="6"/>
    </w:pPr>
    <w:rPr>
      <w:rFonts w:ascii="Arial" w:hAnsi="Arial"/>
      <w:szCs w:val="18"/>
      <w:lang w:val="sv-SE" w:eastAsia="zh-CN"/>
    </w:rPr>
  </w:style>
  <w:style w:type="paragraph" w:styleId="Heading8">
    <w:name w:val="heading 8"/>
    <w:basedOn w:val="Heading1"/>
    <w:next w:val="Normal"/>
    <w:link w:val="Heading8Char"/>
    <w:qFormat/>
    <w:rsid w:val="004745F6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4745F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 Char,app heading 1 Char,l1 Char,Memo Heading 1 Char,h11 Char,h12 Char,h13 Char,h14 Char,h15 Char,h16 Char,h17 Char,h111 Char,h121 Char,h131 Char,h141 Char,h151 Char,h161 Char,h18 Char,h112 Char,h122 Char"/>
    <w:basedOn w:val="DefaultParagraphFont"/>
    <w:link w:val="Heading1"/>
    <w:rsid w:val="004745F6"/>
    <w:rPr>
      <w:rFonts w:ascii="Arial" w:eastAsia="SimSun" w:hAnsi="Arial" w:cs="Times New Roman"/>
      <w:kern w:val="0"/>
      <w:sz w:val="36"/>
      <w:szCs w:val="20"/>
      <w:lang w:val="sv-SE" w:eastAsia="en-US"/>
    </w:rPr>
  </w:style>
  <w:style w:type="character" w:customStyle="1" w:styleId="Heading2Char">
    <w:name w:val="Heading 2 Char"/>
    <w:aliases w:val="header Char,Head2A Char,2 Char,H2 Char,h2 Char,DO NOT USE_h2 Char,h21 Char,UNDERRUBRIK 1-2 Char,Head 2 Char,l2 Char,TitreProp Char,Header 2 Char,ITT t2 Char,PA Major Section Char,Livello 2 Char,R2 Char,H21 Char,Heading 2 Hidden Char"/>
    <w:basedOn w:val="DefaultParagraphFont"/>
    <w:link w:val="Heading2"/>
    <w:rsid w:val="004745F6"/>
    <w:rPr>
      <w:rFonts w:ascii="Arial" w:eastAsia="SimSun" w:hAnsi="Arial" w:cs="Times New Roman"/>
      <w:kern w:val="0"/>
      <w:sz w:val="28"/>
      <w:szCs w:val="18"/>
      <w:lang w:val="sv-SE"/>
    </w:rPr>
  </w:style>
  <w:style w:type="character" w:customStyle="1" w:styleId="Heading3Char">
    <w:name w:val="Heading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basedOn w:val="DefaultParagraphFont"/>
    <w:link w:val="Heading3"/>
    <w:rsid w:val="004745F6"/>
    <w:rPr>
      <w:rFonts w:ascii="Arial" w:eastAsia="SimSun" w:hAnsi="Arial" w:cs="Times New Roman"/>
      <w:kern w:val="0"/>
      <w:sz w:val="28"/>
      <w:szCs w:val="18"/>
      <w:lang w:val="sv-SE"/>
    </w:rPr>
  </w:style>
  <w:style w:type="character" w:customStyle="1" w:styleId="Heading4Char">
    <w:name w:val="Heading 4 Char"/>
    <w:basedOn w:val="DefaultParagraphFont"/>
    <w:link w:val="Heading4"/>
    <w:rsid w:val="004745F6"/>
    <w:rPr>
      <w:rFonts w:ascii="Arial" w:eastAsia="SimSun" w:hAnsi="Arial" w:cs="Times New Roman"/>
      <w:kern w:val="0"/>
      <w:sz w:val="24"/>
      <w:szCs w:val="18"/>
      <w:lang w:val="sv-SE"/>
    </w:rPr>
  </w:style>
  <w:style w:type="character" w:customStyle="1" w:styleId="Heading5Char">
    <w:name w:val="Heading 5 Char"/>
    <w:basedOn w:val="DefaultParagraphFont"/>
    <w:link w:val="Heading5"/>
    <w:rsid w:val="004745F6"/>
    <w:rPr>
      <w:rFonts w:ascii="Arial" w:eastAsia="SimSun" w:hAnsi="Arial" w:cs="Times New Roman"/>
      <w:kern w:val="0"/>
      <w:sz w:val="22"/>
      <w:szCs w:val="18"/>
      <w:lang w:val="sv-SE"/>
    </w:rPr>
  </w:style>
  <w:style w:type="character" w:customStyle="1" w:styleId="Heading6Char">
    <w:name w:val="Heading 6 Char"/>
    <w:basedOn w:val="DefaultParagraphFont"/>
    <w:link w:val="Heading6"/>
    <w:rsid w:val="004745F6"/>
    <w:rPr>
      <w:rFonts w:ascii="Arial" w:eastAsia="SimSun" w:hAnsi="Arial" w:cs="Times New Roman"/>
      <w:kern w:val="0"/>
      <w:sz w:val="20"/>
      <w:szCs w:val="18"/>
      <w:lang w:val="sv-SE"/>
    </w:rPr>
  </w:style>
  <w:style w:type="character" w:customStyle="1" w:styleId="Heading7Char">
    <w:name w:val="Heading 7 Char"/>
    <w:basedOn w:val="DefaultParagraphFont"/>
    <w:link w:val="Heading7"/>
    <w:rsid w:val="004745F6"/>
    <w:rPr>
      <w:rFonts w:ascii="Arial" w:eastAsia="SimSun" w:hAnsi="Arial" w:cs="Times New Roman"/>
      <w:kern w:val="0"/>
      <w:sz w:val="20"/>
      <w:szCs w:val="18"/>
      <w:lang w:val="sv-SE"/>
    </w:rPr>
  </w:style>
  <w:style w:type="character" w:customStyle="1" w:styleId="Heading8Char">
    <w:name w:val="Heading 8 Char"/>
    <w:basedOn w:val="DefaultParagraphFont"/>
    <w:link w:val="Heading8"/>
    <w:rsid w:val="004745F6"/>
    <w:rPr>
      <w:rFonts w:ascii="Arial" w:eastAsia="SimSun" w:hAnsi="Arial" w:cs="Times New Roman"/>
      <w:kern w:val="0"/>
      <w:sz w:val="36"/>
      <w:szCs w:val="20"/>
      <w:lang w:val="sv-SE" w:eastAsia="en-US"/>
    </w:rPr>
  </w:style>
  <w:style w:type="character" w:customStyle="1" w:styleId="Heading9Char">
    <w:name w:val="Heading 9 Char"/>
    <w:basedOn w:val="DefaultParagraphFont"/>
    <w:link w:val="Heading9"/>
    <w:rsid w:val="004745F6"/>
    <w:rPr>
      <w:rFonts w:ascii="Arial" w:eastAsia="SimSun" w:hAnsi="Arial" w:cs="Times New Roman"/>
      <w:kern w:val="0"/>
      <w:sz w:val="36"/>
      <w:szCs w:val="20"/>
      <w:lang w:val="sv-SE"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목록 단락,Bullet list,목록단락"/>
    <w:basedOn w:val="Normal"/>
    <w:link w:val="ListParagraphChar"/>
    <w:uiPriority w:val="34"/>
    <w:qFormat/>
    <w:rsid w:val="004745F6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 단락 Char"/>
    <w:link w:val="ListParagraph"/>
    <w:uiPriority w:val="34"/>
    <w:qFormat/>
    <w:locked/>
    <w:rsid w:val="004745F6"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table" w:styleId="TableGrid">
    <w:name w:val="Table Grid"/>
    <w:basedOn w:val="TableNormal"/>
    <w:uiPriority w:val="39"/>
    <w:qFormat/>
    <w:rsid w:val="004555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Yu Mincho" w:hAnsi="Times New Roman" w:cs="Times New Roman"/>
      <w:kern w:val="0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33B52"/>
    <w:rPr>
      <w:rFonts w:ascii="Times New Roman" w:eastAsia="SimSun" w:hAnsi="Times New Roman" w:cs="Times New Roman"/>
      <w:kern w:val="0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33B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33B52"/>
    <w:rPr>
      <w:rFonts w:ascii="Times New Roman" w:eastAsia="SimSun" w:hAnsi="Times New Roman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718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D37184"/>
  </w:style>
  <w:style w:type="character" w:customStyle="1" w:styleId="CommentTextChar">
    <w:name w:val="Comment Text Char"/>
    <w:basedOn w:val="DefaultParagraphFont"/>
    <w:link w:val="CommentText"/>
    <w:uiPriority w:val="99"/>
    <w:rsid w:val="00D37184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184"/>
    <w:rPr>
      <w:rFonts w:ascii="Times New Roman" w:eastAsia="SimSun" w:hAnsi="Times New Roman" w:cs="Times New Roman"/>
      <w:b/>
      <w:bCs/>
      <w:kern w:val="0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184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84"/>
    <w:rPr>
      <w:rFonts w:ascii="Times New Roman" w:eastAsia="SimSun" w:hAnsi="Times New Roman" w:cs="Times New Roman"/>
      <w:kern w:val="0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8A14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14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7AE8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customStyle="1" w:styleId="B1">
    <w:name w:val="B1"/>
    <w:basedOn w:val="List"/>
    <w:link w:val="B1Char"/>
    <w:qFormat/>
    <w:rsid w:val="007C65D5"/>
    <w:pPr>
      <w:ind w:left="568" w:hanging="284"/>
      <w:contextualSpacing w:val="0"/>
    </w:pPr>
  </w:style>
  <w:style w:type="character" w:customStyle="1" w:styleId="B1Char">
    <w:name w:val="B1 Char"/>
    <w:link w:val="B1"/>
    <w:qFormat/>
    <w:rsid w:val="007C65D5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7C65D5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BAD9B-0D73-4AF1-87D5-D2C248F9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- Xutao</dc:creator>
  <cp:keywords/>
  <dc:description/>
  <cp:lastModifiedBy>Li, Hua</cp:lastModifiedBy>
  <cp:revision>19</cp:revision>
  <dcterms:created xsi:type="dcterms:W3CDTF">2022-10-13T12:47:00Z</dcterms:created>
  <dcterms:modified xsi:type="dcterms:W3CDTF">2022-10-14T02:03:00Z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2015_ms_pID_725343">
    <vt:lpwstr>(2)T38L7BJBjX/+k3d8oWag6JicaShgMWE4wMurX9iopi7qthKFtbmnL5yF9Nmj/ZeIo3aXMKvE
xuurmSbj+xAqyx+rzGgeNXGbdfzKbGnm8AzAoqvQvnFvaxLxJyObilfa4H+AYadWv/tHU+Uj
XHKcI7Sa6nMFvQXefZkNMukC73uTRX3GLMtSdL/TJkF/B2yuNAbjdYZVbWue203oKYO1l6ui
a+8mQhLpZb4WQ4CYOu</vt:lpwstr>
  </property>
  <property fmtid="{D5CDD505-2E9C-101B-9397-08002B2CF9AE}" pid="4" name="_2015_ms_pID_7253431">
    <vt:lpwstr>HiGyekOGvsMrT/okk53jOTDSyOO3UGJmma6ox2UgM2PT/YlrKuSCIM
NTrQ+q5KbrIdgP/kilabGGJWIrxnTQMoNGu7uxMv734qcc/0U0TQaYFb9yZtdHlKmE1DGvZA
zDW3IaT1Ft0REQm4nIc6qAHMMamNnXSCdQ7Lm946F4WKbO0rT/E5rqYuJ96SbN9jy1QXgoN0
vkP+nyBy+/2RCeSj</vt:lpwstr>
  </property>
</Properties>
</file>