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5831442B"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384CDA">
        <w:rPr>
          <w:b/>
          <w:noProof/>
          <w:sz w:val="24"/>
        </w:rPr>
        <w:t>4</w:t>
      </w:r>
      <w:r w:rsidR="00195042">
        <w:rPr>
          <w:b/>
          <w:noProof/>
          <w:sz w:val="24"/>
        </w:rPr>
        <w:t>bis</w:t>
      </w:r>
      <w:r w:rsidR="00546D44">
        <w:rPr>
          <w:b/>
          <w:noProof/>
          <w:sz w:val="24"/>
        </w:rPr>
        <w:t>-</w:t>
      </w:r>
      <w:r w:rsidRPr="003A71A1">
        <w:rPr>
          <w:b/>
          <w:noProof/>
          <w:sz w:val="24"/>
        </w:rPr>
        <w:t xml:space="preserve">e </w:t>
      </w:r>
      <w:r w:rsidR="00B66DD7">
        <w:rPr>
          <w:b/>
          <w:i/>
          <w:noProof/>
          <w:sz w:val="28"/>
        </w:rPr>
        <w:tab/>
      </w:r>
      <w:r w:rsidR="00E10121" w:rsidRPr="00E10121">
        <w:rPr>
          <w:b/>
          <w:i/>
          <w:noProof/>
          <w:sz w:val="28"/>
        </w:rPr>
        <w:t>R4-2216424</w:t>
      </w:r>
    </w:p>
    <w:p w14:paraId="3E512B0B" w14:textId="283027F3"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195042">
        <w:rPr>
          <w:rFonts w:ascii="Arial" w:hAnsi="Arial" w:cs="Arial"/>
          <w:b/>
          <w:sz w:val="24"/>
          <w:szCs w:val="24"/>
        </w:rPr>
        <w:t>October</w:t>
      </w:r>
      <w:r w:rsidRPr="00D544DE">
        <w:rPr>
          <w:rFonts w:ascii="Arial" w:hAnsi="Arial" w:cs="Arial"/>
          <w:b/>
          <w:sz w:val="24"/>
          <w:szCs w:val="24"/>
        </w:rPr>
        <w:t xml:space="preserve"> </w:t>
      </w:r>
      <w:r w:rsidR="00195042">
        <w:rPr>
          <w:rFonts w:ascii="Arial" w:hAnsi="Arial" w:cs="Arial"/>
          <w:b/>
          <w:sz w:val="24"/>
          <w:szCs w:val="24"/>
        </w:rPr>
        <w:t>10</w:t>
      </w:r>
      <w:r w:rsidR="006A6F17">
        <w:rPr>
          <w:rFonts w:ascii="Arial" w:hAnsi="Arial" w:cs="Arial"/>
          <w:b/>
          <w:sz w:val="24"/>
          <w:szCs w:val="24"/>
        </w:rPr>
        <w:t>-</w:t>
      </w:r>
      <w:r w:rsidR="00195042">
        <w:rPr>
          <w:rFonts w:ascii="Arial" w:hAnsi="Arial" w:cs="Arial"/>
          <w:b/>
          <w:sz w:val="24"/>
          <w:szCs w:val="24"/>
        </w:rPr>
        <w:t>19</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1637170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02083C" w:rsidRPr="0002083C">
        <w:rPr>
          <w:rFonts w:ascii="Arial" w:hAnsi="Arial" w:cs="Arial"/>
          <w:bCs/>
          <w:lang w:val="en-US"/>
        </w:rPr>
        <w:t>RRM impact</w:t>
      </w:r>
      <w:r w:rsidR="000455F6" w:rsidRPr="000455F6">
        <w:rPr>
          <w:rFonts w:ascii="Arial" w:hAnsi="Arial" w:cs="Arial"/>
          <w:bCs/>
          <w:lang w:val="en-US"/>
        </w:rPr>
        <w:t xml:space="preserve"> </w:t>
      </w:r>
    </w:p>
    <w:p w14:paraId="710B5126" w14:textId="207F82D3"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176215" w:rsidRPr="00176215">
        <w:rPr>
          <w:rFonts w:ascii="Arial" w:hAnsi="Arial" w:cs="Arial"/>
          <w:bCs/>
          <w:lang w:val="en-US"/>
        </w:rPr>
        <w:t>6.19.3</w:t>
      </w:r>
    </w:p>
    <w:p w14:paraId="5A3522FA" w14:textId="2AC63A4B"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345AFC">
        <w:rPr>
          <w:rFonts w:ascii="Arial" w:hAnsi="Arial" w:cs="Arial"/>
          <w:bCs/>
          <w:lang w:val="en-US"/>
        </w:rPr>
        <w:t>D</w:t>
      </w:r>
      <w:r w:rsidRPr="006C1584">
        <w:rPr>
          <w:rFonts w:ascii="Arial" w:hAnsi="Arial" w:cs="Arial"/>
          <w:bCs/>
          <w:lang w:val="en-US"/>
        </w:rPr>
        <w:t>iscussion</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F630424" w:rsidR="00B93FB3" w:rsidRDefault="0002083C" w:rsidP="00B93FB3">
      <w:pPr>
        <w:rPr>
          <w:lang w:val="en-US"/>
        </w:rPr>
      </w:pPr>
      <w:r>
        <w:rPr>
          <w:lang w:val="en-US"/>
        </w:rPr>
        <w:t>In WID [1] we have the following tasks for RAN4:</w:t>
      </w:r>
    </w:p>
    <w:tbl>
      <w:tblPr>
        <w:tblStyle w:val="TableGrid"/>
        <w:tblW w:w="0" w:type="auto"/>
        <w:tblLook w:val="04A0" w:firstRow="1" w:lastRow="0" w:firstColumn="1" w:lastColumn="0" w:noHBand="0" w:noVBand="1"/>
      </w:tblPr>
      <w:tblGrid>
        <w:gridCol w:w="9631"/>
      </w:tblGrid>
      <w:tr w:rsidR="0002083C" w14:paraId="624DE27C" w14:textId="77777777" w:rsidTr="0002083C">
        <w:tc>
          <w:tcPr>
            <w:tcW w:w="9631" w:type="dxa"/>
          </w:tcPr>
          <w:p w14:paraId="0DB40422" w14:textId="77777777" w:rsidR="008830ED" w:rsidRDefault="0002083C" w:rsidP="008830ED">
            <w:pPr>
              <w:rPr>
                <w:lang w:eastAsia="ja-JP"/>
              </w:rPr>
            </w:pPr>
            <w:r>
              <w:rPr>
                <w:lang w:val="en-US"/>
              </w:rPr>
              <w:t>...</w:t>
            </w:r>
            <w:r>
              <w:rPr>
                <w:lang w:val="en-US"/>
              </w:rPr>
              <w:br/>
            </w:r>
            <w:r w:rsidR="008830ED" w:rsidRPr="00DF4F0D">
              <w:rPr>
                <w:lang w:eastAsia="ja-JP"/>
              </w:rPr>
              <w:t>Study and if necessary specify following enhancements for multi-carrier UL operation</w:t>
            </w:r>
            <w:r w:rsidR="008830ED">
              <w:rPr>
                <w:lang w:eastAsia="ja-JP"/>
              </w:rPr>
              <w:t xml:space="preserve"> [RAN1, RAN2, RAN4]</w:t>
            </w:r>
          </w:p>
          <w:p w14:paraId="4E0F4658" w14:textId="77777777" w:rsidR="008830ED" w:rsidRDefault="008830ED" w:rsidP="008830ED">
            <w:pPr>
              <w:numPr>
                <w:ilvl w:val="0"/>
                <w:numId w:val="6"/>
              </w:numPr>
              <w:overflowPunct w:val="0"/>
              <w:autoSpaceDE w:val="0"/>
              <w:autoSpaceDN w:val="0"/>
              <w:adjustRightInd w:val="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3B0A8E70" w14:textId="77777777" w:rsidR="008830ED" w:rsidRDefault="008830ED" w:rsidP="008830ED">
            <w:pPr>
              <w:numPr>
                <w:ilvl w:val="1"/>
                <w:numId w:val="6"/>
              </w:numPr>
              <w:overflowPunct w:val="0"/>
              <w:autoSpaceDE w:val="0"/>
              <w:autoSpaceDN w:val="0"/>
              <w:adjustRightInd w:val="0"/>
              <w:textAlignment w:val="baseline"/>
            </w:pPr>
            <w:r>
              <w:rPr>
                <w:rFonts w:hint="eastAsia"/>
                <w:lang w:eastAsia="ja-JP"/>
              </w:rPr>
              <w:t>U</w:t>
            </w:r>
            <w:r>
              <w:rPr>
                <w:lang w:eastAsia="ja-JP"/>
              </w:rPr>
              <w:t>E capability and RRC configuration related signalling (RAN2)</w:t>
            </w:r>
          </w:p>
          <w:p w14:paraId="1F072AD1" w14:textId="77777777" w:rsidR="008830ED" w:rsidRDefault="008830ED" w:rsidP="008830ED">
            <w:pPr>
              <w:numPr>
                <w:ilvl w:val="1"/>
                <w:numId w:val="6"/>
              </w:numPr>
              <w:overflowPunct w:val="0"/>
              <w:autoSpaceDE w:val="0"/>
              <w:autoSpaceDN w:val="0"/>
              <w:adjustRightIn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71025C61" w14:textId="77777777" w:rsidR="008830ED" w:rsidRDefault="008830ED" w:rsidP="008830ED">
            <w:pPr>
              <w:numPr>
                <w:ilvl w:val="1"/>
                <w:numId w:val="6"/>
              </w:numPr>
              <w:overflowPunct w:val="0"/>
              <w:autoSpaceDE w:val="0"/>
              <w:autoSpaceDN w:val="0"/>
              <w:adjustRightInd w:val="0"/>
              <w:textAlignment w:val="baseline"/>
            </w:pPr>
            <w:r>
              <w:rPr>
                <w:rFonts w:hint="eastAsia"/>
                <w:lang w:eastAsia="ja-JP"/>
              </w:rPr>
              <w:t>N</w:t>
            </w:r>
            <w:r>
              <w:rPr>
                <w:lang w:eastAsia="ja-JP"/>
              </w:rPr>
              <w:t>ote: no additional TAG is introduced for UL transmission on a carrier without corresponding DL carrier</w:t>
            </w:r>
          </w:p>
          <w:p w14:paraId="029EE7E2" w14:textId="77777777" w:rsidR="008830ED" w:rsidRDefault="008830ED" w:rsidP="008830ED">
            <w:pPr>
              <w:numPr>
                <w:ilvl w:val="1"/>
                <w:numId w:val="6"/>
              </w:numPr>
              <w:overflowPunct w:val="0"/>
              <w:autoSpaceDE w:val="0"/>
              <w:autoSpaceDN w:val="0"/>
              <w:adjustRightInd w:val="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25327948" w14:textId="77777777" w:rsidR="008830ED" w:rsidRPr="00DF4F0D" w:rsidRDefault="008830ED" w:rsidP="008830ED">
            <w:pPr>
              <w:numPr>
                <w:ilvl w:val="1"/>
                <w:numId w:val="6"/>
              </w:numPr>
              <w:overflowPunct w:val="0"/>
              <w:autoSpaceDE w:val="0"/>
              <w:autoSpaceDN w:val="0"/>
              <w:adjustRightInd w:val="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1C639122" w14:textId="77777777" w:rsidR="008830ED" w:rsidRDefault="008830ED" w:rsidP="008830ED">
            <w:pPr>
              <w:numPr>
                <w:ilvl w:val="0"/>
                <w:numId w:val="6"/>
              </w:numPr>
              <w:overflowPunct w:val="0"/>
              <w:autoSpaceDE w:val="0"/>
              <w:autoSpaceDN w:val="0"/>
              <w:adjustRightIn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2C384E4" w14:textId="77777777" w:rsidR="008830ED" w:rsidRPr="00DF4F0D" w:rsidRDefault="008830ED" w:rsidP="008830ED">
            <w:pPr>
              <w:numPr>
                <w:ilvl w:val="1"/>
                <w:numId w:val="6"/>
              </w:numPr>
              <w:overflowPunct w:val="0"/>
              <w:autoSpaceDE w:val="0"/>
              <w:autoSpaceDN w:val="0"/>
              <w:adjustRightInd w:val="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p w14:paraId="5862D338" w14:textId="3E30C4C7" w:rsidR="0002083C" w:rsidRDefault="0002083C" w:rsidP="00B93FB3">
            <w:pPr>
              <w:rPr>
                <w:lang w:val="en-US"/>
              </w:rPr>
            </w:pPr>
            <w:r>
              <w:rPr>
                <w:lang w:val="en-US"/>
              </w:rPr>
              <w:t>...</w:t>
            </w:r>
          </w:p>
        </w:tc>
      </w:tr>
    </w:tbl>
    <w:p w14:paraId="04A29ACB" w14:textId="306D41C6" w:rsidR="0002083C" w:rsidRDefault="0002083C" w:rsidP="00B93FB3">
      <w:pPr>
        <w:rPr>
          <w:lang w:val="en-US"/>
        </w:rPr>
      </w:pPr>
    </w:p>
    <w:p w14:paraId="6A81252A" w14:textId="67F3B746" w:rsidR="00CE1305" w:rsidRDefault="00CE1305" w:rsidP="00CE1305">
      <w:pPr>
        <w:pStyle w:val="Heading1"/>
        <w:rPr>
          <w:lang w:val="en-US"/>
        </w:rPr>
      </w:pPr>
      <w:r>
        <w:rPr>
          <w:lang w:val="en-US"/>
        </w:rPr>
        <w:t>2</w:t>
      </w:r>
      <w:r>
        <w:rPr>
          <w:lang w:val="en-US"/>
        </w:rPr>
        <w:tab/>
        <w:t>Discussion</w:t>
      </w:r>
    </w:p>
    <w:p w14:paraId="18F52A1F" w14:textId="00B26863" w:rsidR="00552D08" w:rsidRDefault="00552D08" w:rsidP="00552D08">
      <w:pPr>
        <w:snapToGrid w:val="0"/>
        <w:spacing w:before="60" w:after="60"/>
        <w:rPr>
          <w:rFonts w:eastAsia="DengXian"/>
          <w:lang w:val="en-US" w:eastAsia="zh-CN"/>
        </w:rPr>
      </w:pPr>
      <w:r>
        <w:rPr>
          <w:rFonts w:eastAsia="DengXian"/>
          <w:lang w:val="en-US" w:eastAsia="zh-CN"/>
        </w:rPr>
        <w:t>In Rel-16 the introduction of TX switching between two UL carriers were confined to changes related to DL interruptions</w:t>
      </w:r>
      <w:r w:rsidR="00032267">
        <w:rPr>
          <w:rFonts w:eastAsia="DengXian"/>
          <w:lang w:val="en-US" w:eastAsia="zh-CN"/>
        </w:rPr>
        <w:t xml:space="preserve"> in TS 38.133</w:t>
      </w:r>
      <w:r>
        <w:rPr>
          <w:rFonts w:eastAsia="DengXian"/>
          <w:lang w:val="en-US" w:eastAsia="zh-CN"/>
        </w:rPr>
        <w:t>. This is evident from CRs introducing this feature in Rel-16 [2,3].</w:t>
      </w:r>
    </w:p>
    <w:p w14:paraId="266F3E3C" w14:textId="7F0CB54F" w:rsidR="00552D08" w:rsidRDefault="00552D08" w:rsidP="00552D08">
      <w:pPr>
        <w:snapToGrid w:val="0"/>
        <w:spacing w:before="60" w:after="60"/>
        <w:rPr>
          <w:rFonts w:eastAsia="DengXian"/>
          <w:lang w:val="en-US" w:eastAsia="zh-CN"/>
        </w:rPr>
      </w:pPr>
      <w:r w:rsidRPr="005E39E7">
        <w:rPr>
          <w:rFonts w:eastAsia="DengXian"/>
          <w:b/>
          <w:bCs/>
          <w:lang w:val="en-US" w:eastAsia="zh-CN"/>
        </w:rPr>
        <w:t xml:space="preserve">Observation </w:t>
      </w:r>
      <w:r>
        <w:rPr>
          <w:rFonts w:eastAsia="DengXian"/>
          <w:b/>
          <w:bCs/>
          <w:lang w:val="en-US" w:eastAsia="zh-CN"/>
        </w:rPr>
        <w:t>1</w:t>
      </w:r>
      <w:r w:rsidRPr="005E39E7">
        <w:rPr>
          <w:rFonts w:eastAsia="DengXian"/>
          <w:b/>
          <w:bCs/>
          <w:lang w:val="en-US" w:eastAsia="zh-CN"/>
        </w:rPr>
        <w:t xml:space="preserve">: </w:t>
      </w:r>
      <w:r w:rsidR="00032267" w:rsidRPr="00032267">
        <w:rPr>
          <w:rFonts w:eastAsia="DengXian"/>
          <w:b/>
          <w:bCs/>
          <w:lang w:val="en-US" w:eastAsia="zh-CN"/>
        </w:rPr>
        <w:t>In Rel-16 the introduction of TX switching between two UL carriers were confined to changes related to DL interruptions in TS 38.133</w:t>
      </w:r>
      <w:r w:rsidR="00032267">
        <w:rPr>
          <w:rFonts w:eastAsia="DengXian"/>
          <w:b/>
          <w:bCs/>
          <w:lang w:val="en-US" w:eastAsia="zh-CN"/>
        </w:rPr>
        <w:t>.</w:t>
      </w:r>
    </w:p>
    <w:p w14:paraId="10EA4247" w14:textId="4B727334" w:rsidR="00EF4D36" w:rsidRDefault="00A019D1" w:rsidP="00552D08">
      <w:pPr>
        <w:snapToGrid w:val="0"/>
        <w:spacing w:before="60" w:after="60"/>
        <w:rPr>
          <w:lang w:val="en-US"/>
        </w:rPr>
      </w:pPr>
      <w:r>
        <w:rPr>
          <w:lang w:val="en-US"/>
        </w:rPr>
        <w:t>In</w:t>
      </w:r>
      <w:r w:rsidR="00EF4D36">
        <w:rPr>
          <w:lang w:val="en-US"/>
        </w:rPr>
        <w:t xml:space="preserve"> previous RAN4#104 meeting</w:t>
      </w:r>
      <w:r>
        <w:rPr>
          <w:lang w:val="en-US"/>
        </w:rPr>
        <w:t xml:space="preserve"> [</w:t>
      </w:r>
      <w:r w:rsidR="00552D08">
        <w:rPr>
          <w:lang w:val="en-US"/>
        </w:rPr>
        <w:t>4</w:t>
      </w:r>
      <w:r>
        <w:rPr>
          <w:lang w:val="en-US"/>
        </w:rPr>
        <w:t xml:space="preserve">] </w:t>
      </w:r>
      <w:r w:rsidR="00BE7F49">
        <w:rPr>
          <w:lang w:val="en-US"/>
        </w:rPr>
        <w:t>and in earlier RAN4 contributions [</w:t>
      </w:r>
      <w:r w:rsidR="00552D08">
        <w:rPr>
          <w:lang w:val="en-US"/>
        </w:rPr>
        <w:t>5</w:t>
      </w:r>
      <w:r w:rsidR="00BE7F49">
        <w:rPr>
          <w:lang w:val="en-US"/>
        </w:rPr>
        <w:t>]</w:t>
      </w:r>
      <w:r w:rsidR="00EF4D36">
        <w:rPr>
          <w:lang w:val="en-US"/>
        </w:rPr>
        <w:t>,</w:t>
      </w:r>
      <w:r w:rsidR="00BE7F49">
        <w:rPr>
          <w:lang w:val="en-US"/>
        </w:rPr>
        <w:t xml:space="preserve"> </w:t>
      </w:r>
      <w:r>
        <w:rPr>
          <w:lang w:val="en-US"/>
        </w:rPr>
        <w:t>a</w:t>
      </w:r>
      <w:r w:rsidR="00BE7F49">
        <w:rPr>
          <w:lang w:val="en-US"/>
        </w:rPr>
        <w:t xml:space="preserve">n </w:t>
      </w:r>
      <w:r>
        <w:rPr>
          <w:lang w:val="en-US"/>
        </w:rPr>
        <w:t xml:space="preserve">analysis is done regarding impact due to </w:t>
      </w:r>
      <w:r w:rsidRPr="00A019D1">
        <w:rPr>
          <w:lang w:val="en-US"/>
        </w:rPr>
        <w:t>multiple TAGs configurations with restriction of up to 2 Tx simultaneous transmission</w:t>
      </w:r>
      <w:r w:rsidR="00DC5558">
        <w:rPr>
          <w:lang w:val="en-US"/>
        </w:rPr>
        <w:t>. In [</w:t>
      </w:r>
      <w:r w:rsidR="00EF4D36">
        <w:rPr>
          <w:lang w:val="en-US"/>
        </w:rPr>
        <w:t>5</w:t>
      </w:r>
      <w:r w:rsidR="00DC5558">
        <w:rPr>
          <w:lang w:val="en-US"/>
        </w:rPr>
        <w:t xml:space="preserve">], it is concluded, </w:t>
      </w:r>
      <w:r w:rsidR="00EF4D36">
        <w:rPr>
          <w:lang w:val="en-US"/>
        </w:rPr>
        <w:t>regarding Rel-17 Tx switching between tw</w:t>
      </w:r>
      <w:r w:rsidR="001C1D70">
        <w:rPr>
          <w:lang w:val="en-US"/>
        </w:rPr>
        <w:t>p</w:t>
      </w:r>
      <w:r w:rsidR="00EF4D36">
        <w:rPr>
          <w:lang w:val="en-US"/>
        </w:rPr>
        <w:t xml:space="preserve"> uplink carriers, </w:t>
      </w:r>
      <w:r w:rsidR="00DC5558">
        <w:rPr>
          <w:lang w:val="en-US"/>
        </w:rPr>
        <w:t>regarding TS 38.133 RRM specification that</w:t>
      </w:r>
      <w:r w:rsidR="00EF4D36">
        <w:rPr>
          <w:lang w:val="en-US"/>
        </w:rPr>
        <w:t xml:space="preserve"> </w:t>
      </w:r>
      <w:r w:rsidR="00DC5558">
        <w:rPr>
          <w:lang w:val="en-US"/>
        </w:rPr>
        <w:t>when</w:t>
      </w:r>
      <w:r w:rsidR="00EF4D36">
        <w:rPr>
          <w:lang w:val="en-US"/>
        </w:rPr>
        <w:t>:</w:t>
      </w:r>
      <w:r w:rsidR="00DC5558">
        <w:rPr>
          <w:lang w:val="en-US"/>
        </w:rPr>
        <w:t xml:space="preserve"> </w:t>
      </w:r>
    </w:p>
    <w:p w14:paraId="52C03150" w14:textId="6AAD2ED3" w:rsidR="005A7ED2" w:rsidRPr="00EF4D36" w:rsidRDefault="00DC5558" w:rsidP="00EF4D36">
      <w:pPr>
        <w:snapToGrid w:val="0"/>
        <w:spacing w:before="60" w:after="60"/>
        <w:ind w:left="284"/>
        <w:rPr>
          <w:rFonts w:eastAsia="DengXian"/>
          <w:sz w:val="18"/>
          <w:szCs w:val="18"/>
          <w:lang w:val="en-US" w:eastAsia="zh-CN"/>
        </w:rPr>
      </w:pPr>
      <w:r w:rsidRPr="00EF4D36">
        <w:rPr>
          <w:rFonts w:eastAsia="DengXian"/>
          <w:sz w:val="18"/>
          <w:szCs w:val="18"/>
          <w:lang w:val="en-US" w:eastAsia="zh-CN"/>
        </w:rPr>
        <w:t>t</w:t>
      </w:r>
      <w:r w:rsidR="005A7ED2" w:rsidRPr="00EF4D36">
        <w:rPr>
          <w:rFonts w:eastAsia="DengXian"/>
          <w:sz w:val="18"/>
          <w:szCs w:val="18"/>
          <w:lang w:val="en-US" w:eastAsia="zh-CN"/>
        </w:rPr>
        <w:t xml:space="preserve">urning to DL interruptions, the capability </w:t>
      </w:r>
      <w:r w:rsidR="005A7ED2" w:rsidRPr="00EF4D36">
        <w:rPr>
          <w:rFonts w:cs="Arial"/>
          <w:i/>
          <w:sz w:val="18"/>
          <w:szCs w:val="18"/>
        </w:rPr>
        <w:t>uplinkTxSwitching-DL-Interruption-r16</w:t>
      </w:r>
      <w:r w:rsidR="005A7ED2" w:rsidRPr="00EF4D36">
        <w:rPr>
          <w:rFonts w:cs="Arial"/>
          <w:sz w:val="18"/>
          <w:szCs w:val="18"/>
        </w:rPr>
        <w:t xml:space="preserve"> is not affected since the length of the switching period indicated is not changed in the multiple TAG case. Quoting from 38.133, “</w:t>
      </w:r>
      <w:r w:rsidR="005A7ED2" w:rsidRPr="00EF4D36">
        <w:rPr>
          <w:rFonts w:eastAsia="MS Mincho"/>
          <w:sz w:val="18"/>
          <w:szCs w:val="18"/>
          <w:lang w:eastAsia="zh-CN"/>
        </w:rPr>
        <w:t>the DL interruption starts from the first OFDM symbol which fully or partially overlap</w:t>
      </w:r>
      <w:r w:rsidR="005A7ED2" w:rsidRPr="00EF4D36">
        <w:rPr>
          <w:rFonts w:hint="eastAsia"/>
          <w:sz w:val="18"/>
          <w:szCs w:val="18"/>
          <w:lang w:eastAsia="zh-CN"/>
        </w:rPr>
        <w:t>s</w:t>
      </w:r>
      <w:r w:rsidR="005A7ED2" w:rsidRPr="00EF4D36">
        <w:rPr>
          <w:rFonts w:eastAsia="MS Mincho"/>
          <w:sz w:val="18"/>
          <w:szCs w:val="18"/>
          <w:lang w:eastAsia="zh-CN"/>
        </w:rPr>
        <w:t xml:space="preserve"> with the UL switching period located in NR carrier.</w:t>
      </w:r>
      <w:r w:rsidR="005A7ED2" w:rsidRPr="00EF4D36">
        <w:rPr>
          <w:rFonts w:cs="v4.2.0"/>
          <w:sz w:val="18"/>
          <w:szCs w:val="18"/>
        </w:rPr>
        <w:t xml:space="preserve"> The DL interruption lengths of X for NR carrier(s) are defined in […]”, f</w:t>
      </w:r>
      <w:r w:rsidR="005A7ED2" w:rsidRPr="00EF4D36">
        <w:rPr>
          <w:rFonts w:eastAsia="DengXian"/>
          <w:sz w:val="18"/>
          <w:szCs w:val="18"/>
          <w:lang w:val="en-US" w:eastAsia="zh-CN"/>
        </w:rPr>
        <w:t>rom 38.133,</w:t>
      </w:r>
    </w:p>
    <w:p w14:paraId="0179CFA2" w14:textId="77777777" w:rsidR="004651C0" w:rsidRPr="00AF4E00" w:rsidRDefault="004651C0" w:rsidP="004651C0">
      <w:pPr>
        <w:pStyle w:val="Heading5"/>
        <w:ind w:left="2269"/>
        <w:rPr>
          <w:sz w:val="18"/>
          <w:szCs w:val="18"/>
        </w:rPr>
      </w:pPr>
      <w:r w:rsidRPr="00AF4E00">
        <w:rPr>
          <w:sz w:val="18"/>
          <w:szCs w:val="18"/>
        </w:rPr>
        <w:lastRenderedPageBreak/>
        <w:t>8.2.2.2.10</w:t>
      </w:r>
      <w:r w:rsidRPr="00AF4E00">
        <w:rPr>
          <w:sz w:val="18"/>
          <w:szCs w:val="18"/>
        </w:rPr>
        <w:tab/>
        <w:t>DL Interruptions at UE switching between two uplink carriers</w:t>
      </w:r>
    </w:p>
    <w:p w14:paraId="391F2B3B" w14:textId="77777777" w:rsidR="004651C0" w:rsidRPr="00AF4E00" w:rsidRDefault="004651C0" w:rsidP="004651C0">
      <w:pPr>
        <w:ind w:left="568"/>
        <w:rPr>
          <w:rFonts w:eastAsia="SimSun"/>
          <w:sz w:val="18"/>
          <w:szCs w:val="18"/>
        </w:rPr>
      </w:pPr>
      <w:r w:rsidRPr="00AF4E00">
        <w:rPr>
          <w:rFonts w:eastAsia="MS Mincho"/>
          <w:sz w:val="18"/>
          <w:szCs w:val="18"/>
          <w:lang w:eastAsia="zh-CN"/>
        </w:rPr>
        <w:t xml:space="preserve">The DL interruption requirements at dynamic switching between two uplink carreirs specified in this clause are applicable for </w:t>
      </w:r>
      <w:r w:rsidRPr="00AF4E00">
        <w:rPr>
          <w:rFonts w:eastAsia="SimSun"/>
          <w:sz w:val="18"/>
          <w:szCs w:val="18"/>
        </w:rPr>
        <w:t xml:space="preserve">an uplink band pair of an inter-band UL CA configuration in FR1 when the capability </w:t>
      </w:r>
      <w:r w:rsidRPr="00AF4E00">
        <w:rPr>
          <w:rFonts w:eastAsia="SimSun"/>
          <w:i/>
          <w:sz w:val="18"/>
          <w:szCs w:val="18"/>
        </w:rPr>
        <w:t>uplinkTxSwitchingPeriod</w:t>
      </w:r>
      <w:r w:rsidRPr="00AF4E00">
        <w:rPr>
          <w:rFonts w:eastAsia="SimSun"/>
          <w:sz w:val="18"/>
          <w:szCs w:val="18"/>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F4E00">
        <w:rPr>
          <w:rFonts w:eastAsia="SimSun"/>
          <w:sz w:val="18"/>
          <w:szCs w:val="18"/>
          <w:lang w:eastAsia="zh-CN"/>
        </w:rPr>
        <w:t xml:space="preserve"> </w:t>
      </w:r>
    </w:p>
    <w:p w14:paraId="7BCA44CE" w14:textId="77777777" w:rsidR="004651C0" w:rsidRPr="00AF4E00" w:rsidRDefault="004651C0" w:rsidP="004651C0">
      <w:pPr>
        <w:ind w:left="568"/>
        <w:rPr>
          <w:rFonts w:cs="v4.2.0"/>
          <w:sz w:val="18"/>
          <w:szCs w:val="18"/>
        </w:rPr>
      </w:pPr>
      <w:r w:rsidRPr="00AF4E00">
        <w:rPr>
          <w:rFonts w:eastAsia="MS Mincho"/>
          <w:sz w:val="18"/>
          <w:szCs w:val="18"/>
          <w:lang w:eastAsia="zh-CN"/>
        </w:rPr>
        <w:t xml:space="preserve">When dynamic </w:t>
      </w:r>
      <w:r w:rsidRPr="00AF4E00">
        <w:rPr>
          <w:sz w:val="18"/>
          <w:szCs w:val="18"/>
        </w:rPr>
        <w:t>switching between two uplink carriers is conducted,</w:t>
      </w:r>
      <w:r w:rsidRPr="00AF4E00">
        <w:rPr>
          <w:rFonts w:eastAsia="MS Mincho"/>
          <w:sz w:val="18"/>
          <w:szCs w:val="18"/>
          <w:lang w:eastAsia="zh-CN"/>
        </w:rPr>
        <w:t xml:space="preserve"> UE is allowed to cause DL interruption of X OFDM symbols in NR downlink carrier(s) </w:t>
      </w:r>
      <w:r w:rsidRPr="00AF4E00">
        <w:rPr>
          <w:rFonts w:hint="eastAsia"/>
          <w:sz w:val="18"/>
          <w:szCs w:val="18"/>
          <w:lang w:eastAsia="zh-CN"/>
        </w:rPr>
        <w:t>a</w:t>
      </w:r>
      <w:r w:rsidRPr="00AF4E00">
        <w:rPr>
          <w:sz w:val="18"/>
          <w:szCs w:val="18"/>
          <w:lang w:eastAsia="zh-CN"/>
        </w:rPr>
        <w:t xml:space="preserve">s indicated by </w:t>
      </w:r>
      <w:r w:rsidRPr="00AF4E00">
        <w:rPr>
          <w:i/>
          <w:sz w:val="18"/>
          <w:szCs w:val="18"/>
          <w:lang w:eastAsia="zh-CN"/>
        </w:rPr>
        <w:t>uplinkTxSwitching-DL-Interruption</w:t>
      </w:r>
      <w:r w:rsidRPr="00AF4E00">
        <w:rPr>
          <w:sz w:val="18"/>
          <w:szCs w:val="18"/>
          <w:lang w:eastAsia="zh-CN"/>
        </w:rPr>
        <w:t xml:space="preserve"> [2</w:t>
      </w:r>
      <w:r w:rsidRPr="00AF4E00">
        <w:rPr>
          <w:sz w:val="18"/>
          <w:szCs w:val="18"/>
          <w:highlight w:val="yellow"/>
          <w:lang w:eastAsia="zh-CN"/>
        </w:rPr>
        <w:t>]</w:t>
      </w:r>
      <w:r w:rsidRPr="00AF4E00">
        <w:rPr>
          <w:rFonts w:eastAsia="MS Mincho"/>
          <w:sz w:val="18"/>
          <w:szCs w:val="18"/>
          <w:highlight w:val="yellow"/>
          <w:lang w:eastAsia="zh-CN"/>
        </w:rPr>
        <w:t>.</w:t>
      </w:r>
      <w:r w:rsidRPr="00AF4E00">
        <w:rPr>
          <w:sz w:val="18"/>
          <w:szCs w:val="18"/>
          <w:highlight w:val="yellow"/>
        </w:rPr>
        <w:t xml:space="preserve"> </w:t>
      </w:r>
      <w:r w:rsidRPr="00AF4E00">
        <w:rPr>
          <w:rFonts w:eastAsia="MS Mincho"/>
          <w:sz w:val="18"/>
          <w:szCs w:val="18"/>
          <w:highlight w:val="yellow"/>
          <w:lang w:eastAsia="zh-CN"/>
        </w:rPr>
        <w:t>The DL interruption starts from the first OFDM symbol which fully or partially overlap</w:t>
      </w:r>
      <w:r w:rsidRPr="00AF4E00">
        <w:rPr>
          <w:rFonts w:hint="eastAsia"/>
          <w:sz w:val="18"/>
          <w:szCs w:val="18"/>
          <w:highlight w:val="yellow"/>
          <w:lang w:eastAsia="zh-CN"/>
        </w:rPr>
        <w:t>s</w:t>
      </w:r>
      <w:r w:rsidRPr="00AF4E00">
        <w:rPr>
          <w:rFonts w:eastAsia="MS Mincho"/>
          <w:sz w:val="18"/>
          <w:szCs w:val="18"/>
          <w:highlight w:val="yellow"/>
          <w:lang w:eastAsia="zh-CN"/>
        </w:rPr>
        <w:t xml:space="preserve"> with the UL switching period located in either NR carrier 1 or carrier 2 as indicated in RRC signalling [2]</w:t>
      </w:r>
      <w:r w:rsidRPr="00AF4E00">
        <w:rPr>
          <w:sz w:val="18"/>
          <w:szCs w:val="18"/>
          <w:highlight w:val="yellow"/>
          <w:lang w:eastAsia="zh-CN"/>
        </w:rPr>
        <w:t xml:space="preserve">. </w:t>
      </w:r>
      <w:r w:rsidRPr="00AF4E00">
        <w:rPr>
          <w:rFonts w:cs="v4.2.0"/>
          <w:sz w:val="18"/>
          <w:szCs w:val="18"/>
          <w:highlight w:val="yellow"/>
        </w:rPr>
        <w:t>The DL interruption lengths of X are defined in Table 8.2.2.2.10-1.</w:t>
      </w:r>
    </w:p>
    <w:p w14:paraId="19BE9E5B" w14:textId="77777777" w:rsidR="004651C0" w:rsidRPr="00AF4E00" w:rsidRDefault="004651C0" w:rsidP="004651C0">
      <w:pPr>
        <w:ind w:left="568"/>
        <w:rPr>
          <w:rFonts w:eastAsia="MS Mincho"/>
          <w:sz w:val="18"/>
          <w:szCs w:val="18"/>
          <w:lang w:eastAsia="zh-CN"/>
        </w:rPr>
      </w:pPr>
      <w:r w:rsidRPr="00AF4E00">
        <w:rPr>
          <w:rFonts w:cs="v4.2.0"/>
          <w:sz w:val="18"/>
          <w:szCs w:val="18"/>
        </w:rPr>
        <w:t xml:space="preserve">No DL interruption is allowed in the NR downlink carrier(s) which is not indicated by </w:t>
      </w:r>
      <w:r w:rsidRPr="00AF4E00">
        <w:rPr>
          <w:rFonts w:cs="v4.2.0"/>
          <w:i/>
          <w:sz w:val="18"/>
          <w:szCs w:val="18"/>
        </w:rPr>
        <w:t>uplinkTxSwitching-DL-Interruption</w:t>
      </w:r>
      <w:r w:rsidRPr="00AF4E00">
        <w:rPr>
          <w:rFonts w:cs="v4.2.0"/>
          <w:sz w:val="18"/>
          <w:szCs w:val="18"/>
        </w:rPr>
        <w:t>.</w:t>
      </w:r>
      <w:r w:rsidRPr="00AF4E00">
        <w:rPr>
          <w:rFonts w:cs="v4.2.0" w:hint="eastAsia"/>
          <w:sz w:val="18"/>
          <w:szCs w:val="18"/>
          <w:lang w:eastAsia="zh-CN"/>
        </w:rPr>
        <w:t xml:space="preserve"> No DL interruption is allowed for some </w:t>
      </w:r>
      <w:r w:rsidRPr="00AF4E00">
        <w:rPr>
          <w:sz w:val="18"/>
          <w:szCs w:val="18"/>
        </w:rPr>
        <w:t xml:space="preserve">inter-band </w:t>
      </w:r>
      <w:r w:rsidRPr="00AF4E00">
        <w:rPr>
          <w:rFonts w:cs="v4.2.0" w:hint="eastAsia"/>
          <w:sz w:val="18"/>
          <w:szCs w:val="18"/>
          <w:lang w:eastAsia="zh-CN"/>
        </w:rPr>
        <w:t>UL CA configurations as specified in</w:t>
      </w:r>
      <w:r w:rsidRPr="00AF4E00">
        <w:rPr>
          <w:sz w:val="18"/>
          <w:szCs w:val="18"/>
        </w:rPr>
        <w:t xml:space="preserve"> </w:t>
      </w:r>
      <w:r w:rsidRPr="00AF4E00">
        <w:rPr>
          <w:rFonts w:hint="eastAsia"/>
          <w:sz w:val="18"/>
          <w:szCs w:val="18"/>
          <w:lang w:eastAsia="zh-CN"/>
        </w:rPr>
        <w:t xml:space="preserve">clause </w:t>
      </w:r>
      <w:r w:rsidRPr="00AF4E00">
        <w:rPr>
          <w:sz w:val="18"/>
          <w:szCs w:val="18"/>
        </w:rPr>
        <w:t>5.2A.2</w:t>
      </w:r>
      <w:r w:rsidRPr="00AF4E00">
        <w:rPr>
          <w:rFonts w:hint="eastAsia"/>
          <w:sz w:val="18"/>
          <w:szCs w:val="18"/>
          <w:lang w:eastAsia="zh-CN"/>
        </w:rPr>
        <w:t xml:space="preserve"> of </w:t>
      </w:r>
      <w:r w:rsidRPr="00AF4E00">
        <w:rPr>
          <w:rFonts w:cs="v4.2.0"/>
          <w:sz w:val="18"/>
          <w:szCs w:val="18"/>
          <w:lang w:eastAsia="zh-CN"/>
        </w:rPr>
        <w:t>TS 38.101-1</w:t>
      </w:r>
      <w:r w:rsidRPr="00AF4E00">
        <w:rPr>
          <w:rFonts w:cs="v4.2.0" w:hint="eastAsia"/>
          <w:sz w:val="18"/>
          <w:szCs w:val="18"/>
          <w:lang w:eastAsia="zh-CN"/>
        </w:rPr>
        <w:t xml:space="preserve"> </w:t>
      </w:r>
      <w:r w:rsidRPr="00AF4E00">
        <w:rPr>
          <w:rFonts w:cs="v4.2.0"/>
          <w:sz w:val="18"/>
          <w:szCs w:val="18"/>
          <w:lang w:eastAsia="zh-CN"/>
        </w:rPr>
        <w:t>[18</w:t>
      </w:r>
      <w:r w:rsidRPr="00AF4E00">
        <w:rPr>
          <w:rFonts w:cs="v4.2.0" w:hint="eastAsia"/>
          <w:sz w:val="18"/>
          <w:szCs w:val="18"/>
          <w:lang w:eastAsia="zh-CN"/>
        </w:rPr>
        <w:t>].</w:t>
      </w:r>
    </w:p>
    <w:p w14:paraId="40CDC4ED" w14:textId="77777777" w:rsidR="004651C0" w:rsidRPr="00AF4E00" w:rsidRDefault="004651C0" w:rsidP="004651C0">
      <w:pPr>
        <w:pStyle w:val="TH"/>
        <w:ind w:left="568"/>
        <w:rPr>
          <w:sz w:val="18"/>
          <w:szCs w:val="18"/>
        </w:rPr>
      </w:pPr>
      <w:r w:rsidRPr="00AF4E00">
        <w:rPr>
          <w:sz w:val="18"/>
          <w:szCs w:val="18"/>
        </w:rP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651C0" w:rsidRPr="00AF4E00" w14:paraId="632492DF" w14:textId="77777777" w:rsidTr="004651C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0896F5" w14:textId="77777777" w:rsidR="004651C0" w:rsidRPr="00AF4E00" w:rsidRDefault="004651C0" w:rsidP="00E33D95">
            <w:pPr>
              <w:pStyle w:val="TAH"/>
              <w:rPr>
                <w:szCs w:val="18"/>
              </w:rPr>
            </w:pPr>
            <w:r w:rsidRPr="00AF4E00">
              <w:rPr>
                <w:noProof/>
                <w:szCs w:val="18"/>
                <w:lang w:val="en-US" w:eastAsia="zh-CN"/>
              </w:rPr>
              <w:drawing>
                <wp:inline distT="0" distB="0" distL="0" distR="0" wp14:anchorId="3FBAE1DD" wp14:editId="7F77BBB7">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1940D32" w14:textId="77777777" w:rsidR="004651C0" w:rsidRPr="00AF4E00" w:rsidRDefault="004651C0" w:rsidP="00E33D95">
            <w:pPr>
              <w:pStyle w:val="TAH"/>
              <w:rPr>
                <w:szCs w:val="18"/>
              </w:rPr>
            </w:pPr>
            <w:r w:rsidRPr="00AF4E00">
              <w:rPr>
                <w:szCs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7CB08FD" w14:textId="77777777" w:rsidR="004651C0" w:rsidRPr="00AF4E00" w:rsidRDefault="004651C0" w:rsidP="00E33D95">
            <w:pPr>
              <w:pStyle w:val="TAH"/>
              <w:rPr>
                <w:szCs w:val="18"/>
                <w:lang w:eastAsia="ko-KR"/>
              </w:rPr>
            </w:pPr>
            <w:r w:rsidRPr="00AF4E00">
              <w:rPr>
                <w:szCs w:val="18"/>
                <w:lang w:eastAsia="ko-KR"/>
              </w:rPr>
              <w:t xml:space="preserve">Uplink Tx switching period </w:t>
            </w:r>
            <w:r w:rsidRPr="00AF4E00">
              <w:rPr>
                <w:szCs w:val="18"/>
                <w:vertAlign w:val="superscript"/>
                <w:lang w:eastAsia="ko-KR"/>
              </w:rPr>
              <w:t>Note1</w:t>
            </w:r>
          </w:p>
        </w:tc>
      </w:tr>
      <w:tr w:rsidR="004651C0" w:rsidRPr="00AF4E00" w14:paraId="41CA9AB7" w14:textId="77777777" w:rsidTr="004651C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D23615D" w14:textId="77777777" w:rsidR="004651C0" w:rsidRPr="00AF4E00" w:rsidRDefault="004651C0" w:rsidP="00E33D95">
            <w:pPr>
              <w:pStyle w:val="TAH"/>
              <w:rPr>
                <w:szCs w:val="18"/>
              </w:rPr>
            </w:pPr>
          </w:p>
        </w:tc>
        <w:tc>
          <w:tcPr>
            <w:tcW w:w="0" w:type="auto"/>
            <w:tcBorders>
              <w:top w:val="nil"/>
              <w:left w:val="single" w:sz="4" w:space="0" w:color="auto"/>
              <w:bottom w:val="single" w:sz="4" w:space="0" w:color="auto"/>
              <w:right w:val="single" w:sz="4" w:space="0" w:color="auto"/>
            </w:tcBorders>
            <w:vAlign w:val="center"/>
            <w:hideMark/>
          </w:tcPr>
          <w:p w14:paraId="215AD2ED" w14:textId="77777777" w:rsidR="004651C0" w:rsidRPr="00AF4E00" w:rsidRDefault="004651C0" w:rsidP="00E33D95">
            <w:pPr>
              <w:pStyle w:val="TAH"/>
              <w:rPr>
                <w:szCs w:val="18"/>
              </w:rPr>
            </w:pPr>
          </w:p>
        </w:tc>
        <w:tc>
          <w:tcPr>
            <w:tcW w:w="1276" w:type="dxa"/>
            <w:tcBorders>
              <w:top w:val="single" w:sz="4" w:space="0" w:color="auto"/>
              <w:left w:val="single" w:sz="4" w:space="0" w:color="auto"/>
              <w:bottom w:val="single" w:sz="4" w:space="0" w:color="auto"/>
              <w:right w:val="single" w:sz="4" w:space="0" w:color="auto"/>
            </w:tcBorders>
            <w:hideMark/>
          </w:tcPr>
          <w:p w14:paraId="345A9308" w14:textId="77777777" w:rsidR="004651C0" w:rsidRPr="00AF4E00" w:rsidRDefault="004651C0" w:rsidP="00E33D95">
            <w:pPr>
              <w:pStyle w:val="TAH"/>
              <w:rPr>
                <w:szCs w:val="18"/>
              </w:rPr>
            </w:pPr>
            <w:r w:rsidRPr="00AF4E00">
              <w:rPr>
                <w:rFonts w:hint="eastAsia"/>
                <w:szCs w:val="18"/>
                <w:lang w:eastAsia="ko-KR"/>
              </w:rPr>
              <w:t>3</w:t>
            </w:r>
            <w:r w:rsidRPr="00AF4E00">
              <w:rPr>
                <w:szCs w:val="18"/>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1C777F2" w14:textId="77777777" w:rsidR="004651C0" w:rsidRPr="00AF4E00" w:rsidRDefault="004651C0" w:rsidP="00E33D95">
            <w:pPr>
              <w:pStyle w:val="TAH"/>
              <w:rPr>
                <w:szCs w:val="18"/>
              </w:rPr>
            </w:pPr>
            <w:r w:rsidRPr="00AF4E00">
              <w:rPr>
                <w:rFonts w:hint="eastAsia"/>
                <w:szCs w:val="18"/>
                <w:lang w:eastAsia="ko-KR"/>
              </w:rPr>
              <w:t>1</w:t>
            </w:r>
            <w:r w:rsidRPr="00AF4E00">
              <w:rPr>
                <w:szCs w:val="18"/>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C5130D1" w14:textId="77777777" w:rsidR="004651C0" w:rsidRPr="00AF4E00" w:rsidRDefault="004651C0" w:rsidP="00E33D95">
            <w:pPr>
              <w:pStyle w:val="TAH"/>
              <w:rPr>
                <w:szCs w:val="18"/>
                <w:lang w:eastAsia="zh-CN"/>
              </w:rPr>
            </w:pPr>
            <w:r w:rsidRPr="00AF4E00">
              <w:rPr>
                <w:rFonts w:hint="eastAsia"/>
                <w:szCs w:val="18"/>
                <w:lang w:eastAsia="zh-CN"/>
              </w:rPr>
              <w:t>2</w:t>
            </w:r>
            <w:r w:rsidRPr="00AF4E00">
              <w:rPr>
                <w:szCs w:val="18"/>
                <w:lang w:eastAsia="zh-CN"/>
              </w:rPr>
              <w:t>10us</w:t>
            </w:r>
          </w:p>
        </w:tc>
      </w:tr>
      <w:tr w:rsidR="004651C0" w:rsidRPr="00AF4E00" w14:paraId="18DCFC3A" w14:textId="77777777" w:rsidTr="004651C0">
        <w:trPr>
          <w:jc w:val="center"/>
        </w:trPr>
        <w:tc>
          <w:tcPr>
            <w:tcW w:w="852" w:type="dxa"/>
            <w:tcBorders>
              <w:top w:val="single" w:sz="4" w:space="0" w:color="auto"/>
              <w:left w:val="single" w:sz="4" w:space="0" w:color="auto"/>
              <w:bottom w:val="single" w:sz="4" w:space="0" w:color="auto"/>
              <w:right w:val="single" w:sz="4" w:space="0" w:color="auto"/>
            </w:tcBorders>
            <w:hideMark/>
          </w:tcPr>
          <w:p w14:paraId="149E41B0" w14:textId="77777777" w:rsidR="004651C0" w:rsidRPr="00AF4E00" w:rsidRDefault="004651C0" w:rsidP="00E33D95">
            <w:pPr>
              <w:pStyle w:val="TAC"/>
              <w:rPr>
                <w:szCs w:val="18"/>
              </w:rPr>
            </w:pPr>
            <w:r w:rsidRPr="00AF4E00">
              <w:rPr>
                <w:szCs w:val="18"/>
              </w:rPr>
              <w:t>0</w:t>
            </w:r>
          </w:p>
        </w:tc>
        <w:tc>
          <w:tcPr>
            <w:tcW w:w="1276" w:type="dxa"/>
            <w:tcBorders>
              <w:top w:val="single" w:sz="4" w:space="0" w:color="auto"/>
              <w:left w:val="single" w:sz="4" w:space="0" w:color="auto"/>
              <w:bottom w:val="single" w:sz="4" w:space="0" w:color="auto"/>
              <w:right w:val="single" w:sz="4" w:space="0" w:color="auto"/>
            </w:tcBorders>
            <w:hideMark/>
          </w:tcPr>
          <w:p w14:paraId="164AC34C" w14:textId="77777777" w:rsidR="004651C0" w:rsidRPr="00AF4E00" w:rsidRDefault="004651C0" w:rsidP="00E33D95">
            <w:pPr>
              <w:pStyle w:val="TAC"/>
              <w:rPr>
                <w:szCs w:val="18"/>
              </w:rPr>
            </w:pPr>
            <w:r w:rsidRPr="00AF4E00">
              <w:rPr>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4D330397" w14:textId="77777777" w:rsidR="004651C0" w:rsidRPr="00AF4E00" w:rsidRDefault="004651C0" w:rsidP="00E33D95">
            <w:pPr>
              <w:pStyle w:val="TAC"/>
              <w:rPr>
                <w:szCs w:val="18"/>
              </w:rPr>
            </w:pPr>
            <w:r w:rsidRPr="00AF4E00">
              <w:rPr>
                <w:szCs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91D8E8C" w14:textId="77777777" w:rsidR="004651C0" w:rsidRPr="00AF4E00" w:rsidRDefault="004651C0" w:rsidP="00E33D95">
            <w:pPr>
              <w:pStyle w:val="TAC"/>
              <w:rPr>
                <w:szCs w:val="18"/>
              </w:rPr>
            </w:pPr>
            <w:r w:rsidRPr="00AF4E00">
              <w:rPr>
                <w:szCs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DF270C5" w14:textId="77777777" w:rsidR="004651C0" w:rsidRPr="00AF4E00" w:rsidRDefault="004651C0" w:rsidP="00E33D95">
            <w:pPr>
              <w:pStyle w:val="TAC"/>
              <w:rPr>
                <w:szCs w:val="18"/>
                <w:lang w:eastAsia="zh-CN"/>
              </w:rPr>
            </w:pPr>
            <w:r w:rsidRPr="00AF4E00">
              <w:rPr>
                <w:szCs w:val="18"/>
                <w:lang w:eastAsia="zh-CN"/>
              </w:rPr>
              <w:t>4</w:t>
            </w:r>
          </w:p>
        </w:tc>
      </w:tr>
      <w:tr w:rsidR="004651C0" w:rsidRPr="00AF4E00" w14:paraId="05823211" w14:textId="77777777" w:rsidTr="004651C0">
        <w:trPr>
          <w:jc w:val="center"/>
        </w:trPr>
        <w:tc>
          <w:tcPr>
            <w:tcW w:w="852" w:type="dxa"/>
            <w:tcBorders>
              <w:top w:val="single" w:sz="4" w:space="0" w:color="auto"/>
              <w:left w:val="single" w:sz="4" w:space="0" w:color="auto"/>
              <w:bottom w:val="single" w:sz="4" w:space="0" w:color="auto"/>
              <w:right w:val="single" w:sz="4" w:space="0" w:color="auto"/>
            </w:tcBorders>
            <w:hideMark/>
          </w:tcPr>
          <w:p w14:paraId="70C4FB8F" w14:textId="77777777" w:rsidR="004651C0" w:rsidRPr="00AF4E00" w:rsidRDefault="004651C0" w:rsidP="00E33D95">
            <w:pPr>
              <w:pStyle w:val="TAC"/>
              <w:rPr>
                <w:szCs w:val="18"/>
              </w:rPr>
            </w:pPr>
            <w:r w:rsidRPr="00AF4E00">
              <w:rPr>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4FF38985" w14:textId="77777777" w:rsidR="004651C0" w:rsidRPr="00AF4E00" w:rsidRDefault="004651C0" w:rsidP="00E33D95">
            <w:pPr>
              <w:pStyle w:val="TAC"/>
              <w:rPr>
                <w:szCs w:val="18"/>
              </w:rPr>
            </w:pPr>
            <w:r w:rsidRPr="00AF4E00">
              <w:rPr>
                <w:szCs w:val="18"/>
              </w:rPr>
              <w:t>0.5</w:t>
            </w:r>
          </w:p>
        </w:tc>
        <w:tc>
          <w:tcPr>
            <w:tcW w:w="1276" w:type="dxa"/>
            <w:tcBorders>
              <w:top w:val="single" w:sz="4" w:space="0" w:color="auto"/>
              <w:left w:val="single" w:sz="4" w:space="0" w:color="auto"/>
              <w:bottom w:val="single" w:sz="4" w:space="0" w:color="auto"/>
              <w:right w:val="single" w:sz="4" w:space="0" w:color="auto"/>
            </w:tcBorders>
            <w:hideMark/>
          </w:tcPr>
          <w:p w14:paraId="4CEF94CC" w14:textId="77777777" w:rsidR="004651C0" w:rsidRPr="00AF4E00" w:rsidRDefault="004651C0" w:rsidP="00E33D95">
            <w:pPr>
              <w:pStyle w:val="TAC"/>
              <w:rPr>
                <w:szCs w:val="18"/>
              </w:rPr>
            </w:pPr>
            <w:r w:rsidRPr="00AF4E00">
              <w:rPr>
                <w:szCs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E2C3C04" w14:textId="77777777" w:rsidR="004651C0" w:rsidRPr="00AF4E00" w:rsidRDefault="004651C0" w:rsidP="00E33D95">
            <w:pPr>
              <w:pStyle w:val="TAC"/>
              <w:rPr>
                <w:szCs w:val="18"/>
              </w:rPr>
            </w:pPr>
            <w:r w:rsidRPr="00AF4E00">
              <w:rPr>
                <w:szCs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2071A21" w14:textId="77777777" w:rsidR="004651C0" w:rsidRPr="00AF4E00" w:rsidRDefault="004651C0" w:rsidP="00E33D95">
            <w:pPr>
              <w:pStyle w:val="TAC"/>
              <w:rPr>
                <w:szCs w:val="18"/>
                <w:lang w:eastAsia="zh-CN"/>
              </w:rPr>
            </w:pPr>
            <w:r w:rsidRPr="00AF4E00">
              <w:rPr>
                <w:szCs w:val="18"/>
                <w:lang w:eastAsia="zh-CN"/>
              </w:rPr>
              <w:t>7</w:t>
            </w:r>
          </w:p>
        </w:tc>
      </w:tr>
      <w:tr w:rsidR="004651C0" w:rsidRPr="00AF4E00" w14:paraId="0977E3BE" w14:textId="77777777" w:rsidTr="004651C0">
        <w:trPr>
          <w:jc w:val="center"/>
        </w:trPr>
        <w:tc>
          <w:tcPr>
            <w:tcW w:w="852" w:type="dxa"/>
            <w:tcBorders>
              <w:top w:val="single" w:sz="4" w:space="0" w:color="auto"/>
              <w:left w:val="single" w:sz="4" w:space="0" w:color="auto"/>
              <w:bottom w:val="single" w:sz="4" w:space="0" w:color="auto"/>
              <w:right w:val="single" w:sz="4" w:space="0" w:color="auto"/>
            </w:tcBorders>
            <w:hideMark/>
          </w:tcPr>
          <w:p w14:paraId="6EC773FD" w14:textId="77777777" w:rsidR="004651C0" w:rsidRPr="00AF4E00" w:rsidRDefault="004651C0" w:rsidP="00E33D95">
            <w:pPr>
              <w:pStyle w:val="TAC"/>
              <w:rPr>
                <w:szCs w:val="18"/>
              </w:rPr>
            </w:pPr>
            <w:r w:rsidRPr="00AF4E00">
              <w:rPr>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74B9AB7D" w14:textId="77777777" w:rsidR="004651C0" w:rsidRPr="00AF4E00" w:rsidRDefault="004651C0" w:rsidP="00E33D95">
            <w:pPr>
              <w:pStyle w:val="TAC"/>
              <w:rPr>
                <w:szCs w:val="18"/>
              </w:rPr>
            </w:pPr>
            <w:r w:rsidRPr="00AF4E00">
              <w:rPr>
                <w:szCs w:val="18"/>
              </w:rPr>
              <w:t>0.25</w:t>
            </w:r>
          </w:p>
        </w:tc>
        <w:tc>
          <w:tcPr>
            <w:tcW w:w="1276" w:type="dxa"/>
            <w:tcBorders>
              <w:top w:val="single" w:sz="4" w:space="0" w:color="auto"/>
              <w:left w:val="single" w:sz="4" w:space="0" w:color="auto"/>
              <w:bottom w:val="single" w:sz="4" w:space="0" w:color="auto"/>
              <w:right w:val="single" w:sz="4" w:space="0" w:color="auto"/>
            </w:tcBorders>
            <w:hideMark/>
          </w:tcPr>
          <w:p w14:paraId="11F4E0E9" w14:textId="77777777" w:rsidR="004651C0" w:rsidRPr="00AF4E00" w:rsidRDefault="004651C0" w:rsidP="00E33D95">
            <w:pPr>
              <w:pStyle w:val="TAC"/>
              <w:rPr>
                <w:szCs w:val="18"/>
              </w:rPr>
            </w:pPr>
            <w:r w:rsidRPr="00AF4E00">
              <w:rPr>
                <w:szCs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A64FFEA" w14:textId="77777777" w:rsidR="004651C0" w:rsidRPr="00AF4E00" w:rsidRDefault="004651C0" w:rsidP="00E33D95">
            <w:pPr>
              <w:pStyle w:val="TAC"/>
              <w:rPr>
                <w:szCs w:val="18"/>
                <w:lang w:eastAsia="zh-CN"/>
              </w:rPr>
            </w:pPr>
            <w:r w:rsidRPr="00AF4E00">
              <w:rPr>
                <w:szCs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FBAB9D5" w14:textId="77777777" w:rsidR="004651C0" w:rsidRPr="00AF4E00" w:rsidRDefault="004651C0" w:rsidP="00E33D95">
            <w:pPr>
              <w:pStyle w:val="TAC"/>
              <w:rPr>
                <w:szCs w:val="18"/>
                <w:lang w:eastAsia="zh-CN"/>
              </w:rPr>
            </w:pPr>
            <w:r w:rsidRPr="00AF4E00">
              <w:rPr>
                <w:szCs w:val="18"/>
                <w:lang w:eastAsia="zh-CN"/>
              </w:rPr>
              <w:t>14</w:t>
            </w:r>
          </w:p>
        </w:tc>
      </w:tr>
      <w:tr w:rsidR="004651C0" w:rsidRPr="00AF4E00" w14:paraId="660743A4" w14:textId="77777777" w:rsidTr="004651C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768AED0" w14:textId="77777777" w:rsidR="004651C0" w:rsidRPr="00AF4E00" w:rsidRDefault="004651C0" w:rsidP="00E33D95">
            <w:pPr>
              <w:pStyle w:val="TAN"/>
              <w:rPr>
                <w:szCs w:val="18"/>
              </w:rPr>
            </w:pPr>
            <w:r w:rsidRPr="00AF4E00">
              <w:rPr>
                <w:szCs w:val="18"/>
              </w:rPr>
              <w:t>Note 1:</w:t>
            </w:r>
            <w:r w:rsidRPr="00AF4E00">
              <w:rPr>
                <w:szCs w:val="18"/>
              </w:rPr>
              <w:tab/>
            </w:r>
            <w:r w:rsidRPr="00AF4E00">
              <w:rPr>
                <w:szCs w:val="18"/>
                <w:lang w:eastAsia="ko-KR"/>
              </w:rPr>
              <w:t xml:space="preserve">Uplink Tx switching period depends on UE capability </w:t>
            </w:r>
            <w:r w:rsidRPr="00AF4E00">
              <w:rPr>
                <w:i/>
                <w:noProof/>
                <w:szCs w:val="18"/>
              </w:rPr>
              <w:t>uplinkTxSwitchingPeriod</w:t>
            </w:r>
          </w:p>
        </w:tc>
      </w:tr>
    </w:tbl>
    <w:p w14:paraId="2372C0F1" w14:textId="77777777" w:rsidR="005A7ED2" w:rsidRDefault="005A7ED2" w:rsidP="004651C0">
      <w:pPr>
        <w:snapToGrid w:val="0"/>
        <w:spacing w:before="60" w:after="60"/>
        <w:ind w:left="568"/>
        <w:rPr>
          <w:rFonts w:eastAsia="DengXian"/>
          <w:lang w:val="en-US" w:eastAsia="zh-CN"/>
        </w:rPr>
      </w:pPr>
    </w:p>
    <w:p w14:paraId="0460A481" w14:textId="77777777" w:rsidR="005A7ED2" w:rsidRDefault="005A7ED2" w:rsidP="005A7ED2">
      <w:pPr>
        <w:snapToGrid w:val="0"/>
        <w:spacing w:before="60" w:after="60"/>
        <w:rPr>
          <w:rFonts w:cs="Arial"/>
          <w:szCs w:val="18"/>
        </w:rPr>
      </w:pPr>
      <w:r w:rsidRPr="00EB13EA">
        <w:rPr>
          <w:rFonts w:cs="Arial"/>
          <w:szCs w:val="18"/>
        </w:rPr>
        <w:t>We</w:t>
      </w:r>
      <w:r>
        <w:rPr>
          <w:rFonts w:cs="Arial"/>
          <w:szCs w:val="18"/>
        </w:rPr>
        <w:t xml:space="preserve"> remark that timing differences between the DL and UL slots on a switched carrier are also present in the single-TAG case due to the timing advance (propagation delay) that can be larger than the MTTD. For most deployments the timing differences between the UL carriers are expected much smaller than the MTTD but the specification must cover the maximum specified.</w:t>
      </w:r>
    </w:p>
    <w:p w14:paraId="0A938D9F" w14:textId="08F3348B" w:rsidR="005A7ED2" w:rsidRDefault="005A7ED2" w:rsidP="005A7ED2">
      <w:pPr>
        <w:snapToGrid w:val="0"/>
        <w:spacing w:before="60" w:after="60"/>
        <w:rPr>
          <w:rFonts w:cs="Arial"/>
          <w:szCs w:val="18"/>
        </w:rPr>
      </w:pPr>
      <w:r>
        <w:rPr>
          <w:rFonts w:cs="Arial"/>
          <w:szCs w:val="18"/>
        </w:rPr>
        <w:t>The length of the DL interruption was derived by using a formula in [</w:t>
      </w:r>
      <w:r w:rsidR="00552D08">
        <w:rPr>
          <w:rFonts w:cs="Arial"/>
          <w:szCs w:val="18"/>
        </w:rPr>
        <w:t>6</w:t>
      </w:r>
      <w:r>
        <w:rPr>
          <w:rFonts w:cs="Arial"/>
          <w:szCs w:val="18"/>
        </w:rPr>
        <w:t>]:</w:t>
      </w:r>
    </w:p>
    <w:p w14:paraId="59ACB0B0" w14:textId="77777777" w:rsidR="005A7ED2" w:rsidRPr="00444630" w:rsidRDefault="005A7ED2" w:rsidP="005A7ED2">
      <w:pPr>
        <w:numPr>
          <w:ilvl w:val="0"/>
          <w:numId w:val="7"/>
        </w:numPr>
        <w:snapToGrid w:val="0"/>
        <w:spacing w:before="60" w:after="60"/>
        <w:rPr>
          <w:rFonts w:eastAsia="DengXian"/>
          <w:lang w:val="en-US" w:eastAsia="zh-CN"/>
        </w:rPr>
      </w:pPr>
      <w:r w:rsidRPr="00444630">
        <w:rPr>
          <w:rFonts w:eastAsia="DengXian"/>
          <w:lang w:eastAsia="zh-CN"/>
        </w:rPr>
        <w:t xml:space="preserve">The above </w:t>
      </w:r>
      <w:r>
        <w:rPr>
          <w:rFonts w:eastAsia="DengXian"/>
          <w:lang w:eastAsia="zh-CN"/>
        </w:rPr>
        <w:t>table [specification]</w:t>
      </w:r>
      <w:r w:rsidRPr="00444630">
        <w:rPr>
          <w:rFonts w:eastAsia="DengXian"/>
          <w:lang w:eastAsia="zh-CN"/>
        </w:rPr>
        <w:t xml:space="preserve"> considers the interruption uncertainty due to MRTD and TA adjustment accuracy, where MRTD=3us.</w:t>
      </w:r>
    </w:p>
    <w:p w14:paraId="510340AB" w14:textId="77777777" w:rsidR="005A7ED2" w:rsidRPr="00444630" w:rsidRDefault="005A7ED2" w:rsidP="005A7ED2">
      <w:pPr>
        <w:numPr>
          <w:ilvl w:val="0"/>
          <w:numId w:val="7"/>
        </w:numPr>
        <w:snapToGrid w:val="0"/>
        <w:spacing w:before="60" w:after="60"/>
        <w:rPr>
          <w:rFonts w:eastAsia="DengXian"/>
          <w:lang w:val="en-US" w:eastAsia="zh-CN"/>
        </w:rPr>
      </w:pPr>
      <w:r w:rsidRPr="00444630">
        <w:rPr>
          <w:rFonts w:eastAsia="DengXian"/>
          <w:lang w:eastAsia="zh-CN"/>
        </w:rPr>
        <w:t>Interruption length in the above table is expressed by:</w:t>
      </w:r>
    </w:p>
    <w:p w14:paraId="04D4B17F" w14:textId="77777777" w:rsidR="005A7ED2" w:rsidRPr="00444630" w:rsidRDefault="005A7ED2" w:rsidP="005A7ED2">
      <w:pPr>
        <w:snapToGrid w:val="0"/>
        <w:spacing w:before="60" w:after="60"/>
        <w:rPr>
          <w:rFonts w:eastAsia="DengXian"/>
          <w:lang w:val="en-US" w:eastAsia="zh-CN"/>
        </w:rPr>
      </w:pPr>
      <w:r w:rsidRPr="00444630">
        <w:rPr>
          <w:rFonts w:eastAsia="DengXian"/>
          <w:i/>
          <w:iCs/>
          <w:lang w:eastAsia="zh-CN"/>
        </w:rPr>
        <w:t>ceil((switching period+2*TA adjustment uncertainty+6us-CP length)/symbol duration)+1</w:t>
      </w:r>
    </w:p>
    <w:p w14:paraId="6EAA12A6" w14:textId="77777777" w:rsidR="005A7ED2" w:rsidRPr="00444630" w:rsidRDefault="005A7ED2" w:rsidP="005A7ED2">
      <w:pPr>
        <w:numPr>
          <w:ilvl w:val="0"/>
          <w:numId w:val="8"/>
        </w:numPr>
        <w:snapToGrid w:val="0"/>
        <w:spacing w:before="60" w:after="60"/>
        <w:rPr>
          <w:rFonts w:eastAsia="DengXian"/>
          <w:lang w:val="en-US" w:eastAsia="zh-CN"/>
        </w:rPr>
      </w:pPr>
      <w:r w:rsidRPr="00444630">
        <w:rPr>
          <w:rFonts w:eastAsia="DengXian"/>
          <w:lang w:val="en-US" w:eastAsia="zh-CN"/>
        </w:rPr>
        <w:t xml:space="preserve">No DL interruption is allowed in the downlink carrier(s) which is not indicated by </w:t>
      </w:r>
      <w:r w:rsidRPr="00444630">
        <w:rPr>
          <w:rFonts w:eastAsia="DengXian"/>
          <w:i/>
          <w:iCs/>
          <w:lang w:val="en-US" w:eastAsia="zh-CN"/>
        </w:rPr>
        <w:t>uplinkTxSwitching-DL-Interruption</w:t>
      </w:r>
      <w:r w:rsidRPr="00444630">
        <w:rPr>
          <w:rFonts w:eastAsia="DengXian"/>
          <w:lang w:val="en-US" w:eastAsia="zh-CN"/>
        </w:rPr>
        <w:t>.</w:t>
      </w:r>
    </w:p>
    <w:p w14:paraId="0D9A6F61" w14:textId="17A46CAA" w:rsidR="005A7ED2" w:rsidRDefault="005A7ED2" w:rsidP="005A7ED2">
      <w:pPr>
        <w:snapToGrid w:val="0"/>
        <w:spacing w:before="60" w:after="60"/>
        <w:rPr>
          <w:rFonts w:cs="Arial"/>
          <w:szCs w:val="18"/>
          <w:lang w:val="nb-NO"/>
        </w:rPr>
      </w:pPr>
      <w:r w:rsidRPr="00131413">
        <w:rPr>
          <w:rFonts w:cs="Arial"/>
          <w:szCs w:val="18"/>
          <w:lang w:val="nb-NO"/>
        </w:rPr>
        <w:t xml:space="preserve">The formula for the DL interruption length would essentially be the same for the non-collocated case. The MTRD </w:t>
      </w:r>
      <w:r>
        <w:rPr>
          <w:rFonts w:cs="Arial"/>
          <w:szCs w:val="18"/>
          <w:lang w:val="nb-NO"/>
        </w:rPr>
        <w:t>(</w:t>
      </w:r>
      <w:r w:rsidRPr="00131413">
        <w:rPr>
          <w:rFonts w:cs="Arial"/>
          <w:szCs w:val="18"/>
          <w:lang w:val="nb-NO"/>
        </w:rPr>
        <w:t>BS</w:t>
      </w:r>
      <w:r>
        <w:rPr>
          <w:rFonts w:cs="Arial"/>
          <w:szCs w:val="18"/>
          <w:lang w:val="nb-NO"/>
        </w:rPr>
        <w:t xml:space="preserve"> </w:t>
      </w:r>
      <w:r w:rsidRPr="00131413">
        <w:rPr>
          <w:rFonts w:cs="Arial"/>
          <w:szCs w:val="18"/>
          <w:lang w:val="nb-NO"/>
        </w:rPr>
        <w:t>TAE</w:t>
      </w:r>
      <w:r>
        <w:rPr>
          <w:rFonts w:cs="Arial"/>
          <w:szCs w:val="18"/>
          <w:lang w:val="nb-NO"/>
        </w:rPr>
        <w:t xml:space="preserve"> = 3 us)</w:t>
      </w:r>
      <w:r w:rsidRPr="00131413">
        <w:rPr>
          <w:rFonts w:cs="Arial"/>
          <w:szCs w:val="18"/>
          <w:lang w:val="nb-NO"/>
        </w:rPr>
        <w:t xml:space="preserve"> is relevant to include for the collocated case (but </w:t>
      </w:r>
      <w:r>
        <w:rPr>
          <w:rFonts w:cs="Arial"/>
          <w:szCs w:val="18"/>
          <w:lang w:val="nb-NO"/>
        </w:rPr>
        <w:t xml:space="preserve">presumably </w:t>
      </w:r>
      <w:r w:rsidRPr="00131413">
        <w:rPr>
          <w:rFonts w:cs="Arial"/>
          <w:szCs w:val="18"/>
          <w:lang w:val="nb-NO"/>
        </w:rPr>
        <w:t xml:space="preserve">not with a factor 2 </w:t>
      </w:r>
      <w:r>
        <w:rPr>
          <w:rFonts w:cs="Arial"/>
          <w:szCs w:val="18"/>
          <w:lang w:val="nb-NO"/>
        </w:rPr>
        <w:t>for the time delay for a carrier is either before or after the common DL timing</w:t>
      </w:r>
      <w:r w:rsidRPr="00131413">
        <w:rPr>
          <w:rFonts w:cs="Arial"/>
          <w:szCs w:val="18"/>
          <w:lang w:val="nb-NO"/>
        </w:rPr>
        <w:t xml:space="preserve">) since the UL timing is w r t </w:t>
      </w:r>
      <w:r w:rsidRPr="005F3C51">
        <w:rPr>
          <w:rFonts w:cs="Arial"/>
          <w:i/>
          <w:iCs/>
          <w:szCs w:val="18"/>
          <w:lang w:val="nb-NO"/>
        </w:rPr>
        <w:t>one</w:t>
      </w:r>
      <w:r w:rsidRPr="00131413">
        <w:rPr>
          <w:rFonts w:cs="Arial"/>
          <w:szCs w:val="18"/>
          <w:lang w:val="nb-NO"/>
        </w:rPr>
        <w:t xml:space="preserve"> of the two carriers belonging to the single</w:t>
      </w:r>
      <w:r>
        <w:rPr>
          <w:rFonts w:cs="Arial"/>
          <w:szCs w:val="18"/>
          <w:lang w:val="nb-NO"/>
        </w:rPr>
        <w:t xml:space="preserve"> </w:t>
      </w:r>
      <w:r w:rsidRPr="00131413">
        <w:rPr>
          <w:rFonts w:cs="Arial"/>
          <w:szCs w:val="18"/>
          <w:lang w:val="nb-NO"/>
        </w:rPr>
        <w:t>TAG. The TA adjustment accuracy is relevant</w:t>
      </w:r>
      <w:r>
        <w:rPr>
          <w:rFonts w:cs="Arial"/>
          <w:szCs w:val="18"/>
          <w:lang w:val="nb-NO"/>
        </w:rPr>
        <w:t xml:space="preserve"> since this can be positive or one carrier and negative for the other</w:t>
      </w:r>
      <w:r w:rsidRPr="00131413">
        <w:rPr>
          <w:rFonts w:cs="Arial"/>
          <w:szCs w:val="18"/>
          <w:lang w:val="nb-NO"/>
        </w:rPr>
        <w:t xml:space="preserve">. In the non-collocated case, the UL timing is w r t the reference cell of each TAG (i.e. each carrier if only two) so including the </w:t>
      </w:r>
      <w:r w:rsidR="00A266E4">
        <w:rPr>
          <w:rFonts w:cs="Arial"/>
          <w:szCs w:val="18"/>
          <w:lang w:val="nb-NO"/>
        </w:rPr>
        <w:t xml:space="preserve">BS TAE is not relevant, since the length of the interruption is not changed. </w:t>
      </w:r>
      <w:r w:rsidRPr="00131413">
        <w:rPr>
          <w:rFonts w:cs="Arial"/>
          <w:szCs w:val="18"/>
          <w:lang w:val="nb-NO"/>
        </w:rPr>
        <w:t xml:space="preserve">. The remaining terms the same for the two cases. </w:t>
      </w:r>
    </w:p>
    <w:p w14:paraId="78AFA67D" w14:textId="77777777" w:rsidR="005A7ED2" w:rsidRPr="00D76882" w:rsidRDefault="005A7ED2" w:rsidP="005A7ED2">
      <w:pPr>
        <w:snapToGrid w:val="0"/>
        <w:spacing w:before="60" w:after="60"/>
        <w:rPr>
          <w:rFonts w:eastAsia="DengXian"/>
          <w:lang w:val="nb-NO" w:eastAsia="zh-CN"/>
        </w:rPr>
      </w:pPr>
      <w:r w:rsidRPr="00A95020">
        <w:rPr>
          <w:rFonts w:eastAsia="DengXian"/>
          <w:lang w:val="nb-NO" w:eastAsia="zh-CN"/>
        </w:rPr>
        <w:t>The actual DL interruption location on each carrier will be determined by (N_TA + N_TA,offset)*Tc in relation to the DL reference timing, no difference between single-TAG and multi-TAG.</w:t>
      </w:r>
    </w:p>
    <w:p w14:paraId="059309D7" w14:textId="02DEA875" w:rsidR="005A7ED2" w:rsidRDefault="005A7ED2" w:rsidP="005A7ED2">
      <w:pPr>
        <w:snapToGrid w:val="0"/>
        <w:spacing w:before="60" w:after="60"/>
        <w:rPr>
          <w:rFonts w:eastAsia="DengXian"/>
          <w:b/>
          <w:bCs/>
          <w:lang w:val="en-US" w:eastAsia="zh-CN"/>
        </w:rPr>
      </w:pPr>
      <w:r w:rsidRPr="005E39E7">
        <w:rPr>
          <w:rFonts w:eastAsia="DengXian"/>
          <w:b/>
          <w:bCs/>
          <w:lang w:val="en-US" w:eastAsia="zh-CN"/>
        </w:rPr>
        <w:t xml:space="preserve">Observation </w:t>
      </w:r>
      <w:r w:rsidR="00032267">
        <w:rPr>
          <w:rFonts w:eastAsia="DengXian"/>
          <w:b/>
          <w:bCs/>
          <w:lang w:val="en-US" w:eastAsia="zh-CN"/>
        </w:rPr>
        <w:t>2</w:t>
      </w:r>
      <w:r w:rsidRPr="005E39E7">
        <w:rPr>
          <w:rFonts w:eastAsia="DengXian"/>
          <w:b/>
          <w:bCs/>
          <w:lang w:val="en-US" w:eastAsia="zh-CN"/>
        </w:rPr>
        <w:t xml:space="preserve">: DL interruptions </w:t>
      </w:r>
      <w:r w:rsidR="00EB2CE6">
        <w:rPr>
          <w:rFonts w:eastAsia="DengXian"/>
          <w:b/>
          <w:bCs/>
          <w:lang w:val="en-US" w:eastAsia="zh-CN"/>
        </w:rPr>
        <w:t xml:space="preserve">in TS 38.133 </w:t>
      </w:r>
      <w:r>
        <w:rPr>
          <w:rFonts w:eastAsia="DengXian"/>
          <w:b/>
          <w:bCs/>
          <w:lang w:val="en-US" w:eastAsia="zh-CN"/>
        </w:rPr>
        <w:t xml:space="preserve">are </w:t>
      </w:r>
      <w:r w:rsidRPr="005E39E7">
        <w:rPr>
          <w:rFonts w:eastAsia="DengXian"/>
          <w:b/>
          <w:bCs/>
          <w:lang w:val="en-US" w:eastAsia="zh-CN"/>
        </w:rPr>
        <w:t>not affected</w:t>
      </w:r>
      <w:r w:rsidR="00A266E4">
        <w:rPr>
          <w:rFonts w:eastAsia="DengXian"/>
          <w:b/>
          <w:bCs/>
          <w:lang w:val="en-US" w:eastAsia="zh-CN"/>
        </w:rPr>
        <w:t>, for CA,</w:t>
      </w:r>
      <w:r w:rsidRPr="005E39E7">
        <w:rPr>
          <w:rFonts w:eastAsia="DengXian"/>
          <w:b/>
          <w:bCs/>
          <w:lang w:val="en-US" w:eastAsia="zh-CN"/>
        </w:rPr>
        <w:t xml:space="preserve"> since the switching period </w:t>
      </w:r>
      <w:r>
        <w:rPr>
          <w:rFonts w:eastAsia="DengXian"/>
          <w:b/>
          <w:bCs/>
          <w:lang w:val="en-US" w:eastAsia="zh-CN"/>
        </w:rPr>
        <w:t xml:space="preserve">during which the UE is not expected to transmit on any carrier </w:t>
      </w:r>
      <w:r w:rsidRPr="005E39E7">
        <w:rPr>
          <w:rFonts w:eastAsia="DengXian"/>
          <w:b/>
          <w:bCs/>
          <w:lang w:val="en-US" w:eastAsia="zh-CN"/>
        </w:rPr>
        <w:t>is the same for non-collocation</w:t>
      </w:r>
      <w:r>
        <w:rPr>
          <w:rFonts w:eastAsia="DengXian"/>
          <w:b/>
          <w:bCs/>
          <w:lang w:val="en-US" w:eastAsia="zh-CN"/>
        </w:rPr>
        <w:t xml:space="preserve">. The </w:t>
      </w:r>
      <w:r w:rsidRPr="00C96142">
        <w:rPr>
          <w:rFonts w:eastAsia="DengXian"/>
          <w:b/>
          <w:bCs/>
          <w:lang w:val="en-US" w:eastAsia="zh-CN"/>
        </w:rPr>
        <w:t xml:space="preserve">capability </w:t>
      </w:r>
      <w:r w:rsidRPr="00C96142">
        <w:rPr>
          <w:rFonts w:cs="Arial"/>
          <w:b/>
          <w:bCs/>
          <w:i/>
          <w:szCs w:val="18"/>
        </w:rPr>
        <w:t>uplinkTxSwitching-DL-Interruption-r16</w:t>
      </w:r>
      <w:r w:rsidRPr="00C96142">
        <w:rPr>
          <w:rFonts w:eastAsia="DengXian"/>
          <w:b/>
          <w:bCs/>
          <w:lang w:val="en-US" w:eastAsia="zh-CN"/>
        </w:rPr>
        <w:t xml:space="preserve"> is</w:t>
      </w:r>
      <w:r>
        <w:rPr>
          <w:rFonts w:eastAsia="DengXian"/>
          <w:b/>
          <w:bCs/>
          <w:lang w:val="en-US" w:eastAsia="zh-CN"/>
        </w:rPr>
        <w:t xml:space="preserve"> unaffected in the multiple TAG case.</w:t>
      </w:r>
    </w:p>
    <w:p w14:paraId="47F06A46" w14:textId="163EF40B" w:rsidR="00A019D1" w:rsidRPr="005B0B82" w:rsidRDefault="005B0B82" w:rsidP="00CE1305">
      <w:pPr>
        <w:rPr>
          <w:b/>
          <w:bCs/>
          <w:lang w:val="en-US"/>
        </w:rPr>
      </w:pPr>
      <w:r w:rsidRPr="005B0B82">
        <w:rPr>
          <w:b/>
          <w:bCs/>
          <w:lang w:val="en-US"/>
        </w:rPr>
        <w:t xml:space="preserve">Observation 3: </w:t>
      </w:r>
      <w:r w:rsidR="00B072EF" w:rsidRPr="005B0B82">
        <w:rPr>
          <w:b/>
          <w:bCs/>
          <w:lang w:val="en-US"/>
        </w:rPr>
        <w:t xml:space="preserve">Same principle </w:t>
      </w:r>
      <w:r>
        <w:rPr>
          <w:b/>
          <w:bCs/>
          <w:lang w:val="en-US"/>
        </w:rPr>
        <w:t xml:space="preserve">applies </w:t>
      </w:r>
      <w:r w:rsidR="00B072EF" w:rsidRPr="005B0B82">
        <w:rPr>
          <w:b/>
          <w:bCs/>
          <w:lang w:val="en-US"/>
        </w:rPr>
        <w:t>for ENDC</w:t>
      </w:r>
      <w:r>
        <w:rPr>
          <w:b/>
          <w:bCs/>
          <w:lang w:val="en-US"/>
        </w:rPr>
        <w:t xml:space="preserve">, when it comes to DL interruptions, </w:t>
      </w:r>
      <w:r w:rsidR="00A42CB5">
        <w:rPr>
          <w:b/>
          <w:bCs/>
          <w:lang w:val="en-US"/>
        </w:rPr>
        <w:t xml:space="preserve">i.e., DL interruptions in TS 38.133 are not affected, </w:t>
      </w:r>
      <w:r>
        <w:rPr>
          <w:b/>
          <w:bCs/>
          <w:lang w:val="en-US"/>
        </w:rPr>
        <w:t>even if the time masks in UE RF requirements might have to be different.</w:t>
      </w:r>
    </w:p>
    <w:p w14:paraId="7DE08BE8" w14:textId="6F5C29F4" w:rsidR="00B93FB3" w:rsidRDefault="00CE1305" w:rsidP="00B93FB3">
      <w:pPr>
        <w:pStyle w:val="Heading1"/>
        <w:rPr>
          <w:lang w:val="en-US"/>
        </w:rPr>
      </w:pPr>
      <w:r>
        <w:rPr>
          <w:lang w:val="en-US"/>
        </w:rPr>
        <w:lastRenderedPageBreak/>
        <w:t>3</w:t>
      </w:r>
      <w:r w:rsidR="00B93FB3">
        <w:rPr>
          <w:lang w:val="en-US"/>
        </w:rPr>
        <w:tab/>
        <w:t>Summary</w:t>
      </w:r>
    </w:p>
    <w:p w14:paraId="269D5800" w14:textId="77777777" w:rsidR="00032267" w:rsidRDefault="00032267" w:rsidP="00032267">
      <w:pPr>
        <w:snapToGrid w:val="0"/>
        <w:spacing w:before="60" w:after="60"/>
        <w:rPr>
          <w:rFonts w:eastAsia="DengXian"/>
          <w:lang w:val="en-US" w:eastAsia="zh-CN"/>
        </w:rPr>
      </w:pPr>
      <w:r w:rsidRPr="005E39E7">
        <w:rPr>
          <w:rFonts w:eastAsia="DengXian"/>
          <w:b/>
          <w:bCs/>
          <w:lang w:val="en-US" w:eastAsia="zh-CN"/>
        </w:rPr>
        <w:t xml:space="preserve">Observation </w:t>
      </w:r>
      <w:r>
        <w:rPr>
          <w:rFonts w:eastAsia="DengXian"/>
          <w:b/>
          <w:bCs/>
          <w:lang w:val="en-US" w:eastAsia="zh-CN"/>
        </w:rPr>
        <w:t>1</w:t>
      </w:r>
      <w:r w:rsidRPr="005E39E7">
        <w:rPr>
          <w:rFonts w:eastAsia="DengXian"/>
          <w:b/>
          <w:bCs/>
          <w:lang w:val="en-US" w:eastAsia="zh-CN"/>
        </w:rPr>
        <w:t xml:space="preserve">: </w:t>
      </w:r>
      <w:r w:rsidRPr="00032267">
        <w:rPr>
          <w:rFonts w:eastAsia="DengXian"/>
          <w:b/>
          <w:bCs/>
          <w:lang w:val="en-US" w:eastAsia="zh-CN"/>
        </w:rPr>
        <w:t>In Rel-16 the introduction of TX switching between two UL carriers were confined to changes related to DL interruptions in TS 38.133</w:t>
      </w:r>
      <w:r>
        <w:rPr>
          <w:rFonts w:eastAsia="DengXian"/>
          <w:b/>
          <w:bCs/>
          <w:lang w:val="en-US" w:eastAsia="zh-CN"/>
        </w:rPr>
        <w:t>.</w:t>
      </w:r>
    </w:p>
    <w:p w14:paraId="33948DA7" w14:textId="65E6F9C0" w:rsidR="003D429A" w:rsidRDefault="00EB2CE6" w:rsidP="00EB2CE6">
      <w:pPr>
        <w:snapToGrid w:val="0"/>
        <w:spacing w:before="60" w:after="60"/>
        <w:rPr>
          <w:rFonts w:eastAsia="DengXian"/>
          <w:b/>
          <w:bCs/>
          <w:lang w:val="en-US" w:eastAsia="zh-CN"/>
        </w:rPr>
      </w:pPr>
      <w:r w:rsidRPr="005E39E7">
        <w:rPr>
          <w:rFonts w:eastAsia="DengXian"/>
          <w:b/>
          <w:bCs/>
          <w:lang w:val="en-US" w:eastAsia="zh-CN"/>
        </w:rPr>
        <w:t xml:space="preserve">Observation </w:t>
      </w:r>
      <w:r w:rsidR="00032267">
        <w:rPr>
          <w:rFonts w:eastAsia="DengXian"/>
          <w:b/>
          <w:bCs/>
          <w:lang w:val="en-US" w:eastAsia="zh-CN"/>
        </w:rPr>
        <w:t>2</w:t>
      </w:r>
      <w:r w:rsidRPr="005E39E7">
        <w:rPr>
          <w:rFonts w:eastAsia="DengXian"/>
          <w:b/>
          <w:bCs/>
          <w:lang w:val="en-US" w:eastAsia="zh-CN"/>
        </w:rPr>
        <w:t xml:space="preserve">: DL interruptions </w:t>
      </w:r>
      <w:r>
        <w:rPr>
          <w:rFonts w:eastAsia="DengXian"/>
          <w:b/>
          <w:bCs/>
          <w:lang w:val="en-US" w:eastAsia="zh-CN"/>
        </w:rPr>
        <w:t xml:space="preserve">in TS 38.133 are </w:t>
      </w:r>
      <w:r w:rsidRPr="005E39E7">
        <w:rPr>
          <w:rFonts w:eastAsia="DengXian"/>
          <w:b/>
          <w:bCs/>
          <w:lang w:val="en-US" w:eastAsia="zh-CN"/>
        </w:rPr>
        <w:t>not affected</w:t>
      </w:r>
      <w:r w:rsidR="00A266E4">
        <w:rPr>
          <w:rFonts w:eastAsia="DengXian"/>
          <w:b/>
          <w:bCs/>
          <w:lang w:val="en-US" w:eastAsia="zh-CN"/>
        </w:rPr>
        <w:t>, for CA,</w:t>
      </w:r>
      <w:r w:rsidRPr="005E39E7">
        <w:rPr>
          <w:rFonts w:eastAsia="DengXian"/>
          <w:b/>
          <w:bCs/>
          <w:lang w:val="en-US" w:eastAsia="zh-CN"/>
        </w:rPr>
        <w:t xml:space="preserve"> since the switching period </w:t>
      </w:r>
      <w:r>
        <w:rPr>
          <w:rFonts w:eastAsia="DengXian"/>
          <w:b/>
          <w:bCs/>
          <w:lang w:val="en-US" w:eastAsia="zh-CN"/>
        </w:rPr>
        <w:t xml:space="preserve">during which the UE is not expected to transmit on any carrier </w:t>
      </w:r>
      <w:r w:rsidRPr="005E39E7">
        <w:rPr>
          <w:rFonts w:eastAsia="DengXian"/>
          <w:b/>
          <w:bCs/>
          <w:lang w:val="en-US" w:eastAsia="zh-CN"/>
        </w:rPr>
        <w:t>is the same for non-collocation</w:t>
      </w:r>
      <w:r>
        <w:rPr>
          <w:rFonts w:eastAsia="DengXian"/>
          <w:b/>
          <w:bCs/>
          <w:lang w:val="en-US" w:eastAsia="zh-CN"/>
        </w:rPr>
        <w:t xml:space="preserve">. The </w:t>
      </w:r>
      <w:r w:rsidRPr="00C96142">
        <w:rPr>
          <w:rFonts w:eastAsia="DengXian"/>
          <w:b/>
          <w:bCs/>
          <w:lang w:val="en-US" w:eastAsia="zh-CN"/>
        </w:rPr>
        <w:t xml:space="preserve">capability </w:t>
      </w:r>
      <w:r w:rsidRPr="00C96142">
        <w:rPr>
          <w:rFonts w:cs="Arial"/>
          <w:b/>
          <w:bCs/>
          <w:i/>
          <w:szCs w:val="18"/>
        </w:rPr>
        <w:t>uplinkTxSwitching-DL-Interruption-r16</w:t>
      </w:r>
      <w:r w:rsidRPr="00C96142">
        <w:rPr>
          <w:rFonts w:eastAsia="DengXian"/>
          <w:b/>
          <w:bCs/>
          <w:lang w:val="en-US" w:eastAsia="zh-CN"/>
        </w:rPr>
        <w:t xml:space="preserve"> is</w:t>
      </w:r>
      <w:r>
        <w:rPr>
          <w:rFonts w:eastAsia="DengXian"/>
          <w:b/>
          <w:bCs/>
          <w:lang w:val="en-US" w:eastAsia="zh-CN"/>
        </w:rPr>
        <w:t xml:space="preserve"> unaffected in the multiple TAG case.</w:t>
      </w:r>
    </w:p>
    <w:p w14:paraId="69081E2D" w14:textId="7EEEA443" w:rsidR="007F3181" w:rsidRPr="007F3181" w:rsidRDefault="007F3181" w:rsidP="007F3181">
      <w:pPr>
        <w:rPr>
          <w:b/>
          <w:bCs/>
          <w:lang w:val="en-US"/>
        </w:rPr>
      </w:pPr>
      <w:r w:rsidRPr="005B0B82">
        <w:rPr>
          <w:b/>
          <w:bCs/>
          <w:lang w:val="en-US"/>
        </w:rPr>
        <w:t xml:space="preserve">Observation 3: Same principle </w:t>
      </w:r>
      <w:r>
        <w:rPr>
          <w:b/>
          <w:bCs/>
          <w:lang w:val="en-US"/>
        </w:rPr>
        <w:t xml:space="preserve">applies </w:t>
      </w:r>
      <w:r w:rsidRPr="005B0B82">
        <w:rPr>
          <w:b/>
          <w:bCs/>
          <w:lang w:val="en-US"/>
        </w:rPr>
        <w:t>for ENDC</w:t>
      </w:r>
      <w:r>
        <w:rPr>
          <w:b/>
          <w:bCs/>
          <w:lang w:val="en-US"/>
        </w:rPr>
        <w:t>, when it comes to DL interruptions, i.e., DL interruptions in TS 38.133 are not affected, even if the time masks in UE RF requirements might have to be different.</w:t>
      </w:r>
    </w:p>
    <w:p w14:paraId="42C2E795" w14:textId="1C544FD8" w:rsidR="003D429A" w:rsidRDefault="003D429A" w:rsidP="003D429A">
      <w:pPr>
        <w:pStyle w:val="Heading1"/>
        <w:rPr>
          <w:lang w:val="en-US"/>
        </w:rPr>
      </w:pPr>
      <w:r>
        <w:rPr>
          <w:lang w:val="en-US"/>
        </w:rPr>
        <w:t>References</w:t>
      </w:r>
    </w:p>
    <w:p w14:paraId="1B992A17" w14:textId="30922D8A" w:rsidR="00CB0749" w:rsidRDefault="0002083C" w:rsidP="00CB0749">
      <w:pPr>
        <w:pStyle w:val="ListParagraph"/>
        <w:numPr>
          <w:ilvl w:val="0"/>
          <w:numId w:val="5"/>
        </w:numPr>
        <w:overflowPunct w:val="0"/>
        <w:autoSpaceDE w:val="0"/>
        <w:autoSpaceDN w:val="0"/>
        <w:adjustRightInd w:val="0"/>
        <w:spacing w:after="180" w:line="240" w:lineRule="auto"/>
        <w:contextualSpacing/>
        <w:textAlignment w:val="baseline"/>
      </w:pPr>
      <w:bookmarkStart w:id="3" w:name="_Ref508638450"/>
      <w:bookmarkStart w:id="4" w:name="_Ref3386619"/>
      <w:r w:rsidRPr="0002083C">
        <w:t>RP-221435</w:t>
      </w:r>
      <w:r>
        <w:t xml:space="preserve">, </w:t>
      </w:r>
      <w:r w:rsidRPr="0002083C">
        <w:t>Revised WID on Multi-carrier enhancements</w:t>
      </w:r>
      <w:r>
        <w:t>, NTT DOCOMO, INC.</w:t>
      </w:r>
    </w:p>
    <w:p w14:paraId="72E9E5D7" w14:textId="6527E6AA" w:rsidR="008E31AF" w:rsidRDefault="008E31AF" w:rsidP="00CB0749">
      <w:pPr>
        <w:pStyle w:val="ListParagraph"/>
        <w:numPr>
          <w:ilvl w:val="0"/>
          <w:numId w:val="5"/>
        </w:numPr>
        <w:overflowPunct w:val="0"/>
        <w:autoSpaceDE w:val="0"/>
        <w:autoSpaceDN w:val="0"/>
        <w:adjustRightInd w:val="0"/>
        <w:spacing w:after="180" w:line="240" w:lineRule="auto"/>
        <w:contextualSpacing/>
        <w:textAlignment w:val="baseline"/>
      </w:pPr>
      <w:r>
        <w:t xml:space="preserve">R4-2008625, </w:t>
      </w:r>
      <w:bookmarkStart w:id="5" w:name="_Hlk115091377"/>
      <w:r>
        <w:t>CR on DL interruption Tx switching between two uplink carriers</w:t>
      </w:r>
      <w:bookmarkEnd w:id="5"/>
      <w:r>
        <w:t>, CR, Huawei</w:t>
      </w:r>
    </w:p>
    <w:p w14:paraId="4F636971" w14:textId="4BCD047C" w:rsidR="008E31AF" w:rsidRDefault="008E31AF" w:rsidP="00CB0749">
      <w:pPr>
        <w:pStyle w:val="ListParagraph"/>
        <w:numPr>
          <w:ilvl w:val="0"/>
          <w:numId w:val="5"/>
        </w:numPr>
        <w:overflowPunct w:val="0"/>
        <w:autoSpaceDE w:val="0"/>
        <w:autoSpaceDN w:val="0"/>
        <w:adjustRightInd w:val="0"/>
        <w:spacing w:after="180" w:line="240" w:lineRule="auto"/>
        <w:contextualSpacing/>
        <w:textAlignment w:val="baseline"/>
      </w:pPr>
      <w:r>
        <w:t>R4-20115488, Correction</w:t>
      </w:r>
      <w:r w:rsidRPr="008E31AF">
        <w:t xml:space="preserve"> on DL interruption Tx switching between two uplink carriers</w:t>
      </w:r>
      <w:r>
        <w:t>, CR, Huawei</w:t>
      </w:r>
    </w:p>
    <w:p w14:paraId="2AC15110" w14:textId="08409E7D" w:rsidR="00D47C17" w:rsidRDefault="00D47C17" w:rsidP="00CB0749">
      <w:pPr>
        <w:pStyle w:val="ListParagraph"/>
        <w:numPr>
          <w:ilvl w:val="0"/>
          <w:numId w:val="5"/>
        </w:numPr>
        <w:overflowPunct w:val="0"/>
        <w:autoSpaceDE w:val="0"/>
        <w:autoSpaceDN w:val="0"/>
        <w:adjustRightInd w:val="0"/>
        <w:spacing w:after="180" w:line="240" w:lineRule="auto"/>
        <w:contextualSpacing/>
        <w:textAlignment w:val="baseline"/>
      </w:pPr>
      <w:r>
        <w:t>R4-2212789, On uplink TX switching across two or more bands, Ericsson</w:t>
      </w:r>
    </w:p>
    <w:p w14:paraId="32FC54DF" w14:textId="289FA51C" w:rsidR="0083684A" w:rsidRDefault="0083684A" w:rsidP="00CB0749">
      <w:pPr>
        <w:pStyle w:val="ListParagraph"/>
        <w:numPr>
          <w:ilvl w:val="0"/>
          <w:numId w:val="5"/>
        </w:numPr>
        <w:overflowPunct w:val="0"/>
        <w:autoSpaceDE w:val="0"/>
        <w:autoSpaceDN w:val="0"/>
        <w:adjustRightInd w:val="0"/>
        <w:spacing w:after="180" w:line="240" w:lineRule="auto"/>
        <w:contextualSpacing/>
        <w:textAlignment w:val="baseline"/>
      </w:pPr>
      <w:r>
        <w:t>R4-</w:t>
      </w:r>
      <w:r w:rsidR="00D47C17">
        <w:t>2204604, Extending the deployments scenarios for UE TX switching: completing the RAN4 specification for non-colocation.</w:t>
      </w:r>
    </w:p>
    <w:p w14:paraId="0F8DF320" w14:textId="2C2C6E17" w:rsidR="00DC5558" w:rsidRDefault="00DC5558" w:rsidP="00CB0749">
      <w:pPr>
        <w:pStyle w:val="ListParagraph"/>
        <w:numPr>
          <w:ilvl w:val="0"/>
          <w:numId w:val="5"/>
        </w:numPr>
        <w:overflowPunct w:val="0"/>
        <w:autoSpaceDE w:val="0"/>
        <w:autoSpaceDN w:val="0"/>
        <w:adjustRightInd w:val="0"/>
        <w:spacing w:after="180" w:line="240" w:lineRule="auto"/>
        <w:contextualSpacing/>
        <w:textAlignment w:val="baseline"/>
      </w:pPr>
      <w:r>
        <w:rPr>
          <w:rFonts w:eastAsia="DengXian"/>
          <w:lang w:val="en-US" w:eastAsia="zh-CN"/>
        </w:rPr>
        <w:t>R4-2008623, “</w:t>
      </w:r>
      <w:r w:rsidRPr="00BF0F9E">
        <w:rPr>
          <w:rFonts w:eastAsia="DengXian"/>
          <w:lang w:val="en-US" w:eastAsia="zh-CN"/>
        </w:rPr>
        <w:t>WF on RRM requirements for Tx switching between two uplink carriers</w:t>
      </w:r>
      <w:r>
        <w:rPr>
          <w:rFonts w:eastAsia="DengXian"/>
          <w:lang w:val="en-US" w:eastAsia="zh-CN"/>
        </w:rPr>
        <w:t>”, Huawei, HiSilicon</w:t>
      </w:r>
    </w:p>
    <w:bookmarkEnd w:id="3"/>
    <w:bookmarkEnd w:id="4"/>
    <w:p w14:paraId="406C1D4A" w14:textId="4D30561A" w:rsidR="003D429A" w:rsidRPr="003D429A" w:rsidRDefault="003D429A" w:rsidP="00BE7F49">
      <w:pPr>
        <w:spacing w:after="0"/>
        <w:rPr>
          <w:lang w:val="en-US"/>
        </w:rPr>
      </w:pPr>
    </w:p>
    <w:sectPr w:rsidR="003D429A" w:rsidRPr="003D429A">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077EC7"/>
    <w:multiLevelType w:val="hybridMultilevel"/>
    <w:tmpl w:val="D5DE1E32"/>
    <w:lvl w:ilvl="0" w:tplc="E55EE38A">
      <w:start w:val="1"/>
      <w:numFmt w:val="bullet"/>
      <w:lvlText w:val="•"/>
      <w:lvlJc w:val="left"/>
      <w:pPr>
        <w:tabs>
          <w:tab w:val="num" w:pos="720"/>
        </w:tabs>
        <w:ind w:left="720" w:hanging="360"/>
      </w:pPr>
      <w:rPr>
        <w:rFonts w:ascii="Arial" w:hAnsi="Arial" w:hint="default"/>
      </w:rPr>
    </w:lvl>
    <w:lvl w:ilvl="1" w:tplc="E6C22E44" w:tentative="1">
      <w:start w:val="1"/>
      <w:numFmt w:val="bullet"/>
      <w:lvlText w:val="•"/>
      <w:lvlJc w:val="left"/>
      <w:pPr>
        <w:tabs>
          <w:tab w:val="num" w:pos="1440"/>
        </w:tabs>
        <w:ind w:left="1440" w:hanging="360"/>
      </w:pPr>
      <w:rPr>
        <w:rFonts w:ascii="Arial" w:hAnsi="Arial" w:hint="default"/>
      </w:rPr>
    </w:lvl>
    <w:lvl w:ilvl="2" w:tplc="7070E170" w:tentative="1">
      <w:start w:val="1"/>
      <w:numFmt w:val="bullet"/>
      <w:lvlText w:val="•"/>
      <w:lvlJc w:val="left"/>
      <w:pPr>
        <w:tabs>
          <w:tab w:val="num" w:pos="2160"/>
        </w:tabs>
        <w:ind w:left="2160" w:hanging="360"/>
      </w:pPr>
      <w:rPr>
        <w:rFonts w:ascii="Arial" w:hAnsi="Arial" w:hint="default"/>
      </w:rPr>
    </w:lvl>
    <w:lvl w:ilvl="3" w:tplc="3DB6D9F6" w:tentative="1">
      <w:start w:val="1"/>
      <w:numFmt w:val="bullet"/>
      <w:lvlText w:val="•"/>
      <w:lvlJc w:val="left"/>
      <w:pPr>
        <w:tabs>
          <w:tab w:val="num" w:pos="2880"/>
        </w:tabs>
        <w:ind w:left="2880" w:hanging="360"/>
      </w:pPr>
      <w:rPr>
        <w:rFonts w:ascii="Arial" w:hAnsi="Arial" w:hint="default"/>
      </w:rPr>
    </w:lvl>
    <w:lvl w:ilvl="4" w:tplc="2B8E759E" w:tentative="1">
      <w:start w:val="1"/>
      <w:numFmt w:val="bullet"/>
      <w:lvlText w:val="•"/>
      <w:lvlJc w:val="left"/>
      <w:pPr>
        <w:tabs>
          <w:tab w:val="num" w:pos="3600"/>
        </w:tabs>
        <w:ind w:left="3600" w:hanging="360"/>
      </w:pPr>
      <w:rPr>
        <w:rFonts w:ascii="Arial" w:hAnsi="Arial" w:hint="default"/>
      </w:rPr>
    </w:lvl>
    <w:lvl w:ilvl="5" w:tplc="CD40A660" w:tentative="1">
      <w:start w:val="1"/>
      <w:numFmt w:val="bullet"/>
      <w:lvlText w:val="•"/>
      <w:lvlJc w:val="left"/>
      <w:pPr>
        <w:tabs>
          <w:tab w:val="num" w:pos="4320"/>
        </w:tabs>
        <w:ind w:left="4320" w:hanging="360"/>
      </w:pPr>
      <w:rPr>
        <w:rFonts w:ascii="Arial" w:hAnsi="Arial" w:hint="default"/>
      </w:rPr>
    </w:lvl>
    <w:lvl w:ilvl="6" w:tplc="2E84DDDE" w:tentative="1">
      <w:start w:val="1"/>
      <w:numFmt w:val="bullet"/>
      <w:lvlText w:val="•"/>
      <w:lvlJc w:val="left"/>
      <w:pPr>
        <w:tabs>
          <w:tab w:val="num" w:pos="5040"/>
        </w:tabs>
        <w:ind w:left="5040" w:hanging="360"/>
      </w:pPr>
      <w:rPr>
        <w:rFonts w:ascii="Arial" w:hAnsi="Arial" w:hint="default"/>
      </w:rPr>
    </w:lvl>
    <w:lvl w:ilvl="7" w:tplc="18C23440" w:tentative="1">
      <w:start w:val="1"/>
      <w:numFmt w:val="bullet"/>
      <w:lvlText w:val="•"/>
      <w:lvlJc w:val="left"/>
      <w:pPr>
        <w:tabs>
          <w:tab w:val="num" w:pos="5760"/>
        </w:tabs>
        <w:ind w:left="5760" w:hanging="360"/>
      </w:pPr>
      <w:rPr>
        <w:rFonts w:ascii="Arial" w:hAnsi="Arial" w:hint="default"/>
      </w:rPr>
    </w:lvl>
    <w:lvl w:ilvl="8" w:tplc="FFACF5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586649"/>
    <w:multiLevelType w:val="hybridMultilevel"/>
    <w:tmpl w:val="A33EF24C"/>
    <w:lvl w:ilvl="0" w:tplc="127EAF60">
      <w:start w:val="1"/>
      <w:numFmt w:val="bullet"/>
      <w:lvlText w:val="•"/>
      <w:lvlJc w:val="left"/>
      <w:pPr>
        <w:tabs>
          <w:tab w:val="num" w:pos="720"/>
        </w:tabs>
        <w:ind w:left="720" w:hanging="360"/>
      </w:pPr>
      <w:rPr>
        <w:rFonts w:ascii="Arial" w:hAnsi="Arial" w:hint="default"/>
      </w:rPr>
    </w:lvl>
    <w:lvl w:ilvl="1" w:tplc="AA1EB0F0" w:tentative="1">
      <w:start w:val="1"/>
      <w:numFmt w:val="bullet"/>
      <w:lvlText w:val="•"/>
      <w:lvlJc w:val="left"/>
      <w:pPr>
        <w:tabs>
          <w:tab w:val="num" w:pos="1440"/>
        </w:tabs>
        <w:ind w:left="1440" w:hanging="360"/>
      </w:pPr>
      <w:rPr>
        <w:rFonts w:ascii="Arial" w:hAnsi="Arial" w:hint="default"/>
      </w:rPr>
    </w:lvl>
    <w:lvl w:ilvl="2" w:tplc="91700D1E" w:tentative="1">
      <w:start w:val="1"/>
      <w:numFmt w:val="bullet"/>
      <w:lvlText w:val="•"/>
      <w:lvlJc w:val="left"/>
      <w:pPr>
        <w:tabs>
          <w:tab w:val="num" w:pos="2160"/>
        </w:tabs>
        <w:ind w:left="2160" w:hanging="360"/>
      </w:pPr>
      <w:rPr>
        <w:rFonts w:ascii="Arial" w:hAnsi="Arial" w:hint="default"/>
      </w:rPr>
    </w:lvl>
    <w:lvl w:ilvl="3" w:tplc="B508A216" w:tentative="1">
      <w:start w:val="1"/>
      <w:numFmt w:val="bullet"/>
      <w:lvlText w:val="•"/>
      <w:lvlJc w:val="left"/>
      <w:pPr>
        <w:tabs>
          <w:tab w:val="num" w:pos="2880"/>
        </w:tabs>
        <w:ind w:left="2880" w:hanging="360"/>
      </w:pPr>
      <w:rPr>
        <w:rFonts w:ascii="Arial" w:hAnsi="Arial" w:hint="default"/>
      </w:rPr>
    </w:lvl>
    <w:lvl w:ilvl="4" w:tplc="987A2628" w:tentative="1">
      <w:start w:val="1"/>
      <w:numFmt w:val="bullet"/>
      <w:lvlText w:val="•"/>
      <w:lvlJc w:val="left"/>
      <w:pPr>
        <w:tabs>
          <w:tab w:val="num" w:pos="3600"/>
        </w:tabs>
        <w:ind w:left="3600" w:hanging="360"/>
      </w:pPr>
      <w:rPr>
        <w:rFonts w:ascii="Arial" w:hAnsi="Arial" w:hint="default"/>
      </w:rPr>
    </w:lvl>
    <w:lvl w:ilvl="5" w:tplc="16505660" w:tentative="1">
      <w:start w:val="1"/>
      <w:numFmt w:val="bullet"/>
      <w:lvlText w:val="•"/>
      <w:lvlJc w:val="left"/>
      <w:pPr>
        <w:tabs>
          <w:tab w:val="num" w:pos="4320"/>
        </w:tabs>
        <w:ind w:left="4320" w:hanging="360"/>
      </w:pPr>
      <w:rPr>
        <w:rFonts w:ascii="Arial" w:hAnsi="Arial" w:hint="default"/>
      </w:rPr>
    </w:lvl>
    <w:lvl w:ilvl="6" w:tplc="2CC878C4" w:tentative="1">
      <w:start w:val="1"/>
      <w:numFmt w:val="bullet"/>
      <w:lvlText w:val="•"/>
      <w:lvlJc w:val="left"/>
      <w:pPr>
        <w:tabs>
          <w:tab w:val="num" w:pos="5040"/>
        </w:tabs>
        <w:ind w:left="5040" w:hanging="360"/>
      </w:pPr>
      <w:rPr>
        <w:rFonts w:ascii="Arial" w:hAnsi="Arial" w:hint="default"/>
      </w:rPr>
    </w:lvl>
    <w:lvl w:ilvl="7" w:tplc="83B88E68" w:tentative="1">
      <w:start w:val="1"/>
      <w:numFmt w:val="bullet"/>
      <w:lvlText w:val="•"/>
      <w:lvlJc w:val="left"/>
      <w:pPr>
        <w:tabs>
          <w:tab w:val="num" w:pos="5760"/>
        </w:tabs>
        <w:ind w:left="5760" w:hanging="360"/>
      </w:pPr>
      <w:rPr>
        <w:rFonts w:ascii="Arial" w:hAnsi="Arial" w:hint="default"/>
      </w:rPr>
    </w:lvl>
    <w:lvl w:ilvl="8" w:tplc="AB6848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83C"/>
    <w:rsid w:val="00032267"/>
    <w:rsid w:val="00033397"/>
    <w:rsid w:val="00040095"/>
    <w:rsid w:val="000455F6"/>
    <w:rsid w:val="00051834"/>
    <w:rsid w:val="00054A22"/>
    <w:rsid w:val="00056A26"/>
    <w:rsid w:val="00062023"/>
    <w:rsid w:val="000655A6"/>
    <w:rsid w:val="00080512"/>
    <w:rsid w:val="00084876"/>
    <w:rsid w:val="000C47C3"/>
    <w:rsid w:val="000D58AB"/>
    <w:rsid w:val="00133525"/>
    <w:rsid w:val="00176215"/>
    <w:rsid w:val="00195042"/>
    <w:rsid w:val="001A4C42"/>
    <w:rsid w:val="001A7420"/>
    <w:rsid w:val="001B6637"/>
    <w:rsid w:val="001C1D70"/>
    <w:rsid w:val="001C21C3"/>
    <w:rsid w:val="001D02C2"/>
    <w:rsid w:val="001F0C1D"/>
    <w:rsid w:val="001F1132"/>
    <w:rsid w:val="001F168B"/>
    <w:rsid w:val="002347A2"/>
    <w:rsid w:val="002675F0"/>
    <w:rsid w:val="002840A1"/>
    <w:rsid w:val="002B6339"/>
    <w:rsid w:val="002C2A19"/>
    <w:rsid w:val="002E00EE"/>
    <w:rsid w:val="003172DC"/>
    <w:rsid w:val="0033338C"/>
    <w:rsid w:val="00345AFC"/>
    <w:rsid w:val="0035462D"/>
    <w:rsid w:val="003765B8"/>
    <w:rsid w:val="00384CDA"/>
    <w:rsid w:val="003A71A1"/>
    <w:rsid w:val="003C3971"/>
    <w:rsid w:val="003D429A"/>
    <w:rsid w:val="00423334"/>
    <w:rsid w:val="004345EC"/>
    <w:rsid w:val="0044364B"/>
    <w:rsid w:val="004651C0"/>
    <w:rsid w:val="00465515"/>
    <w:rsid w:val="00467A83"/>
    <w:rsid w:val="004D3578"/>
    <w:rsid w:val="004E213A"/>
    <w:rsid w:val="004F0988"/>
    <w:rsid w:val="004F3340"/>
    <w:rsid w:val="005177FB"/>
    <w:rsid w:val="005313BD"/>
    <w:rsid w:val="0053388B"/>
    <w:rsid w:val="00535773"/>
    <w:rsid w:val="00543E6C"/>
    <w:rsid w:val="00546D44"/>
    <w:rsid w:val="00552D08"/>
    <w:rsid w:val="0056254B"/>
    <w:rsid w:val="00565087"/>
    <w:rsid w:val="0057305F"/>
    <w:rsid w:val="00586E2E"/>
    <w:rsid w:val="00597B11"/>
    <w:rsid w:val="005A7ED2"/>
    <w:rsid w:val="005B0B82"/>
    <w:rsid w:val="005B2226"/>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7F3181"/>
    <w:rsid w:val="008028A4"/>
    <w:rsid w:val="00830747"/>
    <w:rsid w:val="0083684A"/>
    <w:rsid w:val="008768CA"/>
    <w:rsid w:val="008830ED"/>
    <w:rsid w:val="00885367"/>
    <w:rsid w:val="008A6463"/>
    <w:rsid w:val="008C384C"/>
    <w:rsid w:val="008E31AF"/>
    <w:rsid w:val="0090271F"/>
    <w:rsid w:val="00902E23"/>
    <w:rsid w:val="009114D7"/>
    <w:rsid w:val="0091348E"/>
    <w:rsid w:val="00917CCB"/>
    <w:rsid w:val="00942EC2"/>
    <w:rsid w:val="00973023"/>
    <w:rsid w:val="00985F99"/>
    <w:rsid w:val="009C3E5A"/>
    <w:rsid w:val="009F37B7"/>
    <w:rsid w:val="00A019D1"/>
    <w:rsid w:val="00A10F02"/>
    <w:rsid w:val="00A164B4"/>
    <w:rsid w:val="00A266E4"/>
    <w:rsid w:val="00A26956"/>
    <w:rsid w:val="00A27486"/>
    <w:rsid w:val="00A42CB5"/>
    <w:rsid w:val="00A53724"/>
    <w:rsid w:val="00A56066"/>
    <w:rsid w:val="00A73129"/>
    <w:rsid w:val="00A82346"/>
    <w:rsid w:val="00A92865"/>
    <w:rsid w:val="00A92BA1"/>
    <w:rsid w:val="00AC6BC6"/>
    <w:rsid w:val="00AE65E2"/>
    <w:rsid w:val="00AF4E00"/>
    <w:rsid w:val="00B072EF"/>
    <w:rsid w:val="00B15449"/>
    <w:rsid w:val="00B66DD7"/>
    <w:rsid w:val="00B93086"/>
    <w:rsid w:val="00B93FB3"/>
    <w:rsid w:val="00BA19ED"/>
    <w:rsid w:val="00BA4B8D"/>
    <w:rsid w:val="00BC0F7D"/>
    <w:rsid w:val="00BD7D31"/>
    <w:rsid w:val="00BE3255"/>
    <w:rsid w:val="00BE7F49"/>
    <w:rsid w:val="00BF128E"/>
    <w:rsid w:val="00C074DD"/>
    <w:rsid w:val="00C1496A"/>
    <w:rsid w:val="00C33079"/>
    <w:rsid w:val="00C41F2A"/>
    <w:rsid w:val="00C45231"/>
    <w:rsid w:val="00C72833"/>
    <w:rsid w:val="00C80F1D"/>
    <w:rsid w:val="00C93F40"/>
    <w:rsid w:val="00CA3D0C"/>
    <w:rsid w:val="00CB0749"/>
    <w:rsid w:val="00CE1305"/>
    <w:rsid w:val="00D12A57"/>
    <w:rsid w:val="00D47C17"/>
    <w:rsid w:val="00D544DE"/>
    <w:rsid w:val="00D57972"/>
    <w:rsid w:val="00D6299F"/>
    <w:rsid w:val="00D675A9"/>
    <w:rsid w:val="00D738D6"/>
    <w:rsid w:val="00D755EB"/>
    <w:rsid w:val="00D76048"/>
    <w:rsid w:val="00D87E00"/>
    <w:rsid w:val="00D9134D"/>
    <w:rsid w:val="00DA3440"/>
    <w:rsid w:val="00DA7A03"/>
    <w:rsid w:val="00DB1818"/>
    <w:rsid w:val="00DC309B"/>
    <w:rsid w:val="00DC4DA2"/>
    <w:rsid w:val="00DC5558"/>
    <w:rsid w:val="00DD4C17"/>
    <w:rsid w:val="00DD74A5"/>
    <w:rsid w:val="00DF2B1F"/>
    <w:rsid w:val="00DF62CD"/>
    <w:rsid w:val="00E10121"/>
    <w:rsid w:val="00E16509"/>
    <w:rsid w:val="00E44582"/>
    <w:rsid w:val="00E77645"/>
    <w:rsid w:val="00EA15B0"/>
    <w:rsid w:val="00EA5EA7"/>
    <w:rsid w:val="00EB2CE6"/>
    <w:rsid w:val="00EC4A25"/>
    <w:rsid w:val="00EF4D36"/>
    <w:rsid w:val="00F025A2"/>
    <w:rsid w:val="00F04712"/>
    <w:rsid w:val="00F13360"/>
    <w:rsid w:val="00F22EC7"/>
    <w:rsid w:val="00F325C8"/>
    <w:rsid w:val="00F653B8"/>
    <w:rsid w:val="00F7670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styleId="CommentReference">
    <w:name w:val="annotation reference"/>
    <w:basedOn w:val="DefaultParagraphFont"/>
    <w:rsid w:val="005313BD"/>
    <w:rPr>
      <w:sz w:val="16"/>
      <w:szCs w:val="16"/>
    </w:rPr>
  </w:style>
  <w:style w:type="paragraph" w:styleId="CommentText">
    <w:name w:val="annotation text"/>
    <w:basedOn w:val="Normal"/>
    <w:link w:val="CommentTextChar"/>
    <w:rsid w:val="005313BD"/>
  </w:style>
  <w:style w:type="character" w:customStyle="1" w:styleId="CommentTextChar">
    <w:name w:val="Comment Text Char"/>
    <w:basedOn w:val="DefaultParagraphFont"/>
    <w:link w:val="CommentText"/>
    <w:rsid w:val="005313BD"/>
    <w:rPr>
      <w:lang w:eastAsia="en-US"/>
    </w:rPr>
  </w:style>
  <w:style w:type="paragraph" w:styleId="CommentSubject">
    <w:name w:val="annotation subject"/>
    <w:basedOn w:val="CommentText"/>
    <w:next w:val="CommentText"/>
    <w:link w:val="CommentSubjectChar"/>
    <w:rsid w:val="005313BD"/>
    <w:rPr>
      <w:b/>
      <w:bCs/>
    </w:rPr>
  </w:style>
  <w:style w:type="character" w:customStyle="1" w:styleId="CommentSubjectChar">
    <w:name w:val="Comment Subject Char"/>
    <w:basedOn w:val="CommentTextChar"/>
    <w:link w:val="CommentSubject"/>
    <w:rsid w:val="005313BD"/>
    <w:rPr>
      <w:b/>
      <w:bCs/>
      <w:lang w:eastAsia="en-US"/>
    </w:rPr>
  </w:style>
  <w:style w:type="character" w:customStyle="1" w:styleId="TACChar">
    <w:name w:val="TAC Char"/>
    <w:link w:val="TAC"/>
    <w:qFormat/>
    <w:rsid w:val="004651C0"/>
    <w:rPr>
      <w:rFonts w:ascii="Arial" w:hAnsi="Arial"/>
      <w:sz w:val="18"/>
      <w:lang w:eastAsia="en-US"/>
    </w:rPr>
  </w:style>
  <w:style w:type="character" w:customStyle="1" w:styleId="TAHCar">
    <w:name w:val="TAH Car"/>
    <w:link w:val="TAH"/>
    <w:qFormat/>
    <w:rsid w:val="004651C0"/>
    <w:rPr>
      <w:rFonts w:ascii="Arial" w:hAnsi="Arial"/>
      <w:b/>
      <w:sz w:val="18"/>
      <w:lang w:eastAsia="en-US"/>
    </w:rPr>
  </w:style>
  <w:style w:type="character" w:customStyle="1" w:styleId="THChar">
    <w:name w:val="TH Char"/>
    <w:link w:val="TH"/>
    <w:qFormat/>
    <w:rsid w:val="004651C0"/>
    <w:rPr>
      <w:rFonts w:ascii="Arial" w:hAnsi="Arial"/>
      <w:b/>
      <w:lang w:eastAsia="en-US"/>
    </w:rPr>
  </w:style>
  <w:style w:type="character" w:customStyle="1" w:styleId="TANChar">
    <w:name w:val="TAN Char"/>
    <w:link w:val="TAN"/>
    <w:qFormat/>
    <w:rsid w:val="004651C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EBC48-5B35-4506-8D1D-147D78EC5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3.xml><?xml version="1.0" encoding="utf-8"?>
<ds:datastoreItem xmlns:ds="http://schemas.openxmlformats.org/officeDocument/2006/customXml" ds:itemID="{2B718E4E-BC74-4375-962C-9B1DA2B5CC70}">
  <ds:schemaRef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26B97616-48DC-415C-956B-1044001CF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1252</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27</cp:revision>
  <cp:lastPrinted>2022-09-30T08:44:00Z</cp:lastPrinted>
  <dcterms:created xsi:type="dcterms:W3CDTF">2022-09-20T15:26:00Z</dcterms:created>
  <dcterms:modified xsi:type="dcterms:W3CDTF">2022-09-30T13:16:00Z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