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3F3A2F" w:rsidRPr="001E0A28">
        <w:rPr>
          <w:rFonts w:ascii="Arial" w:eastAsiaTheme="minorEastAsia" w:hAnsi="Arial" w:cs="Arial"/>
          <w:b/>
          <w:sz w:val="24"/>
          <w:szCs w:val="24"/>
        </w:rPr>
        <w:t>XXXX</w:t>
      </w:r>
      <w:r w:rsidR="000D19DE">
        <w:rPr>
          <w:rFonts w:ascii="Arial" w:eastAsiaTheme="minorEastAsia" w:hAnsi="Arial" w:cs="Arial"/>
          <w:b/>
          <w:sz w:val="24"/>
          <w:szCs w:val="24"/>
        </w:rPr>
        <w:t>X</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游明朝" w:hAnsi="Arial" w:cs="Arial"/>
                <w:sz w:val="16"/>
                <w:szCs w:val="16"/>
                <w:lang w:eastAsia="ja-JP"/>
              </w:rPr>
            </w:pPr>
            <w:r>
              <w:rPr>
                <w:rFonts w:ascii="Arial" w:eastAsia="游明朝" w:hAnsi="Arial" w:cs="Arial"/>
                <w:sz w:val="16"/>
                <w:szCs w:val="16"/>
                <w:lang w:eastAsia="ja-JP"/>
              </w:rPr>
              <w:t>[</w:t>
            </w:r>
            <w:r w:rsidRPr="00B520BE">
              <w:rPr>
                <w:rFonts w:ascii="Arial" w:eastAsia="游明朝" w:hAnsi="Arial" w:cs="Arial" w:hint="eastAsia"/>
                <w:sz w:val="16"/>
                <w:szCs w:val="16"/>
                <w:lang w:eastAsia="ja-JP"/>
              </w:rPr>
              <w:t>1</w:t>
            </w:r>
            <w:r>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[6</w:t>
            </w:r>
            <w:r w:rsidR="00E67295">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[7</w:t>
            </w:r>
            <w:r w:rsidR="00E67295">
              <w:rPr>
                <w:rFonts w:ascii="Arial" w:eastAsia="游明朝"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游明朝"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7777777" w:rsidR="00E11095" w:rsidRDefault="00E11095" w:rsidP="005D6868">
            <w:pPr>
              <w:spacing w:before="120" w:after="120"/>
              <w:rPr>
                <w:rFonts w:eastAsiaTheme="minorEastAsia"/>
                <w:color w:val="0070C0"/>
              </w:rPr>
            </w:pPr>
          </w:p>
        </w:tc>
        <w:tc>
          <w:tcPr>
            <w:tcW w:w="3210" w:type="dxa"/>
          </w:tcPr>
          <w:p w14:paraId="791604BB" w14:textId="77777777" w:rsidR="00E11095" w:rsidRDefault="00E11095" w:rsidP="005D6868">
            <w:pPr>
              <w:spacing w:before="120" w:after="120"/>
              <w:rPr>
                <w:rFonts w:eastAsiaTheme="minorEastAsia"/>
                <w:color w:val="0070C0"/>
              </w:rPr>
            </w:pPr>
          </w:p>
        </w:tc>
        <w:tc>
          <w:tcPr>
            <w:tcW w:w="3211" w:type="dxa"/>
          </w:tcPr>
          <w:p w14:paraId="5CC072DE" w14:textId="77777777" w:rsidR="00E11095" w:rsidRDefault="00E11095" w:rsidP="005D6868">
            <w:pPr>
              <w:spacing w:before="120" w:after="120"/>
              <w:rPr>
                <w:rFonts w:eastAsiaTheme="minorEastAsia"/>
                <w:color w:val="0070C0"/>
              </w:rPr>
            </w:pPr>
          </w:p>
        </w:tc>
      </w:tr>
    </w:tbl>
    <w:p w14:paraId="2F146D2B" w14:textId="77777777"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bookmarkStart w:id="0" w:name="_GoBack"/>
      <w:bookmarkEnd w:id="0"/>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271456">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271456">
            <w:pPr>
              <w:spacing w:before="120" w:after="120"/>
            </w:pPr>
            <w:r w:rsidRPr="00C10E79">
              <w:rPr>
                <w:rFonts w:hint="eastAsia"/>
              </w:rPr>
              <w:t>v</w:t>
            </w:r>
            <w:r w:rsidRPr="00C10E79">
              <w:t>ivo</w:t>
            </w:r>
          </w:p>
        </w:tc>
        <w:tc>
          <w:tcPr>
            <w:tcW w:w="6585" w:type="dxa"/>
          </w:tcPr>
          <w:p w14:paraId="406E7BF9" w14:textId="77777777" w:rsidR="00C10E79" w:rsidRPr="00663C9D" w:rsidRDefault="00C10E79" w:rsidP="00271456">
            <w:pPr>
              <w:spacing w:before="120" w:after="120"/>
              <w:rPr>
                <w:rFonts w:eastAsia="等线"/>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等线"/>
              </w:rPr>
              <w:t xml:space="preserve"> The Uu and PC5 band combinations studied in SI </w:t>
            </w:r>
            <w:bookmarkStart w:id="1" w:name="_Hlk110781286"/>
            <w:r w:rsidRPr="00663C9D">
              <w:rPr>
                <w:rFonts w:eastAsia="等线"/>
              </w:rPr>
              <w:t xml:space="preserve">FS_SimBCs </w:t>
            </w:r>
            <w:bookmarkEnd w:id="1"/>
            <w:r w:rsidRPr="00663C9D">
              <w:rPr>
                <w:rFonts w:eastAsia="等线"/>
              </w:rPr>
              <w:t>should be restricted as follows:</w:t>
            </w:r>
          </w:p>
          <w:p w14:paraId="6996E86E" w14:textId="77777777" w:rsidR="00C10E79" w:rsidRPr="00663C9D" w:rsidRDefault="00C10E79" w:rsidP="00271456">
            <w:pPr>
              <w:pStyle w:val="afe"/>
              <w:numPr>
                <w:ilvl w:val="0"/>
                <w:numId w:val="26"/>
              </w:numPr>
              <w:spacing w:before="120" w:after="120"/>
              <w:ind w:firstLineChars="0"/>
              <w:contextualSpacing/>
              <w:jc w:val="both"/>
              <w:rPr>
                <w:rFonts w:eastAsia="等线"/>
                <w:i/>
                <w:lang w:eastAsia="zh-CN"/>
              </w:rPr>
            </w:pPr>
            <w:r w:rsidRPr="00663C9D">
              <w:rPr>
                <w:rFonts w:eastAsia="等线"/>
                <w:i/>
                <w:lang w:eastAsia="zh-CN"/>
              </w:rPr>
              <w:t>Inter-band con-current V2X operating bands (TS 38.101-1&amp;3)</w:t>
            </w:r>
          </w:p>
          <w:p w14:paraId="5D5FB028" w14:textId="77777777" w:rsidR="00C10E79" w:rsidRPr="00663C9D" w:rsidRDefault="00C10E79" w:rsidP="00271456">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t>NR Uu+NR PC5 (TS 38.101-1)</w:t>
            </w:r>
          </w:p>
          <w:p w14:paraId="3AF5D376" w14:textId="77777777" w:rsidR="00C10E79" w:rsidRPr="00663C9D" w:rsidRDefault="00C10E79" w:rsidP="00271456">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lastRenderedPageBreak/>
              <w:t>LTE Uu+NR PC5(TS 38.101-3)</w:t>
            </w:r>
          </w:p>
          <w:p w14:paraId="03BE230C" w14:textId="77777777" w:rsidR="00C10E79" w:rsidRPr="00663C9D" w:rsidRDefault="00C10E79" w:rsidP="00271456">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t>NR Uu+LTE PC5(TS 38.101-3)</w:t>
            </w:r>
          </w:p>
          <w:p w14:paraId="30533A48" w14:textId="77777777" w:rsidR="00C10E79" w:rsidRPr="00663C9D" w:rsidRDefault="00C10E79" w:rsidP="00271456">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等线"/>
                <w:i/>
                <w:lang w:eastAsia="zh-CN"/>
              </w:rPr>
              <w:t xml:space="preserve">Intra-band con-current V2X operating bands </w:t>
            </w:r>
            <w:r w:rsidRPr="00663C9D">
              <w:rPr>
                <w:rFonts w:eastAsia="等线" w:hint="eastAsia"/>
                <w:i/>
                <w:lang w:eastAsia="zh-CN"/>
              </w:rPr>
              <w:t>（</w:t>
            </w:r>
            <w:r w:rsidRPr="00663C9D">
              <w:rPr>
                <w:rFonts w:eastAsia="等线" w:hint="eastAsia"/>
                <w:i/>
                <w:lang w:eastAsia="zh-CN"/>
              </w:rPr>
              <w:t>TS</w:t>
            </w:r>
            <w:r w:rsidRPr="00663C9D">
              <w:rPr>
                <w:rFonts w:eastAsia="等线"/>
                <w:i/>
                <w:lang w:eastAsia="zh-CN"/>
              </w:rPr>
              <w:t xml:space="preserve"> 38.101-1</w:t>
            </w:r>
            <w:r w:rsidRPr="00663C9D">
              <w:rPr>
                <w:rFonts w:eastAsia="等线"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topic</w:t>
      </w:r>
      <w:r>
        <w:rPr>
          <w:sz w:val="24"/>
          <w:szCs w:val="16"/>
        </w:rPr>
        <w:t xml:space="preserve"> 1-3</w:t>
      </w:r>
      <w:r>
        <w:rPr>
          <w:sz w:val="24"/>
          <w:szCs w:val="16"/>
        </w:rPr>
        <w:t xml:space="preserve">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Inter-band con-current V2X operating bands (TS 38.101-1&amp;3)</w:t>
      </w:r>
    </w:p>
    <w:p w14:paraId="0D0D7211"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NR Uu+NR PC5 (TS 38.101-1)</w:t>
      </w:r>
    </w:p>
    <w:p w14:paraId="57DDA920"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LTE Uu+NR PC5(TS 38.101-3)</w:t>
      </w:r>
    </w:p>
    <w:p w14:paraId="6DAE1E3E"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Intra-band con-current V2X operating bands </w:t>
      </w:r>
      <w:r w:rsidRPr="000438CA">
        <w:rPr>
          <w:rFonts w:eastAsia="等线" w:hint="eastAsia"/>
          <w:b/>
          <w:i/>
          <w:color w:val="4472C4" w:themeColor="accent1"/>
          <w:lang w:eastAsia="zh-CN"/>
        </w:rPr>
        <w:t>（</w:t>
      </w:r>
      <w:r w:rsidRPr="000438CA">
        <w:rPr>
          <w:rFonts w:eastAsia="等线" w:hint="eastAsia"/>
          <w:b/>
          <w:i/>
          <w:color w:val="4472C4" w:themeColor="accent1"/>
          <w:lang w:eastAsia="zh-CN"/>
        </w:rPr>
        <w:t>TS</w:t>
      </w:r>
      <w:r w:rsidRPr="000438CA">
        <w:rPr>
          <w:rFonts w:eastAsia="等线"/>
          <w:b/>
          <w:i/>
          <w:color w:val="4472C4" w:themeColor="accent1"/>
          <w:lang w:eastAsia="zh-CN"/>
        </w:rPr>
        <w:t xml:space="preserve"> 38.101-1</w:t>
      </w:r>
      <w:r w:rsidRPr="000438CA">
        <w:rPr>
          <w:rFonts w:eastAsia="等线"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hint="eastAsia"/>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Pr>
          <w:bCs/>
          <w:color w:val="0070C0"/>
          <w:u w:val="single"/>
          <w:lang w:eastAsia="ko-KR"/>
        </w:rPr>
        <w:t>:</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238"/>
        <w:gridCol w:w="8393"/>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r w:rsidRPr="002255A5">
              <w:rPr>
                <w:color w:val="0070C0"/>
                <w:sz w:val="18"/>
                <w:szCs w:val="18"/>
                <w:u w:val="single"/>
                <w:lang w:eastAsia="ko-KR"/>
              </w:rPr>
              <w:t>?</w:t>
            </w:r>
          </w:p>
        </w:tc>
      </w:tr>
      <w:tr w:rsidR="00FC213A" w14:paraId="4EBCEC90" w14:textId="77777777" w:rsidTr="00FC213A">
        <w:tc>
          <w:tcPr>
            <w:tcW w:w="1238" w:type="dxa"/>
          </w:tcPr>
          <w:p w14:paraId="5714DA18" w14:textId="445D41E1" w:rsidR="00FC213A" w:rsidRDefault="00FC213A" w:rsidP="00690150">
            <w:pPr>
              <w:spacing w:before="120" w:after="120"/>
              <w:rPr>
                <w:rFonts w:eastAsiaTheme="minorEastAsia"/>
                <w:color w:val="0070C0"/>
              </w:rPr>
            </w:pPr>
            <w:r>
              <w:rPr>
                <w:rFonts w:eastAsiaTheme="minorEastAsia" w:hint="eastAsia"/>
                <w:color w:val="0070C0"/>
              </w:rPr>
              <w:t>X</w:t>
            </w:r>
            <w:r>
              <w:rPr>
                <w:rFonts w:eastAsiaTheme="minorEastAsia"/>
                <w:color w:val="0070C0"/>
              </w:rPr>
              <w:t>XX</w:t>
            </w:r>
          </w:p>
        </w:tc>
        <w:tc>
          <w:tcPr>
            <w:tcW w:w="8393" w:type="dxa"/>
          </w:tcPr>
          <w:p w14:paraId="55FFBB2F" w14:textId="77777777" w:rsidR="00FC213A" w:rsidRPr="00A2145F" w:rsidRDefault="00FC213A" w:rsidP="00690150">
            <w:pPr>
              <w:spacing w:before="120" w:after="120"/>
              <w:rPr>
                <w:color w:val="0070C0"/>
                <w:u w:val="single"/>
                <w:lang w:eastAsia="ko-KR"/>
              </w:rPr>
            </w:pPr>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lastRenderedPageBreak/>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237"/>
        <w:gridCol w:w="8394"/>
      </w:tblGrid>
      <w:tr w:rsidR="00F115F5" w14:paraId="0AE28A69" w14:textId="77777777" w:rsidTr="00FC213A">
        <w:tc>
          <w:tcPr>
            <w:tcW w:w="1237"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394"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690150">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FC213A">
        <w:tc>
          <w:tcPr>
            <w:tcW w:w="1237" w:type="dxa"/>
          </w:tcPr>
          <w:p w14:paraId="105B1D9A" w14:textId="767732C6" w:rsidR="00FC213A" w:rsidRDefault="00FC213A" w:rsidP="005D6868">
            <w:pPr>
              <w:spacing w:before="120" w:after="120"/>
              <w:rPr>
                <w:rFonts w:eastAsiaTheme="minorEastAsia"/>
                <w:color w:val="0070C0"/>
              </w:rPr>
            </w:pPr>
            <w:r>
              <w:rPr>
                <w:rFonts w:eastAsiaTheme="minorEastAsia" w:hint="eastAsia"/>
                <w:color w:val="0070C0"/>
              </w:rPr>
              <w:t>X</w:t>
            </w:r>
            <w:r>
              <w:rPr>
                <w:rFonts w:eastAsiaTheme="minorEastAsia"/>
                <w:color w:val="0070C0"/>
              </w:rPr>
              <w:t>XX</w:t>
            </w:r>
          </w:p>
        </w:tc>
        <w:tc>
          <w:tcPr>
            <w:tcW w:w="8394" w:type="dxa"/>
          </w:tcPr>
          <w:p w14:paraId="128B5FA2" w14:textId="77777777" w:rsidR="00FC213A" w:rsidRPr="00FC213A" w:rsidRDefault="00FC213A" w:rsidP="005D6868">
            <w:pPr>
              <w:spacing w:before="120" w:after="120"/>
              <w:rPr>
                <w:color w:val="0070C0"/>
                <w:u w:val="single"/>
                <w:lang w:eastAsia="ko-KR"/>
              </w:rPr>
            </w:pPr>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77777777" w:rsidR="00DD19DE" w:rsidRPr="003418CB" w:rsidRDefault="00DD19DE" w:rsidP="005D6868">
            <w:pPr>
              <w:spacing w:before="120" w:after="120"/>
              <w:rPr>
                <w:rFonts w:eastAsiaTheme="minorEastAsia"/>
                <w:color w:val="0070C0"/>
              </w:rPr>
            </w:pPr>
            <w:r>
              <w:rPr>
                <w:rFonts w:eastAsiaTheme="minorEastAsia" w:hint="eastAsia"/>
                <w:color w:val="0070C0"/>
              </w:rPr>
              <w:t>Company A</w:t>
            </w:r>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77777777" w:rsidR="00DD19DE" w:rsidRDefault="00DD19DE" w:rsidP="005D6868">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lastRenderedPageBreak/>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nA=&gt; band nB, band A=&gt; band nB, band nA=&gt; band B, band nC=&gt; band nB, band nC=&gt; band B have the same mechanism on UE in-device interference due to harmonic/harmonic mixing or cross band </w:t>
            </w:r>
            <w:r w:rsidRPr="00EE21CF">
              <w:rPr>
                <w:rFonts w:eastAsiaTheme="minorEastAsia"/>
              </w:rPr>
              <w:lastRenderedPageBreak/>
              <w:t>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 xml:space="preserve">IMD2 and IMD3 power level under worst-case UL configuration at the antenna port would not be higher than -56 dBm/MHz </w:t>
            </w:r>
            <w:r w:rsidRPr="00925BDF">
              <w:rPr>
                <w:rFonts w:ascii="Arial" w:hAnsi="Arial" w:cs="Arial"/>
                <w:i/>
                <w:iCs/>
                <w:sz w:val="20"/>
                <w:szCs w:val="20"/>
              </w:rPr>
              <w:lastRenderedPageBreak/>
              <w:t>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w:t>
            </w:r>
            <w:r w:rsidRPr="00663C9D">
              <w:lastRenderedPageBreak/>
              <w:t>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w:t>
      </w:r>
      <w:r w:rsidR="00DF1040">
        <w:rPr>
          <w:rFonts w:eastAsia="宋体"/>
          <w:color w:val="0070C0"/>
          <w:szCs w:val="24"/>
          <w:lang w:eastAsia="zh-CN"/>
        </w:rPr>
        <w:t>(Please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w:t>
      </w:r>
      <w:r w:rsidR="00DF1040">
        <w:rPr>
          <w:rFonts w:eastAsia="宋体"/>
          <w:color w:val="0070C0"/>
          <w:szCs w:val="24"/>
          <w:lang w:eastAsia="zh-CN"/>
        </w:rPr>
        <w:t>(Please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Others </w:t>
      </w:r>
      <w:r>
        <w:rPr>
          <w:rFonts w:eastAsia="宋体"/>
          <w:color w:val="0070C0"/>
          <w:szCs w:val="24"/>
          <w:lang w:eastAsia="zh-CN"/>
        </w:rPr>
        <w:t>(Please provide further comments)</w:t>
      </w:r>
      <w:r>
        <w:rPr>
          <w:rFonts w:eastAsia="宋体"/>
          <w:color w:val="0070C0"/>
          <w:szCs w:val="24"/>
          <w:lang w:eastAsia="zh-CN"/>
        </w:rPr>
        <w:t>.</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w:t>
      </w:r>
      <w:r>
        <w:rPr>
          <w:b/>
          <w:color w:val="0070C0"/>
          <w:u w:val="single"/>
          <w:lang w:eastAsia="ko-KR"/>
        </w:rPr>
        <w:t xml:space="preserve">: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w:t>
      </w:r>
      <w:r>
        <w:rPr>
          <w:b/>
          <w:color w:val="0070C0"/>
          <w:u w:val="single"/>
          <w:lang w:eastAsia="ko-KR"/>
        </w:rPr>
        <w:t xml:space="preserve">: About MSD due to </w:t>
      </w:r>
      <w:r>
        <w:rPr>
          <w:b/>
          <w:color w:val="0070C0"/>
          <w:u w:val="single"/>
          <w:lang w:eastAsia="ko-KR"/>
        </w:rPr>
        <w:t>IMD for two bands</w:t>
      </w:r>
      <w:r>
        <w:rPr>
          <w:b/>
          <w:color w:val="0070C0"/>
          <w:u w:val="single"/>
          <w:lang w:eastAsia="ko-KR"/>
        </w:rPr>
        <w:t>.</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w:t>
      </w:r>
      <w:r>
        <w:rPr>
          <w:b/>
          <w:color w:val="0070C0"/>
          <w:u w:val="single"/>
          <w:lang w:eastAsia="ko-KR"/>
        </w:rPr>
        <w:t>: About MSD due to IMD for t</w:t>
      </w:r>
      <w:r>
        <w:rPr>
          <w:b/>
          <w:color w:val="0070C0"/>
          <w:u w:val="single"/>
          <w:lang w:eastAsia="ko-KR"/>
        </w:rPr>
        <w:t>hree</w:t>
      </w:r>
      <w:r>
        <w:rPr>
          <w:b/>
          <w:color w:val="0070C0"/>
          <w:u w:val="single"/>
          <w:lang w:eastAsia="ko-KR"/>
        </w:rPr>
        <w:t xml:space="preserv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rFonts w:hint="eastAsia"/>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Pr>
          <w:sz w:val="24"/>
          <w:szCs w:val="16"/>
        </w:rPr>
        <w:t>-3</w:t>
      </w:r>
      <w:r>
        <w:rPr>
          <w:sz w:val="24"/>
          <w:szCs w:val="16"/>
        </w:rPr>
        <w:t xml:space="preserve">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w:t>
      </w:r>
      <w:r>
        <w:rPr>
          <w:b/>
          <w:color w:val="0070C0"/>
          <w:u w:val="single"/>
          <w:lang w:eastAsia="ko-KR"/>
        </w:rPr>
        <w:t xml:space="preserve">:  Is </w:t>
      </w:r>
      <w:r>
        <w:rPr>
          <w:b/>
          <w:color w:val="0070C0"/>
          <w:u w:val="single"/>
          <w:lang w:eastAsia="ko-KR"/>
        </w:rPr>
        <w:t>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w:t>
      </w:r>
      <w:r>
        <w:rPr>
          <w:b/>
          <w:color w:val="0070C0"/>
          <w:u w:val="single"/>
          <w:lang w:eastAsia="ko-KR"/>
        </w:rPr>
        <w:t xml:space="preserve">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Pr>
          <w:sz w:val="24"/>
          <w:szCs w:val="16"/>
        </w:rPr>
        <w:t>-4</w:t>
      </w:r>
      <w:r>
        <w:rPr>
          <w:sz w:val="24"/>
          <w:szCs w:val="16"/>
        </w:rPr>
        <w:t xml:space="preserve">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w:t>
      </w:r>
      <w:r w:rsidR="007C7DFF" w:rsidRPr="007C7DFF">
        <w:rPr>
          <w:i/>
          <w:color w:val="0070C0"/>
        </w:rPr>
        <w:t xml:space="preserve"> </w:t>
      </w:r>
      <w:r w:rsidR="007C7DFF" w:rsidRPr="007C7DFF">
        <w:rPr>
          <w:i/>
          <w:color w:val="0070C0"/>
        </w:rPr>
        <w:t>companion CR to TS 38.101-1</w:t>
      </w:r>
      <w:r w:rsidR="007C7DFF" w:rsidRPr="007C7DFF">
        <w:rPr>
          <w:i/>
          <w:color w:val="0070C0"/>
        </w:rPr>
        <w:t xml:space="preserve"> and TS 38.101-3 </w:t>
      </w:r>
      <w:r w:rsidR="007C7DFF" w:rsidRPr="007C7DFF">
        <w:rPr>
          <w:i/>
          <w:color w:val="0070C0"/>
        </w:rPr>
        <w:t>has been</w:t>
      </w:r>
      <w:r w:rsidR="007C7DFF" w:rsidRPr="007C7DFF">
        <w:rPr>
          <w:i/>
          <w:color w:val="0070C0"/>
        </w:rPr>
        <w:t xml:space="preserve">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r w:rsidR="007C7DFF" w:rsidRPr="00AF5670">
        <w:rPr>
          <w:b/>
          <w:color w:val="0070C0"/>
          <w:u w:val="single"/>
          <w:lang w:eastAsia="ko-KR"/>
        </w:rPr>
        <w:t>?</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rFonts w:hint="eastAsia"/>
          <w:b/>
          <w:color w:val="0070C0"/>
          <w:u w:val="single"/>
          <w:lang w:eastAsia="ko-KR"/>
        </w:rPr>
        <w:t>:</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Pr>
          <w:sz w:val="24"/>
          <w:szCs w:val="16"/>
        </w:rPr>
        <w:t>-5</w:t>
      </w:r>
      <w:r>
        <w:rPr>
          <w:sz w:val="24"/>
          <w:szCs w:val="16"/>
        </w:rPr>
        <w:t xml:space="preserve">  </w:t>
      </w:r>
      <w:r>
        <w:rPr>
          <w:sz w:val="24"/>
          <w:szCs w:val="16"/>
        </w:rPr>
        <w:t>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3-5</w:t>
      </w:r>
      <w:r>
        <w:rPr>
          <w:b/>
          <w:color w:val="0070C0"/>
          <w:u w:val="single"/>
          <w:lang w:eastAsia="ko-KR"/>
        </w:rPr>
        <w:t xml:space="preserve">A:  Is </w:t>
      </w:r>
      <w:r>
        <w:rPr>
          <w:b/>
          <w:color w:val="0070C0"/>
          <w:u w:val="single"/>
          <w:lang w:eastAsia="ko-KR"/>
        </w:rPr>
        <w:t>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F3393B">
      <w:pPr>
        <w:pStyle w:val="afe"/>
        <w:numPr>
          <w:ilvl w:val="1"/>
          <w:numId w:val="4"/>
        </w:numPr>
        <w:overflowPunct/>
        <w:autoSpaceDE/>
        <w:autoSpaceDN/>
        <w:adjustRightInd/>
        <w:spacing w:before="120" w:after="120"/>
        <w:ind w:left="1440" w:firstLineChars="0"/>
        <w:textAlignment w:val="auto"/>
        <w:rPr>
          <w:rFonts w:hint="eastAsia"/>
          <w:color w:val="0070C0"/>
        </w:rPr>
      </w:pPr>
      <w:r w:rsidRPr="00855CB8">
        <w:rPr>
          <w:rFonts w:eastAsia="宋体"/>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w:t>
      </w:r>
      <w:r w:rsidRPr="00855CB8">
        <w:rPr>
          <w:rFonts w:hint="eastAsia"/>
          <w:bCs/>
          <w:color w:val="0070C0"/>
          <w:u w:val="single"/>
          <w:lang w:eastAsia="ko-KR"/>
        </w:rPr>
        <w:t>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w:t>
      </w:r>
      <w:r w:rsidRPr="00855CB8">
        <w:rPr>
          <w:rFonts w:hint="eastAsia"/>
          <w:bCs/>
          <w:color w:val="0070C0"/>
          <w:u w:val="single"/>
          <w:lang w:eastAsia="ko-KR"/>
        </w:rPr>
        <w:t>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w:t>
      </w:r>
      <w:r w:rsidRPr="00476E9B">
        <w:rPr>
          <w:bCs/>
          <w:i/>
          <w:color w:val="0070C0"/>
          <w:u w:val="single"/>
          <w:lang w:eastAsia="ko-KR"/>
        </w:rPr>
        <w:t>-3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w:t>
      </w:r>
      <w:r w:rsidRPr="00476E9B">
        <w:rPr>
          <w:bCs/>
          <w:i/>
          <w:color w:val="0070C0"/>
          <w:u w:val="single"/>
          <w:lang w:eastAsia="ko-KR"/>
        </w:rPr>
        <w:t>-4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w:t>
      </w:r>
      <w:r w:rsidRPr="00476E9B">
        <w:rPr>
          <w:bCs/>
          <w:i/>
          <w:color w:val="0070C0"/>
          <w:u w:val="single"/>
          <w:lang w:eastAsia="ko-KR"/>
        </w:rPr>
        <w:t>-5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lastRenderedPageBreak/>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7777777" w:rsidR="0089628E" w:rsidRDefault="0089628E" w:rsidP="00690150">
            <w:pPr>
              <w:spacing w:before="120" w:after="120"/>
              <w:rPr>
                <w:rFonts w:eastAsiaTheme="minorEastAsia"/>
                <w:color w:val="0070C0"/>
              </w:rPr>
            </w:pPr>
            <w:r>
              <w:rPr>
                <w:rFonts w:eastAsiaTheme="minorEastAsia" w:hint="eastAsia"/>
                <w:color w:val="0070C0"/>
              </w:rPr>
              <w:lastRenderedPageBreak/>
              <w:t>X</w:t>
            </w:r>
            <w:r>
              <w:rPr>
                <w:rFonts w:eastAsiaTheme="minorEastAsia"/>
                <w:color w:val="0070C0"/>
              </w:rPr>
              <w:t>XX</w:t>
            </w:r>
          </w:p>
        </w:tc>
        <w:tc>
          <w:tcPr>
            <w:tcW w:w="8394" w:type="dxa"/>
          </w:tcPr>
          <w:p w14:paraId="60587BEA" w14:textId="77777777" w:rsidR="0089628E" w:rsidRPr="00FC213A" w:rsidRDefault="0089628E" w:rsidP="00690150">
            <w:pPr>
              <w:spacing w:before="120" w:after="120"/>
              <w:rPr>
                <w:color w:val="0070C0"/>
                <w:u w:val="single"/>
                <w:lang w:eastAsia="ko-KR"/>
              </w:rPr>
            </w:pPr>
          </w:p>
        </w:tc>
      </w:tr>
    </w:tbl>
    <w:p w14:paraId="4A79B713" w14:textId="77777777" w:rsidR="0089628E"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271456">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w:t>
            </w:r>
            <w:r>
              <w:rPr>
                <w:rFonts w:eastAsiaTheme="minorEastAsia"/>
                <w:b/>
                <w:bCs/>
                <w:color w:val="0070C0"/>
              </w:rPr>
              <w:t>3</w:t>
            </w:r>
          </w:p>
        </w:tc>
        <w:tc>
          <w:tcPr>
            <w:tcW w:w="8399" w:type="dxa"/>
          </w:tcPr>
          <w:p w14:paraId="6FE5009B" w14:textId="77777777" w:rsidR="00476E9B" w:rsidRPr="00855107" w:rsidRDefault="00476E9B" w:rsidP="00271456">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271456">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271456">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271456">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w:t>
            </w:r>
            <w:r>
              <w:rPr>
                <w:rFonts w:eastAsiaTheme="minorEastAsia"/>
                <w:b/>
                <w:bCs/>
                <w:color w:val="0070C0"/>
              </w:rPr>
              <w:t>4</w:t>
            </w:r>
          </w:p>
        </w:tc>
        <w:tc>
          <w:tcPr>
            <w:tcW w:w="8399" w:type="dxa"/>
          </w:tcPr>
          <w:p w14:paraId="23A17E4E" w14:textId="77777777" w:rsidR="00476E9B" w:rsidRPr="00855107" w:rsidRDefault="00476E9B" w:rsidP="00271456">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271456">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271456">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271456">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w:t>
            </w:r>
            <w:r>
              <w:rPr>
                <w:rFonts w:eastAsiaTheme="minorEastAsia"/>
                <w:b/>
                <w:bCs/>
                <w:color w:val="0070C0"/>
              </w:rPr>
              <w:t>5</w:t>
            </w:r>
          </w:p>
        </w:tc>
        <w:tc>
          <w:tcPr>
            <w:tcW w:w="8399" w:type="dxa"/>
          </w:tcPr>
          <w:p w14:paraId="1D70ACB3" w14:textId="77777777" w:rsidR="00476E9B" w:rsidRPr="00855107" w:rsidRDefault="00476E9B" w:rsidP="00271456">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271456">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271456">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lastRenderedPageBreak/>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04E47" w14:textId="77777777" w:rsidR="00814CA3" w:rsidRDefault="00814CA3">
      <w:pPr>
        <w:spacing w:before="120" w:after="120"/>
      </w:pPr>
      <w:r>
        <w:separator/>
      </w:r>
    </w:p>
  </w:endnote>
  <w:endnote w:type="continuationSeparator" w:id="0">
    <w:p w14:paraId="697A8FDF" w14:textId="77777777" w:rsidR="00814CA3" w:rsidRDefault="00814CA3">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游明朝">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BADA" w14:textId="77777777" w:rsidR="00814CA3" w:rsidRDefault="00814CA3">
      <w:pPr>
        <w:spacing w:before="120" w:after="120"/>
      </w:pPr>
      <w:r>
        <w:separator/>
      </w:r>
    </w:p>
  </w:footnote>
  <w:footnote w:type="continuationSeparator" w:id="0">
    <w:p w14:paraId="55D3E128" w14:textId="77777777" w:rsidR="00814CA3" w:rsidRDefault="00814CA3">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F7D1B"/>
    <w:multiLevelType w:val="hybridMultilevel"/>
    <w:tmpl w:val="4F1EBB22"/>
    <w:lvl w:ilvl="0" w:tplc="916C5866">
      <w:start w:val="1"/>
      <w:numFmt w:val="bullet"/>
      <w:lvlText w:val="–"/>
      <w:lvlJc w:val="left"/>
      <w:pPr>
        <w:ind w:left="720" w:hanging="360"/>
      </w:pPr>
      <w:rPr>
        <w:rFonts w:ascii="等线" w:eastAsia="等线" w:hAnsi="等线"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C87399"/>
    <w:multiLevelType w:val="hybridMultilevel"/>
    <w:tmpl w:val="1784A966"/>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FDD5ED6"/>
    <w:multiLevelType w:val="hybridMultilevel"/>
    <w:tmpl w:val="058C424A"/>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38CA"/>
    <w:rsid w:val="000457A1"/>
    <w:rsid w:val="00050001"/>
    <w:rsid w:val="00052041"/>
    <w:rsid w:val="0005326A"/>
    <w:rsid w:val="0006266D"/>
    <w:rsid w:val="00065506"/>
    <w:rsid w:val="00072BC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5B86"/>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6697"/>
    <w:rsid w:val="003418CB"/>
    <w:rsid w:val="003472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D3A"/>
    <w:rsid w:val="00463521"/>
    <w:rsid w:val="00471125"/>
    <w:rsid w:val="0047437A"/>
    <w:rsid w:val="00476E9B"/>
    <w:rsid w:val="00480E42"/>
    <w:rsid w:val="00484C5D"/>
    <w:rsid w:val="0048543E"/>
    <w:rsid w:val="004868C1"/>
    <w:rsid w:val="0048750F"/>
    <w:rsid w:val="00492CB6"/>
    <w:rsid w:val="004A17E9"/>
    <w:rsid w:val="004A495F"/>
    <w:rsid w:val="004A6376"/>
    <w:rsid w:val="004A7544"/>
    <w:rsid w:val="004B6B0F"/>
    <w:rsid w:val="004C54E5"/>
    <w:rsid w:val="004C7DC8"/>
    <w:rsid w:val="004D21B0"/>
    <w:rsid w:val="004D737D"/>
    <w:rsid w:val="004D79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519C"/>
    <w:rsid w:val="0059149A"/>
    <w:rsid w:val="005956EE"/>
    <w:rsid w:val="005A083E"/>
    <w:rsid w:val="005B4802"/>
    <w:rsid w:val="005C1EA6"/>
    <w:rsid w:val="005D0B99"/>
    <w:rsid w:val="005D308E"/>
    <w:rsid w:val="005D3A48"/>
    <w:rsid w:val="005D686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63C1"/>
    <w:rsid w:val="00777E82"/>
    <w:rsid w:val="00781359"/>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7062"/>
    <w:rsid w:val="007F0E1E"/>
    <w:rsid w:val="007F29A7"/>
    <w:rsid w:val="008004B4"/>
    <w:rsid w:val="00805BE8"/>
    <w:rsid w:val="00814CA3"/>
    <w:rsid w:val="00816078"/>
    <w:rsid w:val="008177E3"/>
    <w:rsid w:val="00823AA9"/>
    <w:rsid w:val="008255B9"/>
    <w:rsid w:val="00825CD8"/>
    <w:rsid w:val="00827216"/>
    <w:rsid w:val="0082732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B3194"/>
    <w:rsid w:val="008B5AE7"/>
    <w:rsid w:val="008C60E9"/>
    <w:rsid w:val="008D1B7C"/>
    <w:rsid w:val="008D6657"/>
    <w:rsid w:val="008E1F60"/>
    <w:rsid w:val="008E2A5F"/>
    <w:rsid w:val="008E307E"/>
    <w:rsid w:val="008F4DD1"/>
    <w:rsid w:val="008F6056"/>
    <w:rsid w:val="00902C07"/>
    <w:rsid w:val="00905185"/>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33DDF"/>
    <w:rsid w:val="00A34547"/>
    <w:rsid w:val="00A376B7"/>
    <w:rsid w:val="00A41BF5"/>
    <w:rsid w:val="00A44778"/>
    <w:rsid w:val="00A457B7"/>
    <w:rsid w:val="00A469E7"/>
    <w:rsid w:val="00A53B85"/>
    <w:rsid w:val="00A604A4"/>
    <w:rsid w:val="00A61B7D"/>
    <w:rsid w:val="00A6605B"/>
    <w:rsid w:val="00A66ADC"/>
    <w:rsid w:val="00A7147D"/>
    <w:rsid w:val="00A7697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A259A"/>
    <w:rsid w:val="00BA259C"/>
    <w:rsid w:val="00BA29D3"/>
    <w:rsid w:val="00BA307F"/>
    <w:rsid w:val="00BA5280"/>
    <w:rsid w:val="00BB14F1"/>
    <w:rsid w:val="00BB572E"/>
    <w:rsid w:val="00BB74FD"/>
    <w:rsid w:val="00BC461F"/>
    <w:rsid w:val="00BC5982"/>
    <w:rsid w:val="00BC60BF"/>
    <w:rsid w:val="00BD28BF"/>
    <w:rsid w:val="00BD2D12"/>
    <w:rsid w:val="00BD6404"/>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931"/>
    <w:rsid w:val="00DF1040"/>
    <w:rsid w:val="00E01C41"/>
    <w:rsid w:val="00E0227D"/>
    <w:rsid w:val="00E04B84"/>
    <w:rsid w:val="00E06466"/>
    <w:rsid w:val="00E06835"/>
    <w:rsid w:val="00E06FDA"/>
    <w:rsid w:val="00E11095"/>
    <w:rsid w:val="00E160A5"/>
    <w:rsid w:val="00E1713D"/>
    <w:rsid w:val="00E20A43"/>
    <w:rsid w:val="00E23898"/>
    <w:rsid w:val="00E304F1"/>
    <w:rsid w:val="00E319F1"/>
    <w:rsid w:val="00E33CD2"/>
    <w:rsid w:val="00E40E90"/>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1AEA"/>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76"/>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68D7-5A94-426C-89EB-B5C6F25D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658</TotalTime>
  <Pages>19</Pages>
  <Words>5311</Words>
  <Characters>30278</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50</cp:revision>
  <cp:lastPrinted>2019-04-25T01:09:00Z</cp:lastPrinted>
  <dcterms:created xsi:type="dcterms:W3CDTF">2022-08-01T07:42:00Z</dcterms:created>
  <dcterms:modified xsi:type="dcterms:W3CDTF">2022-08-11T17:22:00Z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