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796BB3" w:rsidP="00805BE8">
            <w:pPr>
              <w:spacing w:before="120" w:after="120"/>
              <w:rPr>
                <w:b/>
                <w:bCs/>
              </w:rPr>
            </w:pPr>
            <w:hyperlink r:id="rId9" w:history="1">
              <w:r w:rsidR="00D87D93" w:rsidRPr="00D87D93">
                <w:rPr>
                  <w:rStyle w:val="ac"/>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e"/>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e"/>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afe"/>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c"/>
                <w:b/>
                <w:bCs/>
              </w:rPr>
              <w:t>R4-2213231</w:t>
            </w:r>
            <w:r>
              <w:rPr>
                <w:rStyle w:val="ac"/>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c"/>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b"/>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b"/>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796BB3" w:rsidP="00484527">
            <w:pPr>
              <w:spacing w:before="120" w:after="120"/>
              <w:rPr>
                <w:b/>
                <w:bCs/>
              </w:rPr>
            </w:pPr>
            <w:hyperlink r:id="rId11" w:history="1">
              <w:r w:rsidR="00484527">
                <w:rPr>
                  <w:rStyle w:val="ac"/>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13.2pt;mso-width-percent:0;mso-height-percent:0;mso-position-horizontal-relative:page;mso-position-vertical-relative:page;mso-width-percent:0;mso-height-percent:0" o:ole="">
                        <v:imagedata r:id="rId12" o:title=""/>
                      </v:shape>
                      <o:OLEObject Type="Embed" ProgID="Equation.3" ShapeID="_x0000_i1025" DrawAspect="Content" ObjectID="_1722810829"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8pt;height:13.2pt;mso-width-percent:0;mso-height-percent:0;mso-position-horizontal-relative:page;mso-position-vertical-relative:page;mso-width-percent:0;mso-height-percent:0" o:ole="">
                        <v:imagedata r:id="rId14" o:title=""/>
                      </v:shape>
                      <o:OLEObject Type="Embed" ProgID="Equation.3" ShapeID="_x0000_i1026" DrawAspect="Content" ObjectID="_172281083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c"/>
                <w:b/>
                <w:bCs/>
              </w:rPr>
              <w:t>R4-2211697</w:t>
            </w:r>
            <w:r>
              <w:rPr>
                <w:rStyle w:val="ac"/>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e"/>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e"/>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c"/>
            <w:b/>
            <w:bCs/>
            <w:lang w:val="en-US"/>
          </w:rPr>
          <w:t>Rel-17 UE feature list thread [141]</w:t>
        </w:r>
      </w:hyperlink>
    </w:p>
    <w:p w14:paraId="0865E1D5" w14:textId="03C0FEC8" w:rsidR="008201E8" w:rsidRPr="000B6E59" w:rsidRDefault="005C76DD" w:rsidP="008201E8">
      <w:pPr>
        <w:pStyle w:val="afe"/>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c"/>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8pt;height:13.8pt;mso-width-percent:0;mso-height-percent:0;mso-position-horizontal-relative:page;mso-position-vertical-relative:page;mso-width-percent:0;mso-height-percent:0" o:ole="">
                                        <v:imagedata r:id="rId12" o:title=""/>
                                      </v:shape>
                                      <o:OLEObject Type="Embed" ProgID="Equation.3" ShapeID="_x0000_i1027" DrawAspect="Content" ObjectID="_1722810831" r:id="rId18"/>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8pt;height:13.8pt;mso-width-percent:0;mso-height-percent:0;mso-position-horizontal-relative:page;mso-position-vertical-relative:page;mso-width-percent:0;mso-height-percent:0" o:ole="">
                                        <v:imagedata r:id="rId14" o:title=""/>
                                      </v:shape>
                                      <o:OLEObject Type="Embed" ProgID="Equation.3" ShapeID="_x0000_i1028" DrawAspect="Content" ObjectID="_1722810832" r:id="rId19"/>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8pt;height:13.8pt;mso-width-percent:0;mso-height-percent:0;mso-position-horizontal-relative:page;mso-position-vertical-relative:page;mso-width-percent:0;mso-height-percent:0" o:ole="">
                                  <v:imagedata r:id="rId12" o:title=""/>
                                </v:shape>
                                <o:OLEObject Type="Embed" ProgID="Equation.3" ShapeID="_x0000_i1027" DrawAspect="Content" ObjectID="_1722810831" r:id="rId20"/>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8pt;height:13.8pt;mso-width-percent:0;mso-height-percent:0;mso-position-horizontal-relative:page;mso-position-vertical-relative:page;mso-width-percent:0;mso-height-percent:0" o:ole="">
                                  <v:imagedata r:id="rId14" o:title=""/>
                                </v:shape>
                                <o:OLEObject Type="Embed" ProgID="Equation.3" ShapeID="_x0000_i1028" DrawAspect="Content" ObjectID="_1722810832" r:id="rId21"/>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e"/>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c"/>
            <w:b/>
            <w:bCs/>
            <w:lang w:val="en-US"/>
          </w:rPr>
          <w:t>Rel-17 UE feature list thread [141]</w:t>
        </w:r>
      </w:hyperlink>
    </w:p>
    <w:p w14:paraId="0AA09155" w14:textId="266A9733" w:rsidR="008927DB" w:rsidRPr="008927DB" w:rsidRDefault="008927DB" w:rsidP="00E72CF1">
      <w:pPr>
        <w:pStyle w:val="afe"/>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c"/>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2FBF6C4" w14:textId="45E5C3BA" w:rsidR="003418CB" w:rsidRPr="007A3CA4" w:rsidRDefault="00DD19DE" w:rsidP="005B480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ac"/>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31ECB4BE" w14:textId="77777777" w:rsidR="00F87551" w:rsidRPr="00805BE8" w:rsidRDefault="00F87551" w:rsidP="00F87551">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Pr>
                <w:rFonts w:eastAsia="宋体"/>
                <w:color w:val="0070C0"/>
                <w:szCs w:val="24"/>
                <w:lang w:eastAsia="zh-CN"/>
              </w:rPr>
              <w:t>Huawei, R4-2213370</w:t>
            </w:r>
          </w:p>
          <w:p w14:paraId="5AFA6F61" w14:textId="77777777" w:rsidR="00F87551" w:rsidRDefault="00F87551" w:rsidP="00F87551">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宋体"/>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ac"/>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ac"/>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bookmarkStart w:id="1" w:name="_GoBack"/>
            <w:bookmarkEnd w:id="1"/>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796BB3" w:rsidP="005636C4">
            <w:pPr>
              <w:spacing w:before="120" w:after="120"/>
              <w:rPr>
                <w:b/>
                <w:bCs/>
              </w:rPr>
            </w:pPr>
            <w:hyperlink r:id="rId27" w:history="1">
              <w:r w:rsidR="005636C4">
                <w:rPr>
                  <w:rStyle w:val="ac"/>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e"/>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e"/>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796BB3" w:rsidP="00B55684">
            <w:pPr>
              <w:spacing w:before="120" w:after="120"/>
              <w:rPr>
                <w:b/>
                <w:bCs/>
              </w:rPr>
            </w:pPr>
            <w:hyperlink r:id="rId28" w:history="1">
              <w:r w:rsidR="00E72B38">
                <w:rPr>
                  <w:rStyle w:val="ac"/>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e"/>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afe"/>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af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e"/>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Two new bandwidth classes are specified and placed within fallback group 1 to cover 4*400 MHz and 5*400 MHz. These new bandwidth classes are applicable only for FR2-2.</w:t>
      </w:r>
    </w:p>
    <w:tbl>
      <w:tblPr>
        <w:tblStyle w:val="af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e"/>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e"/>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e"/>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afe"/>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2"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2"/>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宋体"/>
                <w:color w:val="0070C0"/>
                <w:szCs w:val="24"/>
                <w:lang w:eastAsia="zh-CN"/>
              </w:rPr>
            </w:pPr>
            <w:r>
              <w:rPr>
                <w:rFonts w:eastAsia="宋体"/>
                <w:color w:val="0070C0"/>
                <w:szCs w:val="24"/>
                <w:lang w:eastAsia="zh-CN"/>
              </w:rPr>
              <w:t xml:space="preserve">We agree with </w:t>
            </w:r>
            <w:r w:rsidRPr="00C1267A">
              <w:rPr>
                <w:rFonts w:eastAsia="宋体"/>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宋体"/>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afe"/>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afe"/>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afe"/>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af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af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af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宋体"/>
                <w:color w:val="0070C0"/>
                <w:szCs w:val="24"/>
                <w:lang w:eastAsia="zh-CN"/>
              </w:rPr>
            </w:pPr>
            <w:r>
              <w:rPr>
                <w:rFonts w:eastAsia="宋体"/>
                <w:color w:val="0070C0"/>
                <w:szCs w:val="24"/>
                <w:lang w:eastAsia="zh-CN"/>
              </w:rPr>
              <w:t xml:space="preserve">For 2.2b, We agree with </w:t>
            </w:r>
            <w:r w:rsidRPr="00C1267A">
              <w:rPr>
                <w:rFonts w:eastAsia="宋体"/>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宋体"/>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Alt. 3: NOTE 1:</w:t>
            </w:r>
            <w:r>
              <w:t xml:space="preserve"> </w:t>
            </w:r>
            <w:r w:rsidRPr="005E108C">
              <w:rPr>
                <w:rFonts w:eastAsia="宋体"/>
                <w:color w:val="0070C0"/>
                <w:szCs w:val="24"/>
                <w:lang w:eastAsia="zh-CN"/>
              </w:rPr>
              <w:t xml:space="preserve">This band is restricted to operation with shared spectrum channel access as defined in TS 37.213 [reference for 37.213]. </w:t>
            </w:r>
            <w:r>
              <w:rPr>
                <w:rFonts w:eastAsia="宋体"/>
                <w:color w:val="0070C0"/>
                <w:szCs w:val="24"/>
                <w:lang w:eastAsia="zh-CN"/>
              </w:rPr>
              <w:t xml:space="preserve"> </w:t>
            </w:r>
          </w:p>
          <w:p w14:paraId="4E93AE5B" w14:textId="77777777" w:rsidR="005E108C" w:rsidRDefault="005E108C" w:rsidP="00D10F33">
            <w:pPr>
              <w:rPr>
                <w:rFonts w:eastAsia="宋体"/>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afe"/>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afe"/>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ac"/>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afe"/>
        <w:numPr>
          <w:ilvl w:val="0"/>
          <w:numId w:val="4"/>
        </w:numPr>
        <w:overflowPunct/>
        <w:autoSpaceDE/>
        <w:autoSpaceDN/>
        <w:adjustRightInd/>
        <w:spacing w:after="120"/>
        <w:ind w:left="720" w:firstLineChars="0"/>
        <w:jc w:val="both"/>
        <w:textAlignment w:val="auto"/>
        <w:rPr>
          <w:rFonts w:eastAsia="宋体"/>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afe"/>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afe"/>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afe"/>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afe"/>
        <w:numPr>
          <w:ilvl w:val="0"/>
          <w:numId w:val="4"/>
        </w:numPr>
        <w:overflowPunct/>
        <w:autoSpaceDE/>
        <w:autoSpaceDN/>
        <w:adjustRightInd/>
        <w:spacing w:after="120"/>
        <w:ind w:left="720" w:firstLineChars="0"/>
        <w:jc w:val="both"/>
        <w:textAlignment w:val="auto"/>
        <w:rPr>
          <w:rFonts w:eastAsia="宋体"/>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afe"/>
        <w:numPr>
          <w:ilvl w:val="1"/>
          <w:numId w:val="4"/>
        </w:numPr>
        <w:overflowPunct/>
        <w:autoSpaceDE/>
        <w:autoSpaceDN/>
        <w:adjustRightInd/>
        <w:spacing w:after="120"/>
        <w:ind w:firstLineChars="0"/>
        <w:jc w:val="both"/>
        <w:textAlignment w:val="auto"/>
        <w:rPr>
          <w:rFonts w:eastAsia="宋体"/>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afe"/>
        <w:overflowPunct/>
        <w:autoSpaceDE/>
        <w:autoSpaceDN/>
        <w:adjustRightInd/>
        <w:spacing w:after="120"/>
        <w:ind w:left="1656" w:firstLineChars="0" w:firstLine="0"/>
        <w:jc w:val="both"/>
        <w:textAlignment w:val="auto"/>
        <w:rPr>
          <w:rFonts w:eastAsia="宋体"/>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796BB3" w:rsidRPr="00854363" w:rsidRDefault="00796BB3"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796BB3" w:rsidRPr="00854363" w:rsidRDefault="00796BB3"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3"/>
        <w:rPr>
          <w:sz w:val="24"/>
          <w:szCs w:val="16"/>
        </w:rPr>
      </w:pPr>
      <w:bookmarkStart w:id="3" w:name="_Open_issues"/>
      <w:bookmarkEnd w:id="3"/>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afd"/>
        <w:tblW w:w="0" w:type="auto"/>
        <w:tblLook w:val="04A0" w:firstRow="1" w:lastRow="0" w:firstColumn="1" w:lastColumn="0" w:noHBand="0" w:noVBand="1"/>
      </w:tblPr>
      <w:tblGrid>
        <w:gridCol w:w="1583"/>
        <w:gridCol w:w="8048"/>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B3EE8DF" w14:textId="77777777" w:rsidR="00C85D29" w:rsidRPr="00C85D29" w:rsidRDefault="00C85D29" w:rsidP="00C85D29">
            <w:pPr>
              <w:overflowPunct/>
              <w:autoSpaceDE/>
              <w:autoSpaceDN/>
              <w:adjustRightInd/>
              <w:spacing w:after="120"/>
              <w:jc w:val="both"/>
              <w:textAlignment w:val="auto"/>
              <w:rPr>
                <w:rFonts w:eastAsia="宋体"/>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af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afd"/>
        <w:tblW w:w="0" w:type="auto"/>
        <w:tblLook w:val="04A0" w:firstRow="1" w:lastRow="0" w:firstColumn="1" w:lastColumn="0" w:noHBand="0" w:noVBand="1"/>
      </w:tblPr>
      <w:tblGrid>
        <w:gridCol w:w="1583"/>
        <w:gridCol w:w="8048"/>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3"/>
        <w:rPr>
          <w:sz w:val="24"/>
          <w:szCs w:val="16"/>
        </w:rPr>
      </w:pPr>
      <w:r w:rsidRPr="00805BE8">
        <w:rPr>
          <w:sz w:val="24"/>
          <w:szCs w:val="16"/>
        </w:rPr>
        <w:t>CRs/TPs</w:t>
      </w:r>
      <w:r w:rsidR="007F5BB7">
        <w:rPr>
          <w:sz w:val="24"/>
          <w:szCs w:val="16"/>
        </w:rPr>
        <w:t xml:space="preserve"> comments collection</w:t>
      </w:r>
    </w:p>
    <w:tbl>
      <w:tblPr>
        <w:tblStyle w:val="af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796BB3" w:rsidP="00F0688B">
            <w:pPr>
              <w:spacing w:before="120" w:after="120"/>
              <w:rPr>
                <w:b/>
                <w:bCs/>
              </w:rPr>
            </w:pPr>
            <w:hyperlink r:id="rId29" w:history="1">
              <w:r w:rsidR="00F0688B" w:rsidRPr="00D87D93">
                <w:rPr>
                  <w:rStyle w:val="ac"/>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e"/>
              <w:numPr>
                <w:ilvl w:val="0"/>
                <w:numId w:val="24"/>
              </w:numPr>
              <w:snapToGrid w:val="0"/>
              <w:spacing w:after="120"/>
              <w:ind w:firstLineChars="0"/>
              <w:jc w:val="both"/>
            </w:pPr>
            <w:bookmarkStart w:id="4" w:name="_Hlk111140096"/>
            <w:r>
              <w:lastRenderedPageBreak/>
              <w:t xml:space="preserve">RAN4 targets completing one example band combination </w:t>
            </w:r>
            <w:r w:rsidRPr="00747892">
              <w:t>FR2-2 DC/CA with an anchor in FR1</w:t>
            </w:r>
            <w:r>
              <w:t xml:space="preserve"> within the </w:t>
            </w:r>
            <w:r w:rsidRPr="00950E79">
              <w:t>maintenance phase of the WI</w:t>
            </w:r>
          </w:p>
          <w:bookmarkEnd w:id="4"/>
          <w:p w14:paraId="29BB57BA" w14:textId="77777777" w:rsidR="00F0688B" w:rsidRDefault="00F0688B" w:rsidP="00F0688B">
            <w:pPr>
              <w:pStyle w:val="afe"/>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e"/>
              <w:numPr>
                <w:ilvl w:val="0"/>
                <w:numId w:val="24"/>
              </w:numPr>
              <w:snapToGrid w:val="0"/>
              <w:spacing w:after="120"/>
              <w:ind w:firstLineChars="0"/>
              <w:jc w:val="both"/>
            </w:pPr>
            <w:bookmarkStart w:id="5"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5"/>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lastRenderedPageBreak/>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af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afe"/>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rFonts w:eastAsia="宋体"/>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ac"/>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ac"/>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3"/>
        <w:rPr>
          <w:sz w:val="24"/>
          <w:szCs w:val="16"/>
        </w:rPr>
      </w:pPr>
      <w:r w:rsidRPr="00805BE8">
        <w:rPr>
          <w:sz w:val="24"/>
          <w:szCs w:val="16"/>
        </w:rPr>
        <w:t>CRs/TPs</w:t>
      </w:r>
      <w:r>
        <w:rPr>
          <w:sz w:val="24"/>
          <w:szCs w:val="16"/>
        </w:rPr>
        <w:t xml:space="preserve"> comments collection</w:t>
      </w:r>
    </w:p>
    <w:tbl>
      <w:tblPr>
        <w:tblStyle w:val="af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77777777" w:rsidR="000001A5" w:rsidRDefault="000001A5" w:rsidP="00796BB3">
            <w:pPr>
              <w:spacing w:after="120"/>
              <w:rPr>
                <w:rFonts w:eastAsiaTheme="minorEastAsia"/>
                <w:color w:val="0070C0"/>
                <w:lang w:val="en-US" w:eastAsia="zh-CN"/>
              </w:rPr>
            </w:pPr>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4671B9F4" w14:textId="77777777" w:rsidR="000001A5" w:rsidRDefault="000001A5" w:rsidP="00796BB3">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153C9010" w:rsidR="00F115F5" w:rsidRPr="00035C50" w:rsidRDefault="00F115F5" w:rsidP="00F115F5">
      <w:pPr>
        <w:pStyle w:val="2"/>
      </w:pPr>
      <w:bookmarkStart w:id="6" w:name="_1st_round"/>
      <w:bookmarkEnd w:id="6"/>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lastRenderedPageBreak/>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7" w:name="_Hlk111780874"/>
            <w:r w:rsidR="003C2C77" w:rsidRPr="003C2C77">
              <w:rPr>
                <w:rFonts w:eastAsiaTheme="minorEastAsia"/>
                <w:iCs/>
                <w:color w:val="0070C0"/>
                <w:lang w:val="en-US" w:eastAsia="zh-CN"/>
              </w:rPr>
              <w:t>FR1+FR2-2 DC/CA band combination</w:t>
            </w:r>
            <w:bookmarkEnd w:id="7"/>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4F5E" w14:textId="77777777" w:rsidR="00511204" w:rsidRDefault="00511204">
      <w:r>
        <w:separator/>
      </w:r>
    </w:p>
  </w:endnote>
  <w:endnote w:type="continuationSeparator" w:id="0">
    <w:p w14:paraId="21F2F8E8" w14:textId="77777777" w:rsidR="00511204" w:rsidRDefault="005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36400" w14:textId="77777777" w:rsidR="00511204" w:rsidRDefault="00511204">
      <w:r>
        <w:separator/>
      </w:r>
    </w:p>
  </w:footnote>
  <w:footnote w:type="continuationSeparator" w:id="0">
    <w:p w14:paraId="636A3E82" w14:textId="77777777" w:rsidR="00511204" w:rsidRDefault="0051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A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D87D93"/>
    <w:rPr>
      <w:color w:val="605E5C"/>
      <w:shd w:val="clear" w:color="auto" w:fill="E1DFDD"/>
    </w:rPr>
  </w:style>
  <w:style w:type="character" w:customStyle="1" w:styleId="UnresolvedMention2">
    <w:name w:val="Unresolved Mention2"/>
    <w:basedOn w:val="a0"/>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BCF3-C5B0-4B95-82A8-4FB3F80E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22</Pages>
  <Words>5970</Words>
  <Characters>34030</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Huawei-Chunying Gu</cp:lastModifiedBy>
  <cp:revision>4</cp:revision>
  <cp:lastPrinted>2019-04-25T01:09:00Z</cp:lastPrinted>
  <dcterms:created xsi:type="dcterms:W3CDTF">2022-08-23T04:15:00Z</dcterms:created>
  <dcterms:modified xsi:type="dcterms:W3CDTF">2022-08-23T17:47:00Z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