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9242A1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9251883"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 and 9.1</w:t>
      </w:r>
      <w:r>
        <w:rPr>
          <w:i/>
          <w:color w:val="0070C0"/>
          <w:lang w:eastAsia="zh-CN"/>
        </w:rPr>
        <w:t>4</w:t>
      </w:r>
      <w:r w:rsidRPr="0021313A">
        <w:rPr>
          <w:i/>
          <w:color w:val="0070C0"/>
          <w:lang w:eastAsia="zh-CN"/>
        </w:rPr>
        <w:t>.2</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C71B55"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lastRenderedPageBreak/>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0E77E2">
              <w:trPr>
                <w:trHeight w:val="263"/>
                <w:jc w:val="center"/>
              </w:trPr>
              <w:tc>
                <w:tcPr>
                  <w:tcW w:w="1129" w:type="dxa"/>
                </w:tcPr>
                <w:p w14:paraId="0816FA8B" w14:textId="77777777" w:rsidR="002C12B8" w:rsidRPr="006527A4" w:rsidRDefault="002C12B8" w:rsidP="002C12B8">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2C12B8">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0E77E2">
              <w:trPr>
                <w:trHeight w:val="227"/>
                <w:jc w:val="center"/>
              </w:trPr>
              <w:tc>
                <w:tcPr>
                  <w:tcW w:w="1129" w:type="dxa"/>
                </w:tcPr>
                <w:p w14:paraId="67977AD8" w14:textId="77777777" w:rsidR="002C12B8" w:rsidRPr="006527A4" w:rsidRDefault="002C12B8" w:rsidP="002C12B8">
                  <w:pPr>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2C12B8">
                  <w:pPr>
                    <w:jc w:val="center"/>
                    <w:rPr>
                      <w:lang w:val="en-US" w:eastAsia="ja-JP"/>
                    </w:rPr>
                  </w:pPr>
                  <w:r>
                    <w:rPr>
                      <w:rFonts w:asciiTheme="minorHAnsi" w:hAnsiTheme="minorHAnsi" w:cstheme="minorHAnsi"/>
                      <w:lang w:val="en-US" w:eastAsia="ja-JP"/>
                    </w:rPr>
                    <w:t>-96.2</w:t>
                  </w:r>
                </w:p>
              </w:tc>
            </w:tr>
            <w:tr w:rsidR="002C12B8" w14:paraId="055B81CF" w14:textId="77777777" w:rsidTr="000E77E2">
              <w:trPr>
                <w:trHeight w:val="227"/>
                <w:jc w:val="center"/>
              </w:trPr>
              <w:tc>
                <w:tcPr>
                  <w:tcW w:w="1129" w:type="dxa"/>
                </w:tcPr>
                <w:p w14:paraId="055DC818" w14:textId="77777777" w:rsidR="002C12B8" w:rsidRDefault="002C12B8" w:rsidP="002C12B8">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2C12B8">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0E77E2">
              <w:trPr>
                <w:trHeight w:val="227"/>
                <w:jc w:val="center"/>
              </w:trPr>
              <w:tc>
                <w:tcPr>
                  <w:tcW w:w="1129" w:type="dxa"/>
                </w:tcPr>
                <w:p w14:paraId="228F8618" w14:textId="77777777" w:rsidR="002C12B8" w:rsidRDefault="002C12B8" w:rsidP="002C12B8">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2C12B8">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0E77E2">
              <w:trPr>
                <w:trHeight w:val="227"/>
                <w:jc w:val="center"/>
              </w:trPr>
              <w:tc>
                <w:tcPr>
                  <w:tcW w:w="1129" w:type="dxa"/>
                </w:tcPr>
                <w:p w14:paraId="7B8025E0"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2C12B8">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0E77E2">
              <w:trPr>
                <w:trHeight w:val="217"/>
                <w:jc w:val="center"/>
              </w:trPr>
              <w:tc>
                <w:tcPr>
                  <w:tcW w:w="1129" w:type="dxa"/>
                </w:tcPr>
                <w:p w14:paraId="450FB00D"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2C12B8">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0E77E2">
              <w:trPr>
                <w:trHeight w:val="227"/>
                <w:jc w:val="center"/>
              </w:trPr>
              <w:tc>
                <w:tcPr>
                  <w:tcW w:w="1129" w:type="dxa"/>
                </w:tcPr>
                <w:p w14:paraId="2F1A29E6"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2C12B8">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0E77E2">
              <w:trPr>
                <w:trHeight w:val="54"/>
                <w:jc w:val="center"/>
              </w:trPr>
              <w:tc>
                <w:tcPr>
                  <w:tcW w:w="1129" w:type="dxa"/>
                </w:tcPr>
                <w:p w14:paraId="799A65E0" w14:textId="77777777" w:rsidR="002C12B8" w:rsidRPr="002C12B8" w:rsidRDefault="002C12B8" w:rsidP="002C12B8">
                  <w:pPr>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2C12B8">
                  <w:pPr>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0E77E2">
              <w:trPr>
                <w:trHeight w:val="263"/>
                <w:jc w:val="center"/>
              </w:trPr>
              <w:tc>
                <w:tcPr>
                  <w:tcW w:w="1129" w:type="dxa"/>
                </w:tcPr>
                <w:p w14:paraId="36527D46" w14:textId="77777777" w:rsidR="002C12B8" w:rsidRPr="006527A4" w:rsidRDefault="002C12B8" w:rsidP="002C12B8">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2C12B8">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0E77E2">
              <w:trPr>
                <w:trHeight w:val="227"/>
                <w:jc w:val="center"/>
              </w:trPr>
              <w:tc>
                <w:tcPr>
                  <w:tcW w:w="1129" w:type="dxa"/>
                </w:tcPr>
                <w:p w14:paraId="4C7BA994" w14:textId="77777777" w:rsidR="002C12B8" w:rsidRPr="006527A4" w:rsidRDefault="002C12B8" w:rsidP="002C12B8">
                  <w:pPr>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2C12B8">
                  <w:pPr>
                    <w:jc w:val="center"/>
                    <w:rPr>
                      <w:lang w:val="en-US" w:eastAsia="ja-JP"/>
                    </w:rPr>
                  </w:pPr>
                  <w:r>
                    <w:rPr>
                      <w:rFonts w:asciiTheme="minorHAnsi" w:hAnsiTheme="minorHAnsi" w:cstheme="minorHAnsi"/>
                      <w:lang w:val="en-US" w:eastAsia="ja-JP"/>
                    </w:rPr>
                    <w:t>-96.2</w:t>
                  </w:r>
                </w:p>
              </w:tc>
            </w:tr>
            <w:tr w:rsidR="002C12B8" w14:paraId="13C5C925" w14:textId="77777777" w:rsidTr="000E77E2">
              <w:trPr>
                <w:trHeight w:val="227"/>
                <w:jc w:val="center"/>
              </w:trPr>
              <w:tc>
                <w:tcPr>
                  <w:tcW w:w="1129" w:type="dxa"/>
                </w:tcPr>
                <w:p w14:paraId="3AFAF832" w14:textId="77777777" w:rsidR="002C12B8" w:rsidRDefault="002C12B8" w:rsidP="002C12B8">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2C12B8">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0E77E2">
              <w:trPr>
                <w:trHeight w:val="227"/>
                <w:jc w:val="center"/>
              </w:trPr>
              <w:tc>
                <w:tcPr>
                  <w:tcW w:w="1129" w:type="dxa"/>
                </w:tcPr>
                <w:p w14:paraId="25C256A7" w14:textId="77777777" w:rsidR="002C12B8" w:rsidRDefault="002C12B8" w:rsidP="002C12B8">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2C12B8">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0E77E2">
              <w:trPr>
                <w:trHeight w:val="227"/>
                <w:jc w:val="center"/>
              </w:trPr>
              <w:tc>
                <w:tcPr>
                  <w:tcW w:w="1129" w:type="dxa"/>
                </w:tcPr>
                <w:p w14:paraId="0F3F79E3"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2C12B8">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0E77E2">
              <w:trPr>
                <w:trHeight w:val="217"/>
                <w:jc w:val="center"/>
              </w:trPr>
              <w:tc>
                <w:tcPr>
                  <w:tcW w:w="1129" w:type="dxa"/>
                </w:tcPr>
                <w:p w14:paraId="725540CE"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2C12B8">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0E77E2">
              <w:trPr>
                <w:trHeight w:val="227"/>
                <w:jc w:val="center"/>
              </w:trPr>
              <w:tc>
                <w:tcPr>
                  <w:tcW w:w="1129" w:type="dxa"/>
                </w:tcPr>
                <w:p w14:paraId="29517505" w14:textId="77777777" w:rsidR="002C12B8" w:rsidRDefault="002C12B8" w:rsidP="002C12B8">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2C12B8">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0E77E2">
              <w:trPr>
                <w:trHeight w:val="227"/>
                <w:jc w:val="center"/>
              </w:trPr>
              <w:tc>
                <w:tcPr>
                  <w:tcW w:w="1129" w:type="dxa"/>
                </w:tcPr>
                <w:p w14:paraId="2743F743" w14:textId="77777777" w:rsidR="002C12B8" w:rsidRPr="002C12B8" w:rsidRDefault="002C12B8" w:rsidP="002C12B8">
                  <w:pPr>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2C12B8">
                  <w:pPr>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C71B55"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w:t>
            </w:r>
            <w:r w:rsidRPr="00484527">
              <w:lastRenderedPageBreak/>
              <w:t>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84527">
                  <w:pPr>
                    <w:keepNext/>
                    <w:keepLines/>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1" o:spid="_x0000_i1025" type="#_x0000_t75" style="width:14.25pt;height:14.25pt;mso-position-horizontal-relative:page;mso-position-vertical-relative:page" o:ole="">
                        <v:imagedata r:id="rId12" o:title=""/>
                      </v:shape>
                      <o:OLEObject Type="Embed" ProgID="Equation.3" ShapeID="对象 261" DrawAspect="Content" ObjectID="_1721766530"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84527">
                  <w:pPr>
                    <w:keepNext/>
                    <w:keepLines/>
                    <w:jc w:val="center"/>
                    <w:rPr>
                      <w:rFonts w:ascii="Arial" w:eastAsia="Batang" w:hAnsi="Arial"/>
                      <w:b/>
                      <w:sz w:val="18"/>
                    </w:rPr>
                  </w:pPr>
                  <w:r>
                    <w:rPr>
                      <w:rFonts w:ascii="Arial" w:eastAsia="Batang" w:hAnsi="Arial" w:cstheme="minorBidi"/>
                      <w:b/>
                      <w:position w:val="-10"/>
                      <w:sz w:val="18"/>
                      <w:szCs w:val="22"/>
                    </w:rPr>
                    <w:object w:dxaOrig="1590" w:dyaOrig="285" w14:anchorId="41848A0B">
                      <v:shape id="对象 262" o:spid="_x0000_i1026" type="#_x0000_t75" style="width:79.5pt;height:14.25pt;mso-position-horizontal-relative:page;mso-position-vertical-relative:page" o:ole="">
                        <v:imagedata r:id="rId14" o:title=""/>
                      </v:shape>
                      <o:OLEObject Type="Embed" ProgID="Equation.3" ShapeID="对象 262" DrawAspect="Content" ObjectID="_1721766531"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84527">
                  <w:pPr>
                    <w:keepNext/>
                    <w:keepLines/>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84527">
                  <w:pPr>
                    <w:keepNext/>
                    <w:keepLines/>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84527">
                  <w:pPr>
                    <w:keepNext/>
                    <w:keepLines/>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84527">
                  <w:pPr>
                    <w:keepNext/>
                    <w:keepLines/>
                    <w:jc w:val="center"/>
                    <w:rPr>
                      <w:rFonts w:eastAsiaTheme="minorEastAsia"/>
                      <w:sz w:val="18"/>
                    </w:rPr>
                  </w:pPr>
                  <w:r w:rsidRPr="002756B6">
                    <w:rPr>
                      <w:sz w:val="18"/>
                    </w:rPr>
                    <w:t>1</w:t>
                  </w:r>
                </w:p>
              </w:tc>
            </w:tr>
            <w:tr w:rsidR="00484527" w14:paraId="5BF3673D"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84527">
                  <w:pPr>
                    <w:keepNext/>
                    <w:keepLines/>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84527">
                  <w:pPr>
                    <w:keepNext/>
                    <w:keepLines/>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84527">
                  <w:pPr>
                    <w:keepNext/>
                    <w:keepLines/>
                    <w:jc w:val="center"/>
                    <w:rPr>
                      <w:rFonts w:eastAsiaTheme="minorEastAsia"/>
                      <w:sz w:val="18"/>
                    </w:rPr>
                  </w:pPr>
                  <w:r w:rsidRPr="002756B6">
                    <w:rPr>
                      <w:sz w:val="18"/>
                    </w:rPr>
                    <w:t>1</w:t>
                  </w:r>
                </w:p>
              </w:tc>
            </w:tr>
            <w:tr w:rsidR="00484527" w14:paraId="3F665AF2"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84527">
                  <w:pPr>
                    <w:keepNext/>
                    <w:keepLines/>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84527">
                  <w:pPr>
                    <w:keepNext/>
                    <w:keepLines/>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84527">
                  <w:pPr>
                    <w:keepNext/>
                    <w:keepLines/>
                    <w:jc w:val="center"/>
                    <w:rPr>
                      <w:rFonts w:eastAsiaTheme="minorEastAsia"/>
                      <w:sz w:val="18"/>
                    </w:rPr>
                  </w:pPr>
                  <w:r w:rsidRPr="002756B6">
                    <w:rPr>
                      <w:sz w:val="18"/>
                    </w:rPr>
                    <w:t>1</w:t>
                  </w:r>
                </w:p>
              </w:tc>
            </w:tr>
            <w:tr w:rsidR="00484527" w14:paraId="61760964"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84527">
                  <w:pPr>
                    <w:keepNext/>
                    <w:keepLines/>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84527">
                  <w:pPr>
                    <w:keepNext/>
                    <w:keepLines/>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84527">
                  <w:pPr>
                    <w:keepNext/>
                    <w:keepLines/>
                    <w:jc w:val="center"/>
                    <w:rPr>
                      <w:rFonts w:eastAsiaTheme="minorEastAsia"/>
                      <w:sz w:val="18"/>
                    </w:rPr>
                  </w:pPr>
                  <w:r w:rsidRPr="002756B6">
                    <w:rPr>
                      <w:sz w:val="18"/>
                    </w:rPr>
                    <w:t>2</w:t>
                  </w:r>
                </w:p>
              </w:tc>
            </w:tr>
            <w:tr w:rsidR="00484527" w14:paraId="27BFF7D9"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84527">
                  <w:pPr>
                    <w:keepNext/>
                    <w:keepLines/>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84527">
                  <w:pPr>
                    <w:keepNext/>
                    <w:keepLines/>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84527">
                  <w:pPr>
                    <w:keepNext/>
                    <w:keepLines/>
                    <w:jc w:val="center"/>
                    <w:rPr>
                      <w:sz w:val="18"/>
                    </w:rPr>
                  </w:pPr>
                  <w:r w:rsidRPr="002756B6">
                    <w:rPr>
                      <w:sz w:val="18"/>
                    </w:rPr>
                    <w:t>8</w:t>
                  </w:r>
                </w:p>
              </w:tc>
            </w:tr>
            <w:tr w:rsidR="00484527" w14:paraId="5D0C9B17" w14:textId="77777777" w:rsidTr="00484527">
              <w:trPr>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84527">
                  <w:pPr>
                    <w:keepNext/>
                    <w:keepLines/>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84527">
                  <w:pPr>
                    <w:keepNext/>
                    <w:keepLines/>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84527">
                  <w:pPr>
                    <w:keepNext/>
                    <w:keepLines/>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6B3DA869">
                <wp:extent cx="6105525" cy="21717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71700"/>
                        </a:xfrm>
                        <a:prstGeom prst="rect">
                          <a:avLst/>
                        </a:prstGeom>
                        <a:solidFill>
                          <a:srgbClr val="FFFFFF"/>
                        </a:solidFill>
                        <a:ln w="9525">
                          <a:solidFill>
                            <a:srgbClr val="000000"/>
                          </a:solidFill>
                          <a:miter lim="800000"/>
                          <a:headEnd/>
                          <a:tailEnd/>
                        </a:ln>
                      </wps:spPr>
                      <wps:txbx>
                        <w:txbxContent>
                          <w:p w14:paraId="44F13965" w14:textId="77777777" w:rsidR="00263133" w:rsidRPr="008D56A3" w:rsidRDefault="00263133" w:rsidP="00263133">
                            <w:pPr>
                              <w:spacing w:after="0"/>
                              <w:rPr>
                                <w:rFonts w:ascii="Arial" w:eastAsia="Malgun Gothic" w:hAnsi="Arial" w:cs="Arial"/>
                              </w:rPr>
                            </w:pPr>
                            <w:r w:rsidRPr="008D56A3">
                              <w:rPr>
                                <w:rFonts w:ascii="Arial" w:eastAsia="Malgun Gothic" w:hAnsi="Arial" w:cs="Arial"/>
                                <w:b/>
                                <w:bCs/>
                              </w:rPr>
                              <w:t>Question to RAN4</w:t>
                            </w:r>
                            <w:r w:rsidRPr="008D56A3">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8D56A3" w:rsidRDefault="00263133" w:rsidP="00263133">
                            <w:pPr>
                              <w:spacing w:after="0"/>
                              <w:jc w:val="center"/>
                              <w:rPr>
                                <w:rFonts w:ascii="Arial" w:eastAsia="Malgun Gothic" w:hAnsi="Arial" w:cs="Arial"/>
                              </w:rPr>
                            </w:pPr>
                          </w:p>
                          <w:p w14:paraId="5DC3A255" w14:textId="77777777" w:rsidR="00263133" w:rsidRPr="008D56A3" w:rsidRDefault="00263133" w:rsidP="00EF4A87">
                            <w:pPr>
                              <w:spacing w:after="0"/>
                              <w:rPr>
                                <w:rFonts w:ascii="Arial" w:eastAsia="Malgun Gothic" w:hAnsi="Arial" w:cs="Arial"/>
                              </w:rPr>
                            </w:pPr>
                            <w:r w:rsidRPr="008D56A3">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8D56A3">
                              <w:rPr>
                                <w:rFonts w:ascii="Arial" w:eastAsia="Malgun Gothic" w:hAnsi="Arial" w:cs="Arial"/>
                              </w:rPr>
                              <w:t xml:space="preserve"> up to 120 kHz:</w:t>
                            </w:r>
                          </w:p>
                          <w:p w14:paraId="35377B82" w14:textId="77777777" w:rsidR="00263133" w:rsidRPr="008D56A3" w:rsidRDefault="00263133" w:rsidP="00263133">
                            <w:pPr>
                              <w:spacing w:after="0"/>
                              <w:jc w:val="center"/>
                              <w:rPr>
                                <w:rFonts w:ascii="Arial" w:eastAsia="Malgun Gothic" w:hAnsi="Arial" w:cs="Arial"/>
                              </w:rPr>
                            </w:pPr>
                          </w:p>
                          <w:p w14:paraId="2C8A01E5" w14:textId="77777777" w:rsidR="00263133" w:rsidRPr="008D56A3" w:rsidRDefault="00263133" w:rsidP="00263133">
                            <w:pPr>
                              <w:keepNext/>
                              <w:keepLines/>
                              <w:spacing w:before="60"/>
                              <w:jc w:val="center"/>
                              <w:rPr>
                                <w:rFonts w:ascii="Arial" w:hAnsi="Arial"/>
                                <w:b/>
                                <w:lang w:val="x-none"/>
                              </w:rPr>
                            </w:pPr>
                            <w:r w:rsidRPr="008D56A3">
                              <w:rPr>
                                <w:rFonts w:ascii="Arial" w:hAnsi="Arial"/>
                                <w:b/>
                                <w:lang w:val="x-none"/>
                              </w:rPr>
                              <w:t xml:space="preserve">Table </w:t>
                            </w:r>
                            <w:r w:rsidRPr="008D56A3">
                              <w:rPr>
                                <w:rFonts w:ascii="Arial" w:hAnsi="Arial"/>
                                <w:b/>
                                <w:lang w:val="x-none" w:eastAsia="zh-CN"/>
                              </w:rPr>
                              <w:t>6</w:t>
                            </w:r>
                            <w:r w:rsidRPr="008D56A3">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1766532" r:id="rId18"/>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o:ole="">
                                        <v:imagedata r:id="rId14" o:title=""/>
                                      </v:shape>
                                      <o:OLEObject Type="Embed" ProgID="Equation.3" ShapeID="_x0000_i1030" DrawAspect="Content" ObjectID="_1721766533" r:id="rId19"/>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07858CF6" w14:textId="77777777" w:rsidR="00263133" w:rsidRPr="008D56A3" w:rsidRDefault="00263133" w:rsidP="00263133">
                            <w:pPr>
                              <w:spacing w:after="0"/>
                              <w:jc w:val="center"/>
                              <w:rPr>
                                <w:rFonts w:ascii="Arial" w:eastAsia="Malgun Gothic" w:hAnsi="Arial" w:cs="Arial"/>
                              </w:rPr>
                            </w:pPr>
                          </w:p>
                          <w:p w14:paraId="297D6C65" w14:textId="77777777" w:rsidR="00263133" w:rsidRPr="008D56A3" w:rsidRDefault="00263133" w:rsidP="00263133">
                            <w:pPr>
                              <w:jc w:val="center"/>
                            </w:pPr>
                          </w:p>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">
                <v:textbox>
                  <w:txbxContent>
                    <w:p w14:paraId="44F13965" w14:textId="77777777" w:rsidR="00263133" w:rsidRPr="008D56A3" w:rsidRDefault="00263133" w:rsidP="00263133">
                      <w:pPr>
                        <w:spacing w:after="0"/>
                        <w:rPr>
                          <w:rFonts w:ascii="Arial" w:eastAsia="Malgun Gothic" w:hAnsi="Arial" w:cs="Arial"/>
                        </w:rPr>
                      </w:pPr>
                      <w:r w:rsidRPr="008D56A3">
                        <w:rPr>
                          <w:rFonts w:ascii="Arial" w:eastAsia="Malgun Gothic" w:hAnsi="Arial" w:cs="Arial"/>
                          <w:b/>
                          <w:bCs/>
                        </w:rPr>
                        <w:t>Question to RAN4</w:t>
                      </w:r>
                      <w:r w:rsidRPr="008D56A3">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8D56A3" w:rsidRDefault="00263133" w:rsidP="00263133">
                      <w:pPr>
                        <w:spacing w:after="0"/>
                        <w:jc w:val="center"/>
                        <w:rPr>
                          <w:rFonts w:ascii="Arial" w:eastAsia="Malgun Gothic" w:hAnsi="Arial" w:cs="Arial"/>
                        </w:rPr>
                      </w:pPr>
                    </w:p>
                    <w:p w14:paraId="5DC3A255" w14:textId="77777777" w:rsidR="00263133" w:rsidRPr="008D56A3" w:rsidRDefault="00263133" w:rsidP="00EF4A87">
                      <w:pPr>
                        <w:spacing w:after="0"/>
                        <w:rPr>
                          <w:rFonts w:ascii="Arial" w:eastAsia="Malgun Gothic" w:hAnsi="Arial" w:cs="Arial"/>
                        </w:rPr>
                      </w:pPr>
                      <w:r w:rsidRPr="008D56A3">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8D56A3">
                        <w:rPr>
                          <w:rFonts w:ascii="Arial" w:eastAsia="Malgun Gothic" w:hAnsi="Arial" w:cs="Arial"/>
                        </w:rPr>
                        <w:t xml:space="preserve"> up to 120 kHz:</w:t>
                      </w:r>
                    </w:p>
                    <w:p w14:paraId="35377B82" w14:textId="77777777" w:rsidR="00263133" w:rsidRPr="008D56A3" w:rsidRDefault="00263133" w:rsidP="00263133">
                      <w:pPr>
                        <w:spacing w:after="0"/>
                        <w:jc w:val="center"/>
                        <w:rPr>
                          <w:rFonts w:ascii="Arial" w:eastAsia="Malgun Gothic" w:hAnsi="Arial" w:cs="Arial"/>
                        </w:rPr>
                      </w:pPr>
                    </w:p>
                    <w:p w14:paraId="2C8A01E5" w14:textId="77777777" w:rsidR="00263133" w:rsidRPr="008D56A3" w:rsidRDefault="00263133" w:rsidP="00263133">
                      <w:pPr>
                        <w:keepNext/>
                        <w:keepLines/>
                        <w:spacing w:before="60"/>
                        <w:jc w:val="center"/>
                        <w:rPr>
                          <w:rFonts w:ascii="Arial" w:hAnsi="Arial"/>
                          <w:b/>
                          <w:lang w:val="x-none"/>
                        </w:rPr>
                      </w:pPr>
                      <w:r w:rsidRPr="008D56A3">
                        <w:rPr>
                          <w:rFonts w:ascii="Arial" w:hAnsi="Arial"/>
                          <w:b/>
                          <w:lang w:val="x-none"/>
                        </w:rPr>
                        <w:t xml:space="preserve">Table </w:t>
                      </w:r>
                      <w:r w:rsidRPr="008D56A3">
                        <w:rPr>
                          <w:rFonts w:ascii="Arial" w:hAnsi="Arial"/>
                          <w:b/>
                          <w:lang w:val="x-none" w:eastAsia="zh-CN"/>
                        </w:rPr>
                        <w:t>6</w:t>
                      </w:r>
                      <w:r w:rsidRPr="008D56A3">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1766532" r:id="rId20"/>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o:ole="">
                                  <v:imagedata r:id="rId14" o:title=""/>
                                </v:shape>
                                <o:OLEObject Type="Embed" ProgID="Equation.3" ShapeID="_x0000_i1030" DrawAspect="Content" ObjectID="_1721766533" r:id="rId21"/>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07858CF6" w14:textId="77777777" w:rsidR="00263133" w:rsidRPr="008D56A3" w:rsidRDefault="00263133" w:rsidP="00263133">
                      <w:pPr>
                        <w:spacing w:after="0"/>
                        <w:jc w:val="center"/>
                        <w:rPr>
                          <w:rFonts w:ascii="Arial" w:eastAsia="Malgun Gothic" w:hAnsi="Arial" w:cs="Arial"/>
                        </w:rPr>
                      </w:pPr>
                    </w:p>
                    <w:p w14:paraId="297D6C65" w14:textId="77777777" w:rsidR="00263133" w:rsidRPr="008D56A3" w:rsidRDefault="00263133" w:rsidP="00263133">
                      <w:pPr>
                        <w:jc w:val="center"/>
                      </w:pPr>
                    </w:p>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1A42DCF1" w:rsidR="009C3C80" w:rsidRPr="003418CB" w:rsidRDefault="009C3C80" w:rsidP="00B04195">
            <w:pPr>
              <w:spacing w:after="120"/>
              <w:rPr>
                <w:rFonts w:eastAsiaTheme="minorEastAsia"/>
                <w:color w:val="0070C0"/>
                <w:lang w:val="en-US" w:eastAsia="zh-CN"/>
              </w:rPr>
            </w:pP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EF4A87" w14:paraId="4808F243" w14:textId="77777777" w:rsidTr="00B04195">
        <w:tc>
          <w:tcPr>
            <w:tcW w:w="1236" w:type="dxa"/>
          </w:tcPr>
          <w:p w14:paraId="122BB25F" w14:textId="77777777" w:rsidR="00EF4A87" w:rsidRDefault="00EF4A87" w:rsidP="00B04195">
            <w:pPr>
              <w:spacing w:after="120"/>
              <w:rPr>
                <w:rFonts w:eastAsiaTheme="minorEastAsia"/>
                <w:color w:val="0070C0"/>
                <w:lang w:val="en-US" w:eastAsia="zh-CN"/>
              </w:rPr>
            </w:pPr>
          </w:p>
        </w:tc>
        <w:tc>
          <w:tcPr>
            <w:tcW w:w="8395" w:type="dxa"/>
          </w:tcPr>
          <w:p w14:paraId="31669904" w14:textId="77777777" w:rsidR="00EF4A87" w:rsidRPr="003418CB" w:rsidRDefault="00EF4A87"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C71B55"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C71B55"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2F1B35">
            <w:pPr>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2F1B35">
            <w:pPr>
              <w:pStyle w:val="ListParagraph"/>
              <w:numPr>
                <w:ilvl w:val="0"/>
                <w:numId w:val="26"/>
              </w:numPr>
              <w:spacing w:before="120"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2F1B35">
            <w:pPr>
              <w:pStyle w:val="ListParagraph"/>
              <w:numPr>
                <w:ilvl w:val="0"/>
                <w:numId w:val="26"/>
              </w:numPr>
              <w:spacing w:before="120"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2F1B35">
            <w:pPr>
              <w:spacing w:before="120" w:after="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2F1B35">
                  <w:pPr>
                    <w:pStyle w:val="TAH"/>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2F1B35">
                  <w:pPr>
                    <w:pStyle w:val="TAH"/>
                    <w:jc w:val="both"/>
                    <w:rPr>
                      <w:rFonts w:cs="Arial"/>
                      <w:lang w:eastAsia="en-GB"/>
                    </w:rPr>
                  </w:pPr>
                  <w:r>
                    <w:rPr>
                      <w:rFonts w:cs="Arial"/>
                      <w:lang w:eastAsia="en-GB"/>
                    </w:rPr>
                    <w:t>NR Band</w:t>
                  </w:r>
                </w:p>
                <w:p w14:paraId="4F74EDD1" w14:textId="77777777" w:rsidR="00C13C59" w:rsidRDefault="00C13C59" w:rsidP="002F1B35">
                  <w:pPr>
                    <w:pStyle w:val="TAH"/>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2F1B35">
                  <w:pPr>
                    <w:pStyle w:val="TAC"/>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2F1B35">
                  <w:pPr>
                    <w:pStyle w:val="TAC"/>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2F1B35">
                  <w:pPr>
                    <w:pStyle w:val="TAC"/>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2F1B35">
                  <w:pPr>
                    <w:pStyle w:val="TAC"/>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2F1B35">
                  <w:pPr>
                    <w:pStyle w:val="TAC"/>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2F1B35">
                  <w:pPr>
                    <w:pStyle w:val="TAC"/>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2F1B35">
                  <w:pPr>
                    <w:pStyle w:val="TAC"/>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2F1B35">
                  <w:pPr>
                    <w:pStyle w:val="TAC"/>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2F1B35">
                  <w:pPr>
                    <w:pStyle w:val="TAC"/>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2F1B35">
                  <w:pPr>
                    <w:pStyle w:val="TAC"/>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2F1B35">
                  <w:pPr>
                    <w:pStyle w:val="TAC"/>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2F1B35">
                  <w:pPr>
                    <w:pStyle w:val="TAC"/>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2F1B35">
                  <w:pPr>
                    <w:pStyle w:val="TAC"/>
                    <w:jc w:val="both"/>
                    <w:rPr>
                      <w:color w:val="FF0000"/>
                      <w:lang w:eastAsia="en-GB"/>
                    </w:rPr>
                  </w:pPr>
                  <w:r w:rsidRPr="00C13C59">
                    <w:rPr>
                      <w:color w:val="FF0000"/>
                      <w:lang w:eastAsia="en-GB"/>
                    </w:rPr>
                    <w:lastRenderedPageBreak/>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2F1B35">
                  <w:pPr>
                    <w:spacing w:before="120" w:after="120"/>
                    <w:jc w:val="both"/>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2F1B35">
                  <w:pPr>
                    <w:spacing w:before="120" w:after="120"/>
                    <w:jc w:val="both"/>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2F1B35">
                  <w:pPr>
                    <w:spacing w:before="120" w:after="120"/>
                    <w:jc w:val="both"/>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2F1B35">
                  <w:pPr>
                    <w:spacing w:before="120" w:after="12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2F1B35">
                  <w:pPr>
                    <w:spacing w:before="120" w:after="120"/>
                    <w:jc w:val="both"/>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2F1B35">
                  <w:pPr>
                    <w:spacing w:before="120" w:after="12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lastRenderedPageBreak/>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0E77E2">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0E77E2">
            <w:pPr>
              <w:pStyle w:val="TAH"/>
              <w:rPr>
                <w:rFonts w:cs="Arial"/>
                <w:lang w:eastAsia="en-GB"/>
              </w:rPr>
            </w:pPr>
            <w:r>
              <w:rPr>
                <w:rFonts w:cs="Arial"/>
                <w:lang w:eastAsia="en-GB"/>
              </w:rPr>
              <w:t>NR Band</w:t>
            </w:r>
          </w:p>
          <w:p w14:paraId="4EF0EB86" w14:textId="77777777" w:rsidR="00D8793D" w:rsidRDefault="00D8793D" w:rsidP="000E77E2">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0E77E2">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0E77E2">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0E77E2">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0E77E2">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0E77E2">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0E77E2">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0E77E2">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0E77E2">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0E77E2">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0E77E2">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0E77E2">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0E77E2">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0E77E2">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176937">
      <w:pPr>
        <w:pStyle w:val="ListParagraph"/>
        <w:numPr>
          <w:ilvl w:val="1"/>
          <w:numId w:val="4"/>
        </w:numPr>
        <w:overflowPunct/>
        <w:autoSpaceDE/>
        <w:autoSpaceDN/>
        <w:adjustRightInd/>
        <w:spacing w:after="240"/>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525"/>
        <w:gridCol w:w="3505"/>
        <w:gridCol w:w="1170"/>
        <w:gridCol w:w="1725"/>
      </w:tblGrid>
      <w:tr w:rsidR="00791C0E" w14:paraId="5C1E2DA3" w14:textId="77777777" w:rsidTr="00D25FB0">
        <w:trPr>
          <w:jc w:val="center"/>
        </w:trPr>
        <w:tc>
          <w:tcPr>
            <w:tcW w:w="1525" w:type="dxa"/>
          </w:tcPr>
          <w:p w14:paraId="0517361C" w14:textId="77777777" w:rsidR="00791C0E" w:rsidRPr="00B104E4" w:rsidRDefault="00791C0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0E77E2">
            <w:pPr>
              <w:spacing w:before="120" w:after="12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D25FB0">
        <w:trPr>
          <w:jc w:val="center"/>
        </w:trPr>
        <w:tc>
          <w:tcPr>
            <w:tcW w:w="1525" w:type="dxa"/>
          </w:tcPr>
          <w:p w14:paraId="0CC9BBEE"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D25FB0">
        <w:trPr>
          <w:jc w:val="center"/>
        </w:trPr>
        <w:tc>
          <w:tcPr>
            <w:tcW w:w="1525" w:type="dxa"/>
          </w:tcPr>
          <w:p w14:paraId="51ACA33C"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D25FB0">
        <w:trPr>
          <w:jc w:val="center"/>
        </w:trPr>
        <w:tc>
          <w:tcPr>
            <w:tcW w:w="1525" w:type="dxa"/>
          </w:tcPr>
          <w:p w14:paraId="4796D3C5"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0E77E2">
            <w:pPr>
              <w:spacing w:before="120" w:after="120"/>
              <w:rPr>
                <w:rFonts w:ascii="Arial" w:hAnsi="Arial" w:cs="Arial"/>
                <w:sz w:val="18"/>
                <w:szCs w:val="18"/>
              </w:rPr>
            </w:pPr>
          </w:p>
        </w:tc>
      </w:tr>
      <w:tr w:rsidR="00791C0E" w14:paraId="26356D61" w14:textId="77777777" w:rsidTr="00D25FB0">
        <w:trPr>
          <w:jc w:val="center"/>
        </w:trPr>
        <w:tc>
          <w:tcPr>
            <w:tcW w:w="1525" w:type="dxa"/>
          </w:tcPr>
          <w:p w14:paraId="476F9E45"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0E77E2">
            <w:pPr>
              <w:spacing w:before="120" w:after="120"/>
              <w:rPr>
                <w:rFonts w:ascii="Arial" w:hAnsi="Arial" w:cs="Arial"/>
                <w:sz w:val="18"/>
                <w:szCs w:val="18"/>
              </w:rPr>
            </w:pPr>
          </w:p>
        </w:tc>
      </w:tr>
      <w:tr w:rsidR="00791C0E" w14:paraId="460A6A98" w14:textId="77777777" w:rsidTr="00D25FB0">
        <w:trPr>
          <w:jc w:val="center"/>
        </w:trPr>
        <w:tc>
          <w:tcPr>
            <w:tcW w:w="1525" w:type="dxa"/>
          </w:tcPr>
          <w:p w14:paraId="6AB1DF27"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0E77E2">
            <w:pPr>
              <w:spacing w:before="120" w:after="12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0E77E2">
            <w:pPr>
              <w:spacing w:before="120" w:after="120"/>
              <w:rPr>
                <w:rFonts w:ascii="Arial" w:hAnsi="Arial" w:cs="Arial"/>
                <w:sz w:val="18"/>
                <w:szCs w:val="18"/>
              </w:rPr>
            </w:pPr>
          </w:p>
        </w:tc>
      </w:tr>
      <w:tr w:rsidR="00791C0E" w14:paraId="17B14ABB" w14:textId="77777777" w:rsidTr="00D25FB0">
        <w:trPr>
          <w:jc w:val="center"/>
        </w:trPr>
        <w:tc>
          <w:tcPr>
            <w:tcW w:w="7925" w:type="dxa"/>
            <w:gridSpan w:val="4"/>
            <w:vAlign w:val="center"/>
          </w:tcPr>
          <w:p w14:paraId="18A821A3" w14:textId="77777777" w:rsidR="00791C0E" w:rsidRPr="00B104E4" w:rsidRDefault="00791C0E" w:rsidP="000E77E2">
            <w:pPr>
              <w:pStyle w:val="TAN"/>
              <w:rPr>
                <w:rFonts w:cs="Arial"/>
                <w:szCs w:val="18"/>
                <w:lang w:eastAsia="en-GB"/>
              </w:rPr>
            </w:pPr>
            <w:r w:rsidRPr="00B104E4">
              <w:rPr>
                <w:rFonts w:eastAsia="MS PGothic" w:cs="Arial"/>
                <w:szCs w:val="18"/>
                <w:lang w:eastAsia="en-GB"/>
              </w:rPr>
              <w:lastRenderedPageBreak/>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0E77E2">
            <w:pPr>
              <w:spacing w:before="120" w:after="12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706A5E5" w14:textId="77777777" w:rsidR="00791C0E" w:rsidRDefault="00791C0E" w:rsidP="005C3CD7">
      <w:pPr>
        <w:spacing w:after="0"/>
        <w:rPr>
          <w:color w:val="0070C0"/>
          <w:szCs w:val="24"/>
          <w:lang w:eastAsia="zh-CN"/>
        </w:rPr>
      </w:pPr>
    </w:p>
    <w:p w14:paraId="651D9B74" w14:textId="7777777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8613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p w14:paraId="6AFA20AD" w14:textId="39C57584" w:rsidR="00584299" w:rsidRDefault="00584299" w:rsidP="00584299">
      <w:pPr>
        <w:spacing w:after="120"/>
        <w:jc w:val="both"/>
        <w:rPr>
          <w:color w:val="0070C0"/>
          <w:szCs w:val="24"/>
          <w:lang w:eastAsia="zh-CN"/>
        </w:rPr>
      </w:pPr>
    </w:p>
    <w:tbl>
      <w:tblPr>
        <w:tblW w:w="5330" w:type="pct"/>
        <w:tblInd w:w="-6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239"/>
        <w:gridCol w:w="1328"/>
        <w:gridCol w:w="878"/>
        <w:gridCol w:w="878"/>
        <w:gridCol w:w="878"/>
        <w:gridCol w:w="878"/>
        <w:gridCol w:w="878"/>
        <w:gridCol w:w="878"/>
        <w:gridCol w:w="878"/>
        <w:gridCol w:w="878"/>
        <w:gridCol w:w="1079"/>
        <w:gridCol w:w="554"/>
        <w:gridCol w:w="857"/>
      </w:tblGrid>
      <w:tr w:rsidR="00584299" w14:paraId="5C0BE84F" w14:textId="77777777" w:rsidTr="00584299">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0E77E2">
            <w:pPr>
              <w:pStyle w:val="TAH"/>
              <w:rPr>
                <w:lang w:eastAsia="en-GB"/>
              </w:rPr>
            </w:pPr>
            <w:bookmarkStart w:id="1" w:name="_Hlk511814538"/>
            <w:r>
              <w:rPr>
                <w:lang w:eastAsia="en-GB"/>
              </w:rPr>
              <w:t>NR CA configuration / Bandwidth combination set / Fallback group</w:t>
            </w:r>
          </w:p>
        </w:tc>
      </w:tr>
      <w:tr w:rsidR="00584299" w14:paraId="5AC1030C" w14:textId="77777777" w:rsidTr="00584299">
        <w:trPr>
          <w:trHeight w:val="187"/>
          <w:tblHeader/>
        </w:trPr>
        <w:tc>
          <w:tcPr>
            <w:tcW w:w="623" w:type="pct"/>
            <w:tcBorders>
              <w:top w:val="single" w:sz="6" w:space="0" w:color="auto"/>
              <w:left w:val="single" w:sz="4" w:space="0" w:color="auto"/>
              <w:bottom w:val="single" w:sz="6" w:space="0" w:color="auto"/>
              <w:right w:val="single" w:sz="6" w:space="0" w:color="auto"/>
            </w:tcBorders>
            <w:hideMark/>
          </w:tcPr>
          <w:p w14:paraId="4FDBF70A" w14:textId="77777777" w:rsidR="00584299" w:rsidRPr="00584299" w:rsidRDefault="00584299" w:rsidP="000E77E2">
            <w:pPr>
              <w:pStyle w:val="TAH"/>
              <w:rPr>
                <w:rFonts w:eastAsia="Yu Mincho"/>
                <w:sz w:val="16"/>
                <w:szCs w:val="18"/>
                <w:lang w:val="en-US" w:eastAsia="en-GB"/>
              </w:rPr>
            </w:pPr>
            <w:r w:rsidRPr="00584299">
              <w:rPr>
                <w:sz w:val="16"/>
                <w:szCs w:val="18"/>
                <w:lang w:val="en-US" w:eastAsia="en-GB"/>
              </w:rPr>
              <w:t>NR CA configuration</w:t>
            </w:r>
          </w:p>
        </w:tc>
        <w:tc>
          <w:tcPr>
            <w:tcW w:w="525" w:type="pct"/>
            <w:tcBorders>
              <w:top w:val="single" w:sz="6" w:space="0" w:color="auto"/>
              <w:left w:val="single" w:sz="6" w:space="0" w:color="auto"/>
              <w:bottom w:val="single" w:sz="6" w:space="0" w:color="auto"/>
              <w:right w:val="single" w:sz="6" w:space="0" w:color="auto"/>
            </w:tcBorders>
            <w:hideMark/>
          </w:tcPr>
          <w:p w14:paraId="44A11A64" w14:textId="77777777" w:rsidR="00584299" w:rsidRPr="00584299" w:rsidRDefault="00584299" w:rsidP="000E77E2">
            <w:pPr>
              <w:pStyle w:val="TAH"/>
              <w:rPr>
                <w:rFonts w:eastAsia="Yu Mincho"/>
                <w:sz w:val="16"/>
                <w:szCs w:val="18"/>
                <w:lang w:val="en-US" w:eastAsia="ja-JP"/>
              </w:rPr>
            </w:pPr>
            <w:r w:rsidRPr="00584299">
              <w:rPr>
                <w:sz w:val="16"/>
                <w:szCs w:val="18"/>
                <w:lang w:val="en-US" w:eastAsia="ja-JP"/>
              </w:rPr>
              <w:t>Uplink CA configurations</w:t>
            </w:r>
          </w:p>
        </w:tc>
        <w:tc>
          <w:tcPr>
            <w:tcW w:w="355"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55"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31"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0E77E2">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0E77E2">
            <w:pPr>
              <w:pStyle w:val="TAH"/>
              <w:rPr>
                <w:rFonts w:eastAsia="Yu Mincho"/>
                <w:sz w:val="16"/>
                <w:szCs w:val="18"/>
                <w:lang w:eastAsia="en-GB"/>
              </w:rPr>
            </w:pPr>
            <w:r w:rsidRPr="00584299">
              <w:rPr>
                <w:sz w:val="16"/>
                <w:szCs w:val="18"/>
                <w:lang w:eastAsia="en-GB"/>
              </w:rPr>
              <w:t>BW (MHz)</w:t>
            </w:r>
          </w:p>
        </w:tc>
        <w:tc>
          <w:tcPr>
            <w:tcW w:w="233"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0E77E2">
            <w:pPr>
              <w:pStyle w:val="TAH"/>
              <w:rPr>
                <w:rFonts w:eastAsia="Yu Mincho"/>
                <w:sz w:val="16"/>
                <w:szCs w:val="18"/>
                <w:lang w:eastAsia="en-GB"/>
              </w:rPr>
            </w:pPr>
            <w:r w:rsidRPr="00584299">
              <w:rPr>
                <w:sz w:val="16"/>
                <w:szCs w:val="18"/>
                <w:lang w:eastAsia="en-GB"/>
              </w:rPr>
              <w:t>BCS</w:t>
            </w:r>
          </w:p>
        </w:tc>
        <w:tc>
          <w:tcPr>
            <w:tcW w:w="347"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0E77E2">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CA_n263B</w:t>
            </w:r>
          </w:p>
        </w:tc>
        <w:tc>
          <w:tcPr>
            <w:tcW w:w="525"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33"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57EBE64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6304FCC5"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CA_n263C</w:t>
            </w:r>
          </w:p>
        </w:tc>
        <w:tc>
          <w:tcPr>
            <w:tcW w:w="525"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55"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1200</w:t>
            </w:r>
          </w:p>
        </w:tc>
        <w:tc>
          <w:tcPr>
            <w:tcW w:w="233"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2A503B7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36B66705"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CA_n263V</w:t>
            </w:r>
          </w:p>
        </w:tc>
        <w:tc>
          <w:tcPr>
            <w:tcW w:w="525"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55"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55"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1600</w:t>
            </w:r>
          </w:p>
        </w:tc>
        <w:tc>
          <w:tcPr>
            <w:tcW w:w="233"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209CB41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5D5C0FFA"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CA_n263W</w:t>
            </w:r>
          </w:p>
        </w:tc>
        <w:tc>
          <w:tcPr>
            <w:tcW w:w="525"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55"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55"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55"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2000</w:t>
            </w:r>
          </w:p>
        </w:tc>
        <w:tc>
          <w:tcPr>
            <w:tcW w:w="233"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627FD6B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75140D3F"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CA_n263G</w:t>
            </w:r>
          </w:p>
        </w:tc>
        <w:tc>
          <w:tcPr>
            <w:tcW w:w="525"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w:t>
            </w:r>
          </w:p>
        </w:tc>
        <w:tc>
          <w:tcPr>
            <w:tcW w:w="233"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7E8951C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73E8771A"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CA_n263H</w:t>
            </w:r>
          </w:p>
        </w:tc>
        <w:tc>
          <w:tcPr>
            <w:tcW w:w="525"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0E77E2">
            <w:pPr>
              <w:pStyle w:val="TAC"/>
              <w:rPr>
                <w:color w:val="FF0000"/>
                <w:sz w:val="16"/>
                <w:szCs w:val="18"/>
                <w:lang w:eastAsia="ja-JP"/>
              </w:rPr>
            </w:pPr>
          </w:p>
        </w:tc>
        <w:tc>
          <w:tcPr>
            <w:tcW w:w="355"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300</w:t>
            </w:r>
          </w:p>
        </w:tc>
        <w:tc>
          <w:tcPr>
            <w:tcW w:w="233"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20A4F8C6"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46FB5C6E"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CA_n263I</w:t>
            </w:r>
          </w:p>
        </w:tc>
        <w:tc>
          <w:tcPr>
            <w:tcW w:w="525"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233"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3A2F632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E512E76"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CA_n263J</w:t>
            </w:r>
          </w:p>
        </w:tc>
        <w:tc>
          <w:tcPr>
            <w:tcW w:w="525"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500</w:t>
            </w:r>
          </w:p>
        </w:tc>
        <w:tc>
          <w:tcPr>
            <w:tcW w:w="233"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02839E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54EA390C"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CA_n263K</w:t>
            </w:r>
          </w:p>
        </w:tc>
        <w:tc>
          <w:tcPr>
            <w:tcW w:w="525"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0E77E2">
            <w:pPr>
              <w:pStyle w:val="TAC"/>
              <w:rPr>
                <w:color w:val="FF0000"/>
                <w:sz w:val="16"/>
                <w:szCs w:val="18"/>
                <w:lang w:eastAsia="en-GB"/>
              </w:rPr>
            </w:pPr>
          </w:p>
        </w:tc>
        <w:tc>
          <w:tcPr>
            <w:tcW w:w="355"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600</w:t>
            </w:r>
          </w:p>
        </w:tc>
        <w:tc>
          <w:tcPr>
            <w:tcW w:w="233"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4BFA1AFD"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35D4583D"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CA_n263L</w:t>
            </w:r>
          </w:p>
        </w:tc>
        <w:tc>
          <w:tcPr>
            <w:tcW w:w="525"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0E77E2">
            <w:pPr>
              <w:pStyle w:val="TAC"/>
              <w:rPr>
                <w:color w:val="FF0000"/>
                <w:sz w:val="16"/>
                <w:szCs w:val="18"/>
                <w:lang w:eastAsia="en-GB"/>
              </w:rPr>
            </w:pPr>
          </w:p>
        </w:tc>
        <w:tc>
          <w:tcPr>
            <w:tcW w:w="431"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700</w:t>
            </w:r>
          </w:p>
        </w:tc>
        <w:tc>
          <w:tcPr>
            <w:tcW w:w="233"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3F40D91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6A224DD2" w14:textId="77777777" w:rsidTr="00584299">
        <w:trPr>
          <w:trHeight w:val="187"/>
        </w:trPr>
        <w:tc>
          <w:tcPr>
            <w:tcW w:w="623"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CA_n263M</w:t>
            </w:r>
          </w:p>
        </w:tc>
        <w:tc>
          <w:tcPr>
            <w:tcW w:w="525"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55"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55"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55"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431"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33"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47" w:type="pct"/>
            <w:tcBorders>
              <w:top w:val="single" w:sz="6" w:space="0" w:color="auto"/>
              <w:left w:val="single" w:sz="6" w:space="0" w:color="auto"/>
              <w:bottom w:val="nil"/>
              <w:right w:val="single" w:sz="4" w:space="0" w:color="auto"/>
            </w:tcBorders>
          </w:tcPr>
          <w:p w14:paraId="20EAC8B3"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231D542" w14:textId="77777777" w:rsidTr="00584299">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0E77E2">
            <w:pPr>
              <w:pStyle w:val="TAN"/>
              <w:keepNext w:val="0"/>
              <w:rPr>
                <w:lang w:eastAsia="en-GB"/>
              </w:rPr>
            </w:pPr>
            <w:r>
              <w:rPr>
                <w:lang w:eastAsia="en-GB"/>
              </w:rPr>
              <w:t>NOTE 1:</w:t>
            </w:r>
            <w:r>
              <w:rPr>
                <w:lang w:eastAsia="en-GB"/>
              </w:rPr>
              <w:tab/>
              <w:t>Void</w:t>
            </w:r>
          </w:p>
          <w:p w14:paraId="2D383375" w14:textId="77777777" w:rsidR="00584299" w:rsidRDefault="00584299" w:rsidP="000E77E2">
            <w:pPr>
              <w:pStyle w:val="TAN"/>
              <w:keepNext w:val="0"/>
              <w:rPr>
                <w:szCs w:val="22"/>
                <w:lang w:eastAsia="en-GB"/>
              </w:rPr>
            </w:pPr>
            <w:r>
              <w:rPr>
                <w:szCs w:val="22"/>
                <w:lang w:val="en-US" w:eastAsia="zh-CN"/>
              </w:rPr>
              <w:lastRenderedPageBreak/>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0E77E2">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24BD540"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547A1DE" w14:textId="319D5D5D" w:rsidR="002F1B35" w:rsidRDefault="002F1B35" w:rsidP="002F1B35">
      <w:pPr>
        <w:rPr>
          <w:bCs/>
          <w:color w:val="0070C0"/>
          <w:u w:val="single"/>
          <w:lang w:eastAsia="ko-KR"/>
        </w:rPr>
      </w:pPr>
      <w:r>
        <w:rPr>
          <w:bCs/>
          <w:color w:val="0070C0"/>
          <w:u w:val="single"/>
          <w:lang w:eastAsia="ko-KR"/>
        </w:rPr>
        <w:t>Issue 2-2b: NR CA bandwidth class</w:t>
      </w:r>
    </w:p>
    <w:p w14:paraId="7E5CE537" w14:textId="77023B4D" w:rsidR="002F1B35" w:rsidRDefault="002F1B35" w:rsidP="002F1B35">
      <w:pPr>
        <w:rPr>
          <w:bCs/>
          <w:color w:val="0070C0"/>
          <w:u w:val="single"/>
          <w:lang w:eastAsia="ko-KR"/>
        </w:rPr>
      </w:pPr>
      <w:r>
        <w:rPr>
          <w:bCs/>
          <w:color w:val="0070C0"/>
          <w:u w:val="single"/>
          <w:lang w:eastAsia="ko-KR"/>
        </w:rPr>
        <w:t>Issue 2-2c: Channel spacing for CA</w:t>
      </w: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0E77E2">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0E77E2">
            <w:pPr>
              <w:spacing w:before="120" w:after="120"/>
              <w:rPr>
                <w:b/>
                <w:bCs/>
              </w:rPr>
            </w:pPr>
            <w:r w:rsidRPr="00045592">
              <w:rPr>
                <w:b/>
                <w:bCs/>
              </w:rPr>
              <w:t>Company</w:t>
            </w:r>
          </w:p>
        </w:tc>
        <w:tc>
          <w:tcPr>
            <w:tcW w:w="6585" w:type="dxa"/>
            <w:vAlign w:val="center"/>
          </w:tcPr>
          <w:p w14:paraId="3CA4E480" w14:textId="77777777" w:rsidR="0023536D" w:rsidRPr="00045592" w:rsidRDefault="0023536D" w:rsidP="000E77E2">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C71B55"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 w:name="_Hlk111140096"/>
            <w:r>
              <w:t xml:space="preserve">RAN4 targets completing one example band combination </w:t>
            </w:r>
            <w:r w:rsidRPr="00747892">
              <w:t>FR2-2 DC/CA with an anchor in FR1</w:t>
            </w:r>
            <w:r>
              <w:t xml:space="preserve"> within the </w:t>
            </w:r>
            <w:r w:rsidRPr="00950E79">
              <w:t>maintenance phase of the WI</w:t>
            </w:r>
          </w:p>
          <w:bookmarkEnd w:id="2"/>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F5F041" w14:textId="0EC09799" w:rsidR="0023536D" w:rsidRPr="000A79DD" w:rsidRDefault="00DC7482" w:rsidP="000F3A6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share their views on the </w:t>
      </w:r>
      <w:r w:rsidR="000A79DD">
        <w:rPr>
          <w:rFonts w:eastAsia="SimSun"/>
          <w:color w:val="0070C0"/>
          <w:szCs w:val="24"/>
          <w:lang w:eastAsia="zh-CN"/>
        </w:rPr>
        <w:t>suggested approach, and any modifications or recommendations</w:t>
      </w:r>
      <w:r w:rsidR="004A338D">
        <w:rPr>
          <w:rFonts w:eastAsia="SimSun"/>
          <w:color w:val="0070C0"/>
          <w:szCs w:val="24"/>
          <w:lang w:eastAsia="zh-CN"/>
        </w:rPr>
        <w:t xml:space="preserve"> </w:t>
      </w:r>
      <w:r w:rsidR="000F3A65">
        <w:rPr>
          <w:rFonts w:eastAsia="SimSun"/>
          <w:color w:val="0070C0"/>
          <w:szCs w:val="24"/>
          <w:lang w:eastAsia="zh-CN"/>
        </w:rPr>
        <w:t xml:space="preserve">to introduce </w:t>
      </w:r>
      <w:r w:rsidR="001D141D">
        <w:rPr>
          <w:rFonts w:eastAsia="SimSun"/>
          <w:color w:val="0070C0"/>
          <w:szCs w:val="24"/>
          <w:lang w:eastAsia="zh-CN"/>
        </w:rPr>
        <w:t xml:space="preserve">band </w:t>
      </w:r>
      <w:r w:rsidR="000F3A65">
        <w:rPr>
          <w:rFonts w:eastAsia="SimSun"/>
          <w:color w:val="0070C0"/>
          <w:szCs w:val="24"/>
          <w:lang w:eastAsia="zh-CN"/>
        </w:rPr>
        <w:t>combinations</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0E77E2">
        <w:tc>
          <w:tcPr>
            <w:tcW w:w="1236" w:type="dxa"/>
          </w:tcPr>
          <w:p w14:paraId="52A3B706" w14:textId="77777777" w:rsidR="0023536D" w:rsidRPr="00805BE8" w:rsidRDefault="0023536D"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0E77E2">
        <w:tc>
          <w:tcPr>
            <w:tcW w:w="1236" w:type="dxa"/>
          </w:tcPr>
          <w:p w14:paraId="4C59F427"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F85FD3" w14:textId="77777777" w:rsidR="0023536D" w:rsidRPr="003418CB" w:rsidRDefault="0023536D" w:rsidP="000E77E2">
            <w:pPr>
              <w:spacing w:after="120"/>
              <w:rPr>
                <w:rFonts w:eastAsiaTheme="minorEastAsia"/>
                <w:color w:val="0070C0"/>
                <w:lang w:val="en-US" w:eastAsia="zh-CN"/>
              </w:rPr>
            </w:pP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lastRenderedPageBreak/>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0E77E2">
        <w:tc>
          <w:tcPr>
            <w:tcW w:w="1242" w:type="dxa"/>
          </w:tcPr>
          <w:p w14:paraId="44F86C4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0E77E2">
        <w:tc>
          <w:tcPr>
            <w:tcW w:w="1242" w:type="dxa"/>
            <w:vMerge w:val="restart"/>
          </w:tcPr>
          <w:p w14:paraId="09872087"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0E77E2">
        <w:tc>
          <w:tcPr>
            <w:tcW w:w="1242" w:type="dxa"/>
            <w:vMerge/>
          </w:tcPr>
          <w:p w14:paraId="32E3C5FC" w14:textId="77777777" w:rsidR="0023536D" w:rsidRDefault="0023536D" w:rsidP="000E77E2">
            <w:pPr>
              <w:spacing w:after="120"/>
              <w:rPr>
                <w:rFonts w:eastAsiaTheme="minorEastAsia"/>
                <w:color w:val="0070C0"/>
                <w:lang w:val="en-US" w:eastAsia="zh-CN"/>
              </w:rPr>
            </w:pPr>
          </w:p>
        </w:tc>
        <w:tc>
          <w:tcPr>
            <w:tcW w:w="8615" w:type="dxa"/>
          </w:tcPr>
          <w:p w14:paraId="672F10B6"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0E77E2">
        <w:tc>
          <w:tcPr>
            <w:tcW w:w="1242" w:type="dxa"/>
            <w:vMerge/>
          </w:tcPr>
          <w:p w14:paraId="251042E7" w14:textId="77777777" w:rsidR="0023536D" w:rsidRDefault="0023536D" w:rsidP="000E77E2">
            <w:pPr>
              <w:spacing w:after="120"/>
              <w:rPr>
                <w:rFonts w:eastAsiaTheme="minorEastAsia"/>
                <w:color w:val="0070C0"/>
                <w:lang w:val="en-US" w:eastAsia="zh-CN"/>
              </w:rPr>
            </w:pPr>
          </w:p>
        </w:tc>
        <w:tc>
          <w:tcPr>
            <w:tcW w:w="8615" w:type="dxa"/>
          </w:tcPr>
          <w:p w14:paraId="7BE36B3C" w14:textId="77777777" w:rsidR="0023536D" w:rsidRDefault="0023536D" w:rsidP="000E77E2">
            <w:pPr>
              <w:spacing w:after="120"/>
              <w:rPr>
                <w:rFonts w:eastAsiaTheme="minorEastAsia"/>
                <w:color w:val="0070C0"/>
                <w:lang w:val="en-US" w:eastAsia="zh-CN"/>
              </w:rPr>
            </w:pPr>
          </w:p>
        </w:tc>
      </w:tr>
      <w:tr w:rsidR="0023536D" w:rsidRPr="00571777" w14:paraId="3EA674DE" w14:textId="77777777" w:rsidTr="000E77E2">
        <w:tc>
          <w:tcPr>
            <w:tcW w:w="1242" w:type="dxa"/>
            <w:vMerge w:val="restart"/>
          </w:tcPr>
          <w:p w14:paraId="36351BC8" w14:textId="77777777" w:rsidR="0023536D" w:rsidRDefault="0023536D" w:rsidP="000E77E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0E77E2">
        <w:tc>
          <w:tcPr>
            <w:tcW w:w="1242" w:type="dxa"/>
            <w:vMerge/>
          </w:tcPr>
          <w:p w14:paraId="12DE50F4" w14:textId="77777777" w:rsidR="0023536D" w:rsidRDefault="0023536D" w:rsidP="000E77E2">
            <w:pPr>
              <w:spacing w:after="120"/>
              <w:rPr>
                <w:rFonts w:eastAsiaTheme="minorEastAsia"/>
                <w:color w:val="0070C0"/>
                <w:lang w:val="en-US" w:eastAsia="zh-CN"/>
              </w:rPr>
            </w:pPr>
          </w:p>
        </w:tc>
        <w:tc>
          <w:tcPr>
            <w:tcW w:w="8615" w:type="dxa"/>
          </w:tcPr>
          <w:p w14:paraId="75D44E1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0E77E2">
        <w:tc>
          <w:tcPr>
            <w:tcW w:w="1242" w:type="dxa"/>
            <w:vMerge/>
          </w:tcPr>
          <w:p w14:paraId="7E05A752" w14:textId="77777777" w:rsidR="0023536D" w:rsidRDefault="0023536D" w:rsidP="000E77E2">
            <w:pPr>
              <w:spacing w:after="120"/>
              <w:rPr>
                <w:rFonts w:eastAsiaTheme="minorEastAsia"/>
                <w:color w:val="0070C0"/>
                <w:lang w:val="en-US" w:eastAsia="zh-CN"/>
              </w:rPr>
            </w:pPr>
          </w:p>
        </w:tc>
        <w:tc>
          <w:tcPr>
            <w:tcW w:w="8615" w:type="dxa"/>
          </w:tcPr>
          <w:p w14:paraId="39F0FFC8" w14:textId="77777777" w:rsidR="0023536D" w:rsidRDefault="0023536D" w:rsidP="000E77E2">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0E77E2">
        <w:tc>
          <w:tcPr>
            <w:tcW w:w="1242" w:type="dxa"/>
          </w:tcPr>
          <w:p w14:paraId="581E16AD" w14:textId="77777777" w:rsidR="0023536D" w:rsidRPr="00045592" w:rsidRDefault="0023536D" w:rsidP="000E77E2">
            <w:pPr>
              <w:rPr>
                <w:rFonts w:eastAsiaTheme="minorEastAsia"/>
                <w:b/>
                <w:bCs/>
                <w:color w:val="0070C0"/>
                <w:lang w:val="en-US" w:eastAsia="zh-CN"/>
              </w:rPr>
            </w:pPr>
          </w:p>
        </w:tc>
        <w:tc>
          <w:tcPr>
            <w:tcW w:w="8615" w:type="dxa"/>
          </w:tcPr>
          <w:p w14:paraId="1558E1D6"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0E77E2">
        <w:tc>
          <w:tcPr>
            <w:tcW w:w="1242" w:type="dxa"/>
          </w:tcPr>
          <w:p w14:paraId="620BD287" w14:textId="77777777" w:rsidR="0023536D" w:rsidRPr="003418CB" w:rsidRDefault="0023536D"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0E77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0E77E2">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0E77E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0E77E2">
        <w:tc>
          <w:tcPr>
            <w:tcW w:w="1242" w:type="dxa"/>
          </w:tcPr>
          <w:p w14:paraId="1EAE0127"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0E77E2">
        <w:tc>
          <w:tcPr>
            <w:tcW w:w="1242" w:type="dxa"/>
          </w:tcPr>
          <w:p w14:paraId="3384862C" w14:textId="77777777" w:rsidR="0023536D" w:rsidRPr="003418CB" w:rsidRDefault="0023536D" w:rsidP="000E77E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0E77E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260F7">
            <w:pPr>
              <w:spacing w:after="120"/>
              <w:rPr>
                <w:rFonts w:eastAsiaTheme="minorEastAsia"/>
                <w:color w:val="0070C0"/>
                <w:lang w:val="en-US" w:eastAsia="zh-CN"/>
              </w:rPr>
            </w:pPr>
          </w:p>
        </w:tc>
        <w:tc>
          <w:tcPr>
            <w:tcW w:w="2712" w:type="dxa"/>
          </w:tcPr>
          <w:p w14:paraId="3E5F9DE3" w14:textId="4CBB8959"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260F7">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260F7">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260F7">
            <w:pPr>
              <w:spacing w:after="120"/>
              <w:rPr>
                <w:rFonts w:eastAsiaTheme="minorEastAsia"/>
                <w:color w:val="0070C0"/>
                <w:lang w:val="en-US" w:eastAsia="zh-CN"/>
              </w:rPr>
            </w:pPr>
          </w:p>
        </w:tc>
        <w:tc>
          <w:tcPr>
            <w:tcW w:w="2712" w:type="dxa"/>
          </w:tcPr>
          <w:p w14:paraId="43E61531" w14:textId="6B419544"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260F7">
            <w:pPr>
              <w:spacing w:after="120"/>
              <w:rPr>
                <w:rFonts w:eastAsiaTheme="minorEastAsia"/>
                <w:color w:val="0070C0"/>
                <w:lang w:val="en-US" w:eastAsia="zh-CN"/>
              </w:rPr>
            </w:pPr>
          </w:p>
        </w:tc>
        <w:tc>
          <w:tcPr>
            <w:tcW w:w="1842" w:type="dxa"/>
          </w:tcPr>
          <w:p w14:paraId="66B69531" w14:textId="77777777" w:rsidR="00CE40BC" w:rsidRPr="00B04195" w:rsidRDefault="00CE40BC" w:rsidP="00D260F7">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2" w:type="dxa"/>
          </w:tcPr>
          <w:p w14:paraId="6AB8482B" w14:textId="6ADC8788"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260F7">
            <w:pPr>
              <w:spacing w:after="120"/>
              <w:rPr>
                <w:rFonts w:eastAsiaTheme="minorEastAsia"/>
                <w:color w:val="0070C0"/>
                <w:lang w:val="en-US" w:eastAsia="zh-CN"/>
              </w:rPr>
            </w:pPr>
          </w:p>
        </w:tc>
        <w:tc>
          <w:tcPr>
            <w:tcW w:w="1842" w:type="dxa"/>
          </w:tcPr>
          <w:p w14:paraId="591DDF44" w14:textId="77777777" w:rsidR="001E6C4D" w:rsidRPr="00B04195" w:rsidRDefault="001E6C4D" w:rsidP="00D260F7">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260F7">
            <w:pPr>
              <w:spacing w:after="120"/>
              <w:rPr>
                <w:rFonts w:eastAsiaTheme="minorEastAsia"/>
                <w:color w:val="0070C0"/>
                <w:lang w:val="en-US" w:eastAsia="zh-CN"/>
              </w:rPr>
            </w:pPr>
          </w:p>
        </w:tc>
        <w:tc>
          <w:tcPr>
            <w:tcW w:w="2712" w:type="dxa"/>
          </w:tcPr>
          <w:p w14:paraId="52BBA0E2" w14:textId="2A6F58D6"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260F7">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260F7">
            <w:pPr>
              <w:spacing w:after="120"/>
              <w:rPr>
                <w:rFonts w:eastAsiaTheme="minorEastAsia"/>
                <w:color w:val="0070C0"/>
                <w:lang w:val="en-US" w:eastAsia="zh-CN"/>
              </w:rPr>
            </w:pPr>
          </w:p>
        </w:tc>
        <w:tc>
          <w:tcPr>
            <w:tcW w:w="1842" w:type="dxa"/>
          </w:tcPr>
          <w:p w14:paraId="6D0DCD1C" w14:textId="77777777" w:rsidR="00F03D66" w:rsidRPr="00B04195" w:rsidRDefault="00F03D66" w:rsidP="00D260F7">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2" w:type="dxa"/>
          </w:tcPr>
          <w:p w14:paraId="3C9CE0A3" w14:textId="1BBBF379"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260F7">
            <w:pPr>
              <w:spacing w:after="120"/>
              <w:rPr>
                <w:rFonts w:eastAsiaTheme="minorEastAsia"/>
                <w:color w:val="0070C0"/>
                <w:lang w:val="en-US" w:eastAsia="zh-CN"/>
              </w:rPr>
            </w:pPr>
          </w:p>
        </w:tc>
        <w:tc>
          <w:tcPr>
            <w:tcW w:w="1842"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2" w:type="dxa"/>
          </w:tcPr>
          <w:p w14:paraId="340905B2" w14:textId="67E2D524"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260F7">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260F7">
            <w:pPr>
              <w:spacing w:after="120"/>
              <w:rPr>
                <w:rFonts w:eastAsiaTheme="minorEastAsia"/>
                <w:color w:val="0070C0"/>
                <w:lang w:val="en-US" w:eastAsia="zh-CN"/>
              </w:rPr>
            </w:pPr>
          </w:p>
        </w:tc>
        <w:tc>
          <w:tcPr>
            <w:tcW w:w="1842" w:type="dxa"/>
          </w:tcPr>
          <w:p w14:paraId="7A6333B7" w14:textId="77777777" w:rsidR="001E6C4D" w:rsidRPr="00B04195" w:rsidRDefault="001E6C4D" w:rsidP="00D260F7">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4218"/>
    <w:rsid w:val="001E6C4D"/>
    <w:rsid w:val="001E7700"/>
    <w:rsid w:val="001F0B20"/>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55873"/>
    <w:rsid w:val="0035660F"/>
    <w:rsid w:val="003628B9"/>
    <w:rsid w:val="00362D8F"/>
    <w:rsid w:val="00367724"/>
    <w:rsid w:val="003710BA"/>
    <w:rsid w:val="00373A88"/>
    <w:rsid w:val="003770F6"/>
    <w:rsid w:val="00383E37"/>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F2145"/>
    <w:rsid w:val="006016E1"/>
    <w:rsid w:val="00602D27"/>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E9"/>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380"/>
    <w:rsid w:val="00862089"/>
    <w:rsid w:val="00866D5B"/>
    <w:rsid w:val="00866FF5"/>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7FEB"/>
    <w:rsid w:val="00A93F9F"/>
    <w:rsid w:val="00A9420E"/>
    <w:rsid w:val="00A97648"/>
    <w:rsid w:val="00AA0F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5354"/>
    <w:rsid w:val="00C86ABA"/>
    <w:rsid w:val="00C943F3"/>
    <w:rsid w:val="00C957A0"/>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629F"/>
    <w:rsid w:val="00CD6A1B"/>
    <w:rsid w:val="00CE0A7F"/>
    <w:rsid w:val="00CE1718"/>
    <w:rsid w:val="00CE40BC"/>
    <w:rsid w:val="00CF4156"/>
    <w:rsid w:val="00D0036C"/>
    <w:rsid w:val="00D028E4"/>
    <w:rsid w:val="00D03D00"/>
    <w:rsid w:val="00D05C30"/>
    <w:rsid w:val="00D10052"/>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theme" Target="theme/theme1.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370</TotalTime>
  <Pages>15</Pages>
  <Words>3737</Words>
  <Characters>20554</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61</cp:revision>
  <cp:lastPrinted>2019-04-25T01:09:00Z</cp:lastPrinted>
  <dcterms:created xsi:type="dcterms:W3CDTF">2022-08-11T16:24:00Z</dcterms:created>
  <dcterms:modified xsi:type="dcterms:W3CDTF">2022-08-12T06:38:00Z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