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86" w:rsidRPr="00C83FC3" w:rsidRDefault="00C83FC3" w:rsidP="00C83FC3">
      <w:pPr>
        <w:jc w:val="center"/>
        <w:rPr>
          <w:rFonts w:ascii="Arial" w:hAnsi="Arial" w:cs="Arial"/>
          <w:b/>
          <w:szCs w:val="21"/>
        </w:rPr>
      </w:pPr>
      <w:r w:rsidRPr="00C83FC3">
        <w:rPr>
          <w:rFonts w:ascii="Arial" w:hAnsi="Arial" w:cs="Arial" w:hint="eastAsia"/>
          <w:b/>
          <w:szCs w:val="21"/>
        </w:rPr>
        <w:t>B</w:t>
      </w:r>
      <w:r w:rsidRPr="00C83FC3">
        <w:rPr>
          <w:rFonts w:ascii="Arial" w:hAnsi="Arial" w:cs="Arial"/>
          <w:b/>
          <w:szCs w:val="21"/>
        </w:rPr>
        <w:t xml:space="preserve">ackground and analysis for </w:t>
      </w:r>
      <w:r w:rsidRPr="00C83FC3">
        <w:rPr>
          <w:rFonts w:ascii="Arial" w:hAnsi="Arial" w:cs="Arial" w:hint="eastAsia"/>
          <w:b/>
          <w:szCs w:val="21"/>
        </w:rPr>
        <w:t>the</w:t>
      </w:r>
      <w:r w:rsidRPr="00C83FC3">
        <w:rPr>
          <w:rFonts w:ascii="Arial" w:hAnsi="Arial" w:cs="Arial"/>
          <w:b/>
          <w:szCs w:val="21"/>
        </w:rPr>
        <w:t xml:space="preserve"> “famous sentence” in 38.101-3</w:t>
      </w:r>
    </w:p>
    <w:p w:rsidR="00C83FC3" w:rsidRDefault="00C83FC3">
      <w:pPr>
        <w:rPr>
          <w:rFonts w:ascii="Arial" w:hAnsi="Arial" w:cs="Arial"/>
          <w:szCs w:val="21"/>
        </w:rPr>
      </w:pPr>
    </w:p>
    <w:p w:rsidR="00C83FC3" w:rsidRDefault="00C83FC3">
      <w:pPr>
        <w:rPr>
          <w:rFonts w:ascii="Arial" w:hAnsi="Arial" w:cs="Arial" w:hint="eastAsia"/>
          <w:szCs w:val="21"/>
        </w:rPr>
      </w:pPr>
    </w:p>
    <w:p w:rsidR="00C83FC3" w:rsidRPr="00C83FC3" w:rsidRDefault="00C83FC3">
      <w:pPr>
        <w:rPr>
          <w:rFonts w:ascii="Arial" w:hAnsi="Arial" w:cs="Arial" w:hint="eastAsia"/>
          <w:b/>
          <w:szCs w:val="21"/>
        </w:rPr>
      </w:pPr>
      <w:r w:rsidRPr="00C83FC3">
        <w:rPr>
          <w:rFonts w:ascii="Arial" w:hAnsi="Arial" w:cs="Arial" w:hint="eastAsia"/>
          <w:b/>
          <w:szCs w:val="21"/>
        </w:rPr>
        <w:t>B</w:t>
      </w:r>
      <w:r w:rsidRPr="00C83FC3">
        <w:rPr>
          <w:rFonts w:ascii="Arial" w:hAnsi="Arial" w:cs="Arial"/>
          <w:b/>
          <w:szCs w:val="21"/>
        </w:rPr>
        <w:t>ackground</w:t>
      </w:r>
    </w:p>
    <w:p w:rsidR="00C83FC3" w:rsidRPr="00C83FC3" w:rsidRDefault="00C83FC3" w:rsidP="00C83FC3">
      <w:pPr>
        <w:ind w:firstLine="420"/>
        <w:rPr>
          <w:rFonts w:ascii="Arial" w:hAnsi="Arial" w:cs="Arial"/>
          <w:b/>
          <w:szCs w:val="21"/>
        </w:rPr>
      </w:pPr>
      <w:r w:rsidRPr="00C83FC3">
        <w:rPr>
          <w:rFonts w:ascii="Arial" w:hAnsi="Arial" w:cs="Arial"/>
          <w:b/>
          <w:szCs w:val="21"/>
        </w:rPr>
        <w:t>Phase 1:</w:t>
      </w:r>
    </w:p>
    <w:p w:rsid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 xml:space="preserve">The “famous sentence”, come from the intention that UE do not equip a full-power PA may declare PC2 for SA NR by means of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. Vendors want to keep the possibility of non-full power PA implementation for PC2 in Rel-15 (This point itself may also controversial). However, since there is no separate capability for NR within ENDC for Rel-15, without further clarification, one can only assume same power class between NR SA and NR within EN-DC. Then it comes the “famous sentence”, to provide UE this flexibility. However, the descriptions were very indirect and involves many parameters, since there is no sign/capability of architecture. </w:t>
      </w:r>
    </w:p>
    <w:p w:rsidR="00C83FC3" w:rsidRPr="00C83FC3" w:rsidRDefault="00C83FC3" w:rsidP="00C83FC3">
      <w:pPr>
        <w:rPr>
          <w:rFonts w:ascii="Arial" w:hAnsi="Arial" w:cs="Arial" w:hint="eastAsia"/>
          <w:szCs w:val="21"/>
        </w:rPr>
      </w:pPr>
    </w:p>
    <w:p w:rsidR="00C83FC3" w:rsidRPr="00C83FC3" w:rsidRDefault="00C83FC3" w:rsidP="00C83FC3">
      <w:pPr>
        <w:ind w:firstLine="420"/>
        <w:rPr>
          <w:rFonts w:ascii="Arial" w:hAnsi="Arial" w:cs="Arial"/>
          <w:b/>
          <w:szCs w:val="21"/>
        </w:rPr>
      </w:pPr>
      <w:r w:rsidRPr="00C83FC3">
        <w:rPr>
          <w:rFonts w:ascii="Arial" w:hAnsi="Arial" w:cs="Arial"/>
          <w:b/>
          <w:szCs w:val="21"/>
        </w:rPr>
        <w:t>Phase 2:</w:t>
      </w:r>
    </w:p>
    <w:p w:rsid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 xml:space="preserve">After a while, and the “famous sentence” was stable. Ericsson raise the proposal to revise </w:t>
      </w:r>
      <w:proofErr w:type="spellStart"/>
      <w:r w:rsidRPr="00C83FC3">
        <w:rPr>
          <w:rFonts w:ascii="Arial" w:hAnsi="Arial" w:cs="Arial"/>
          <w:szCs w:val="21"/>
        </w:rPr>
        <w:t>Pcmax</w:t>
      </w:r>
      <w:proofErr w:type="spellEnd"/>
      <w:r w:rsidRPr="00C83FC3">
        <w:rPr>
          <w:rFonts w:ascii="Arial" w:hAnsi="Arial" w:cs="Arial"/>
          <w:szCs w:val="21"/>
        </w:rPr>
        <w:t xml:space="preserve"> related parameters to achieve more precise PHR reporting, to better adapt the general part “famous sentence”. Later Huawei has slightly different ones that always assumes a “relaxation” for lower power class. However, none of them could be agreed yet. In fact, Ericsson’s proposal is always slightly more popular because of accuracy.</w:t>
      </w:r>
    </w:p>
    <w:p w:rsidR="00C83FC3" w:rsidRPr="00C83FC3" w:rsidRDefault="00C83FC3" w:rsidP="00C83FC3">
      <w:pPr>
        <w:rPr>
          <w:rFonts w:ascii="Arial" w:hAnsi="Arial" w:cs="Arial" w:hint="eastAsia"/>
          <w:szCs w:val="21"/>
        </w:rPr>
      </w:pPr>
    </w:p>
    <w:p w:rsidR="00C83FC3" w:rsidRPr="00C83FC3" w:rsidRDefault="00C83FC3" w:rsidP="00C83FC3">
      <w:pPr>
        <w:ind w:firstLine="420"/>
        <w:rPr>
          <w:rFonts w:ascii="Arial" w:hAnsi="Arial" w:cs="Arial"/>
          <w:b/>
          <w:szCs w:val="21"/>
        </w:rPr>
      </w:pPr>
      <w:r w:rsidRPr="00C83FC3">
        <w:rPr>
          <w:rFonts w:ascii="Arial" w:hAnsi="Arial" w:cs="Arial"/>
          <w:b/>
          <w:szCs w:val="21"/>
        </w:rPr>
        <w:t>Phase 3:</w:t>
      </w:r>
    </w:p>
    <w:p w:rsid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 xml:space="preserve">In RAN4#99, with newly introduced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used by Rel-15, there is a possible new way to signal architecture by vivo, that is: A UE without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has to have a full power PA for Rel-15. This was also </w:t>
      </w:r>
      <w:proofErr w:type="gramStart"/>
      <w:r w:rsidRPr="00C83FC3">
        <w:rPr>
          <w:rFonts w:ascii="Arial" w:hAnsi="Arial" w:cs="Arial"/>
          <w:szCs w:val="21"/>
        </w:rPr>
        <w:t>means</w:t>
      </w:r>
      <w:proofErr w:type="gramEnd"/>
      <w:r w:rsidRPr="00C83FC3">
        <w:rPr>
          <w:rFonts w:ascii="Arial" w:hAnsi="Arial" w:cs="Arial"/>
          <w:szCs w:val="21"/>
        </w:rPr>
        <w:t xml:space="preserve">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UE may not have full-power PA. This is the first time that this no-full power PA architecture can be implicitly signaled. To utilize this, the original refinement is the applicability of this “famous sentence” can be greatly reduced, while keeping the implementation </w:t>
      </w:r>
      <w:proofErr w:type="spellStart"/>
      <w:r w:rsidRPr="00C83FC3">
        <w:rPr>
          <w:rFonts w:ascii="Arial" w:hAnsi="Arial" w:cs="Arial"/>
          <w:szCs w:val="21"/>
        </w:rPr>
        <w:t>flexiblity</w:t>
      </w:r>
      <w:proofErr w:type="spellEnd"/>
      <w:r w:rsidRPr="00C83FC3">
        <w:rPr>
          <w:rFonts w:ascii="Arial" w:hAnsi="Arial" w:cs="Arial"/>
          <w:szCs w:val="21"/>
        </w:rPr>
        <w:t xml:space="preserve">. This is the way vivo clarify this and it comes original endorsed CR in last </w:t>
      </w:r>
      <w:proofErr w:type="gramStart"/>
      <w:r w:rsidRPr="00C83FC3">
        <w:rPr>
          <w:rFonts w:ascii="Arial" w:hAnsi="Arial" w:cs="Arial"/>
          <w:szCs w:val="21"/>
        </w:rPr>
        <w:t>meeting.(</w:t>
      </w:r>
      <w:proofErr w:type="gramEnd"/>
      <w:r w:rsidRPr="00C83FC3">
        <w:rPr>
          <w:rFonts w:ascii="Arial" w:hAnsi="Arial" w:cs="Arial"/>
          <w:szCs w:val="21"/>
        </w:rPr>
        <w:t>same as 3013)</w:t>
      </w:r>
    </w:p>
    <w:p w:rsidR="00C83FC3" w:rsidRPr="00C83FC3" w:rsidRDefault="00C83FC3" w:rsidP="00C83FC3">
      <w:pPr>
        <w:rPr>
          <w:rFonts w:ascii="Arial" w:hAnsi="Arial" w:cs="Arial" w:hint="eastAsia"/>
          <w:szCs w:val="21"/>
        </w:rPr>
      </w:pPr>
    </w:p>
    <w:p w:rsidR="00C83FC3" w:rsidRPr="00C83FC3" w:rsidRDefault="00C83FC3" w:rsidP="00C83FC3">
      <w:pPr>
        <w:ind w:firstLine="420"/>
        <w:rPr>
          <w:rFonts w:ascii="Arial" w:hAnsi="Arial" w:cs="Arial"/>
          <w:b/>
          <w:szCs w:val="21"/>
        </w:rPr>
      </w:pPr>
      <w:r w:rsidRPr="00C83FC3">
        <w:rPr>
          <w:rFonts w:ascii="Arial" w:hAnsi="Arial" w:cs="Arial"/>
          <w:b/>
          <w:szCs w:val="21"/>
        </w:rPr>
        <w:t>Phase 4:</w:t>
      </w:r>
    </w:p>
    <w:p w:rsidR="00C83FC3" w:rsidRPr="00C83FC3" w:rsidRDefault="00C83FC3" w:rsidP="00C83FC3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In RAN4#100e, </w:t>
      </w:r>
      <w:proofErr w:type="gramStart"/>
      <w:r w:rsidRPr="00C83FC3">
        <w:rPr>
          <w:rFonts w:ascii="Arial" w:hAnsi="Arial" w:cs="Arial"/>
          <w:szCs w:val="21"/>
        </w:rPr>
        <w:t>Huawei(</w:t>
      </w:r>
      <w:proofErr w:type="gramEnd"/>
      <w:r w:rsidRPr="00C83FC3">
        <w:rPr>
          <w:rFonts w:ascii="Arial" w:hAnsi="Arial" w:cs="Arial"/>
          <w:szCs w:val="21"/>
        </w:rPr>
        <w:t xml:space="preserve">4513) and Ericsson(2829) adapt their CRs with endorsed CR 3013 in different ways. </w:t>
      </w:r>
    </w:p>
    <w:p w:rsidR="00C83FC3" w:rsidRPr="00C83FC3" w:rsidRDefault="00C83FC3" w:rsidP="00C83FC3">
      <w:pPr>
        <w:rPr>
          <w:rFonts w:ascii="Arial" w:hAnsi="Arial" w:cs="Arial"/>
          <w:szCs w:val="21"/>
        </w:rPr>
      </w:pPr>
      <w:proofErr w:type="gramStart"/>
      <w:r w:rsidRPr="00C83FC3">
        <w:rPr>
          <w:rFonts w:ascii="Arial" w:hAnsi="Arial" w:cs="Arial"/>
          <w:szCs w:val="21"/>
        </w:rPr>
        <w:t>Ericsson(</w:t>
      </w:r>
      <w:proofErr w:type="gramEnd"/>
      <w:r w:rsidRPr="00C83FC3">
        <w:rPr>
          <w:rFonts w:ascii="Arial" w:hAnsi="Arial" w:cs="Arial"/>
          <w:szCs w:val="21"/>
        </w:rPr>
        <w:t xml:space="preserve">2829) is still depended general part (3013) description. It would still depend on the UE declaration of its achievable power class to calculate </w:t>
      </w:r>
      <w:proofErr w:type="spellStart"/>
      <w:r w:rsidRPr="00C83FC3">
        <w:rPr>
          <w:rFonts w:ascii="Arial" w:hAnsi="Arial" w:cs="Arial"/>
          <w:szCs w:val="21"/>
        </w:rPr>
        <w:t>Pcmax</w:t>
      </w:r>
      <w:proofErr w:type="spellEnd"/>
      <w:r w:rsidRPr="00C83FC3">
        <w:rPr>
          <w:rFonts w:ascii="Arial" w:hAnsi="Arial" w:cs="Arial"/>
          <w:szCs w:val="21"/>
        </w:rPr>
        <w:t xml:space="preserve">, and does not use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in the </w:t>
      </w:r>
      <w:proofErr w:type="spellStart"/>
      <w:r w:rsidRPr="00C83FC3">
        <w:rPr>
          <w:rFonts w:ascii="Arial" w:hAnsi="Arial" w:cs="Arial"/>
          <w:szCs w:val="21"/>
        </w:rPr>
        <w:t>Pcmax</w:t>
      </w:r>
      <w:proofErr w:type="spellEnd"/>
      <w:r w:rsidRPr="00C83FC3">
        <w:rPr>
          <w:rFonts w:ascii="Arial" w:hAnsi="Arial" w:cs="Arial"/>
          <w:szCs w:val="21"/>
        </w:rPr>
        <w:t xml:space="preserve"> part. This is more precise and wouldn’t cause overkill for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enabled UE, because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enable UE can also have full power PA. This option has to be combined with 3013.</w:t>
      </w:r>
    </w:p>
    <w:p w:rsidR="00C83FC3" w:rsidRPr="00C83FC3" w:rsidRDefault="00C83FC3" w:rsidP="00C83FC3">
      <w:pPr>
        <w:rPr>
          <w:rFonts w:ascii="Arial" w:hAnsi="Arial" w:cs="Arial"/>
          <w:szCs w:val="21"/>
        </w:rPr>
      </w:pPr>
      <w:proofErr w:type="gramStart"/>
      <w:r w:rsidRPr="00C83FC3">
        <w:rPr>
          <w:rFonts w:ascii="Arial" w:hAnsi="Arial" w:cs="Arial"/>
          <w:szCs w:val="21"/>
        </w:rPr>
        <w:t>Huawei(</w:t>
      </w:r>
      <w:proofErr w:type="gramEnd"/>
      <w:r w:rsidRPr="00C83FC3">
        <w:rPr>
          <w:rFonts w:ascii="Arial" w:hAnsi="Arial" w:cs="Arial"/>
          <w:szCs w:val="21"/>
        </w:rPr>
        <w:t xml:space="preserve">4513) is also revising similar part to Ericsson, but it directly utilized the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as a reference to the architecture restriction. After second thoughts, this may be able to </w:t>
      </w:r>
      <w:proofErr w:type="spellStart"/>
      <w:r w:rsidRPr="00C83FC3">
        <w:rPr>
          <w:rFonts w:ascii="Arial" w:hAnsi="Arial" w:cs="Arial"/>
          <w:szCs w:val="21"/>
        </w:rPr>
        <w:t>by pass</w:t>
      </w:r>
      <w:proofErr w:type="spellEnd"/>
      <w:r w:rsidRPr="00C83FC3">
        <w:rPr>
          <w:rFonts w:ascii="Arial" w:hAnsi="Arial" w:cs="Arial"/>
          <w:szCs w:val="21"/>
        </w:rPr>
        <w:t xml:space="preserve"> the more complicated general description, with a price of some more over kill. In another word, 4513 would assume any UE with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capability also do not have full power PA, and only can be configured to PC3 for NR within EN-DC even it declared itself as PC2 for NR. This in fact involves more overkill compared to 3013+2829, which still </w:t>
      </w:r>
      <w:r w:rsidRPr="00C83FC3">
        <w:rPr>
          <w:rFonts w:ascii="Arial" w:hAnsi="Arial" w:cs="Arial"/>
          <w:szCs w:val="21"/>
        </w:rPr>
        <w:lastRenderedPageBreak/>
        <w:t>keeps the possibility of configured to PC2 if full power PA is still equipped.</w:t>
      </w:r>
    </w:p>
    <w:p w:rsidR="00C83FC3" w:rsidRDefault="00C83FC3" w:rsidP="00C83FC3">
      <w:pPr>
        <w:rPr>
          <w:rFonts w:ascii="Arial" w:hAnsi="Arial" w:cs="Arial"/>
          <w:b/>
          <w:szCs w:val="21"/>
        </w:rPr>
      </w:pPr>
    </w:p>
    <w:p w:rsidR="00C83FC3" w:rsidRDefault="00C83FC3" w:rsidP="00C83FC3">
      <w:pPr>
        <w:rPr>
          <w:rFonts w:ascii="Arial" w:hAnsi="Arial" w:cs="Arial"/>
          <w:b/>
          <w:szCs w:val="21"/>
        </w:rPr>
      </w:pPr>
    </w:p>
    <w:p w:rsidR="00C83FC3" w:rsidRPr="00C83FC3" w:rsidRDefault="00C83FC3" w:rsidP="00C83FC3">
      <w:pPr>
        <w:rPr>
          <w:rFonts w:ascii="Arial" w:hAnsi="Arial" w:cs="Arial"/>
          <w:b/>
          <w:szCs w:val="21"/>
        </w:rPr>
      </w:pPr>
      <w:r w:rsidRPr="00C83FC3">
        <w:rPr>
          <w:rFonts w:ascii="Arial" w:hAnsi="Arial" w:cs="Arial"/>
          <w:b/>
          <w:szCs w:val="21"/>
        </w:rPr>
        <w:t>Analysis</w:t>
      </w:r>
      <w:r>
        <w:rPr>
          <w:rFonts w:ascii="Arial" w:hAnsi="Arial" w:cs="Arial"/>
          <w:b/>
          <w:szCs w:val="21"/>
        </w:rPr>
        <w:t xml:space="preserve"> for RAN4#100e</w:t>
      </w:r>
      <w:r w:rsidRPr="00C83FC3">
        <w:rPr>
          <w:rFonts w:ascii="Arial" w:hAnsi="Arial" w:cs="Arial"/>
          <w:b/>
          <w:szCs w:val="21"/>
        </w:rPr>
        <w:t>:</w:t>
      </w:r>
    </w:p>
    <w:p w:rsidR="00C83FC3" w:rsidRP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 xml:space="preserve">Even if </w:t>
      </w:r>
      <w:proofErr w:type="gramStart"/>
      <w:r w:rsidRPr="00C83FC3">
        <w:rPr>
          <w:rFonts w:ascii="Arial" w:hAnsi="Arial" w:cs="Arial"/>
          <w:szCs w:val="21"/>
        </w:rPr>
        <w:t>Huawei(</w:t>
      </w:r>
      <w:proofErr w:type="gramEnd"/>
      <w:r w:rsidRPr="00C83FC3">
        <w:rPr>
          <w:rFonts w:ascii="Arial" w:hAnsi="Arial" w:cs="Arial"/>
          <w:szCs w:val="21"/>
        </w:rPr>
        <w:t xml:space="preserve">4513) seems not precise, it do have the potential to bring further simplification or even replace the complicated conditions in general part, because now it directly use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 xml:space="preserve"> signaling as a sign for architecture in </w:t>
      </w:r>
      <w:proofErr w:type="spellStart"/>
      <w:r w:rsidRPr="00C83FC3">
        <w:rPr>
          <w:rFonts w:ascii="Arial" w:hAnsi="Arial" w:cs="Arial"/>
          <w:szCs w:val="21"/>
        </w:rPr>
        <w:t>Pcmax</w:t>
      </w:r>
      <w:proofErr w:type="spellEnd"/>
      <w:r w:rsidRPr="00C83FC3">
        <w:rPr>
          <w:rFonts w:ascii="Arial" w:hAnsi="Arial" w:cs="Arial"/>
          <w:szCs w:val="21"/>
        </w:rPr>
        <w:t xml:space="preserve"> part. The overall scheme may be more simplified. Furthermore, since there supposed to be not too many Rel-15 UE’s would support </w:t>
      </w:r>
      <w:proofErr w:type="spellStart"/>
      <w:r w:rsidRPr="00C83FC3">
        <w:rPr>
          <w:rFonts w:ascii="Arial" w:hAnsi="Arial" w:cs="Arial"/>
          <w:szCs w:val="21"/>
        </w:rPr>
        <w:t>TxD</w:t>
      </w:r>
      <w:proofErr w:type="spellEnd"/>
      <w:r w:rsidRPr="00C83FC3">
        <w:rPr>
          <w:rFonts w:ascii="Arial" w:hAnsi="Arial" w:cs="Arial"/>
          <w:szCs w:val="21"/>
        </w:rPr>
        <w:t>, the actual degradation may be very small.</w:t>
      </w:r>
    </w:p>
    <w:p w:rsid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>The ZTE’s discussion (2318) is also involves similar compromise discussion, though the proposals not precisely the same. (e.g. Still keep the general part with modified wording).</w:t>
      </w:r>
    </w:p>
    <w:p w:rsidR="00CE22DE" w:rsidRDefault="00CE22DE" w:rsidP="00C83FC3">
      <w:pPr>
        <w:rPr>
          <w:rFonts w:ascii="Arial" w:hAnsi="Arial" w:cs="Arial"/>
          <w:szCs w:val="21"/>
        </w:rPr>
      </w:pPr>
    </w:p>
    <w:p w:rsidR="00CE22DE" w:rsidRPr="00C83FC3" w:rsidRDefault="00CE22DE" w:rsidP="00C83FC3">
      <w:pPr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Conclusion:</w:t>
      </w:r>
      <w:bookmarkStart w:id="0" w:name="_GoBack"/>
      <w:bookmarkEnd w:id="0"/>
    </w:p>
    <w:p w:rsidR="00C83FC3" w:rsidRPr="00C83FC3" w:rsidRDefault="00C83FC3" w:rsidP="00C83FC3">
      <w:pPr>
        <w:rPr>
          <w:rFonts w:ascii="Arial" w:hAnsi="Arial" w:cs="Arial"/>
          <w:szCs w:val="21"/>
        </w:rPr>
      </w:pPr>
      <w:r w:rsidRPr="00C83FC3">
        <w:rPr>
          <w:rFonts w:ascii="Arial" w:hAnsi="Arial" w:cs="Arial"/>
          <w:szCs w:val="21"/>
        </w:rPr>
        <w:t xml:space="preserve">Qualcomm’s proposal is totally remove the “famous sentence” and accept </w:t>
      </w:r>
      <w:proofErr w:type="gramStart"/>
      <w:r w:rsidRPr="00C83FC3">
        <w:rPr>
          <w:rFonts w:ascii="Arial" w:hAnsi="Arial" w:cs="Arial"/>
          <w:szCs w:val="21"/>
        </w:rPr>
        <w:t>Huawei(</w:t>
      </w:r>
      <w:proofErr w:type="gramEnd"/>
      <w:r w:rsidRPr="00C83FC3">
        <w:rPr>
          <w:rFonts w:ascii="Arial" w:hAnsi="Arial" w:cs="Arial"/>
          <w:szCs w:val="21"/>
        </w:rPr>
        <w:t>4513), this may be the best way in current situation.</w:t>
      </w:r>
    </w:p>
    <w:sectPr w:rsidR="00C83FC3" w:rsidRPr="00C8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C3"/>
    <w:rsid w:val="00B21286"/>
    <w:rsid w:val="00C83FC3"/>
    <w:rsid w:val="00C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F91D"/>
  <w15:chartTrackingRefBased/>
  <w15:docId w15:val="{4BC03E07-BA20-40AB-A14C-0584045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Sanjun Feng(vivo)</dc:creator>
  <cp:keywords/>
  <dc:description/>
  <cp:lastModifiedBy>Sanjun Feng(vivo)</cp:lastModifiedBy>
  <cp:revision>2</cp:revision>
  <dcterms:created xsi:type="dcterms:W3CDTF">2021-08-20T21:26:00Z</dcterms:created>
  <dcterms:modified xsi:type="dcterms:W3CDTF">2021-08-20T21:30:00Z</dcterms:modified>
</cp:coreProperties>
</file>