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49BB" w:rsidRDefault="009F49BB" w:rsidP="009F49BB">
      <w:pPr>
        <w:pStyle w:val="NoSpacing"/>
        <w:rPr>
          <w:rFonts w:ascii="Arial" w:hAnsi="Arial" w:cs="Arial"/>
          <w:i/>
          <w:sz w:val="24"/>
          <w:szCs w:val="24"/>
        </w:rPr>
      </w:pPr>
      <w:r>
        <w:rPr>
          <w:rFonts w:ascii="Arial" w:hAnsi="Arial" w:cs="Arial"/>
          <w:sz w:val="24"/>
          <w:szCs w:val="24"/>
        </w:rPr>
        <w:t xml:space="preserve">3GPP TSG-RAN WG3 </w:t>
      </w:r>
      <w:r w:rsidRPr="000F2F0C">
        <w:rPr>
          <w:rFonts w:ascii="Arial" w:hAnsi="Arial" w:cs="Arial"/>
          <w:sz w:val="24"/>
          <w:szCs w:val="24"/>
        </w:rPr>
        <w:t>NR#2</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C30892">
        <w:rPr>
          <w:rFonts w:ascii="Arial" w:hAnsi="Arial" w:cs="Arial"/>
          <w:iCs/>
          <w:sz w:val="24"/>
          <w:szCs w:val="24"/>
        </w:rPr>
        <w:t>R3-172544</w:t>
      </w:r>
    </w:p>
    <w:p w:rsidR="009F49BB" w:rsidRDefault="009F49BB" w:rsidP="009F49BB">
      <w:pPr>
        <w:overflowPunct w:val="0"/>
        <w:autoSpaceDE w:val="0"/>
        <w:autoSpaceDN w:val="0"/>
        <w:adjustRightInd w:val="0"/>
        <w:spacing w:after="0" w:line="240" w:lineRule="auto"/>
        <w:textAlignment w:val="baseline"/>
        <w:rPr>
          <w:rFonts w:ascii="Arial" w:eastAsia="Batang" w:hAnsi="Arial" w:cs="Arial"/>
          <w:color w:val="000000"/>
          <w:szCs w:val="24"/>
          <w:lang w:eastAsia="ja-JP"/>
        </w:rPr>
      </w:pPr>
      <w:r>
        <w:rPr>
          <w:rFonts w:ascii="Arial" w:eastAsia="Batang" w:hAnsi="Arial" w:cs="Arial"/>
          <w:color w:val="000000"/>
          <w:szCs w:val="24"/>
          <w:lang w:eastAsia="ja-JP"/>
        </w:rPr>
        <w:t>Qing</w:t>
      </w:r>
      <w:r w:rsidR="009B4089">
        <w:rPr>
          <w:rFonts w:ascii="Arial" w:eastAsia="Batang" w:hAnsi="Arial" w:cs="Arial"/>
          <w:color w:val="000000"/>
          <w:szCs w:val="24"/>
          <w:lang w:eastAsia="ja-JP"/>
        </w:rPr>
        <w:t>d</w:t>
      </w:r>
      <w:r>
        <w:rPr>
          <w:rFonts w:ascii="Arial" w:eastAsia="Batang" w:hAnsi="Arial" w:cs="Arial"/>
          <w:color w:val="000000"/>
          <w:szCs w:val="24"/>
          <w:lang w:eastAsia="ja-JP"/>
        </w:rPr>
        <w:t>ao P. R. China, 27</w:t>
      </w:r>
      <w:r w:rsidRPr="000F2F0C">
        <w:rPr>
          <w:rFonts w:ascii="Arial" w:eastAsia="Batang" w:hAnsi="Arial" w:cs="Arial"/>
          <w:color w:val="000000"/>
          <w:szCs w:val="24"/>
          <w:vertAlign w:val="superscript"/>
          <w:lang w:eastAsia="ja-JP"/>
        </w:rPr>
        <w:t>th</w:t>
      </w:r>
      <w:r>
        <w:rPr>
          <w:rFonts w:ascii="Arial" w:eastAsia="Batang" w:hAnsi="Arial" w:cs="Arial"/>
          <w:color w:val="000000"/>
          <w:szCs w:val="24"/>
          <w:lang w:eastAsia="ja-JP"/>
        </w:rPr>
        <w:t xml:space="preserve"> – 29</w:t>
      </w:r>
      <w:r w:rsidRPr="000F2F0C">
        <w:rPr>
          <w:rFonts w:ascii="Arial" w:eastAsia="Batang" w:hAnsi="Arial" w:cs="Arial"/>
          <w:color w:val="000000"/>
          <w:szCs w:val="24"/>
          <w:vertAlign w:val="superscript"/>
          <w:lang w:eastAsia="ja-JP"/>
        </w:rPr>
        <w:t>th</w:t>
      </w:r>
      <w:r>
        <w:rPr>
          <w:rFonts w:ascii="Arial" w:eastAsia="Batang" w:hAnsi="Arial" w:cs="Arial"/>
          <w:color w:val="000000"/>
          <w:szCs w:val="24"/>
          <w:lang w:eastAsia="ja-JP"/>
        </w:rPr>
        <w:t xml:space="preserve"> May 2017</w:t>
      </w:r>
    </w:p>
    <w:p w:rsidR="009F49BB" w:rsidRDefault="009F49BB" w:rsidP="009F49BB">
      <w:pPr>
        <w:tabs>
          <w:tab w:val="left" w:pos="1985"/>
        </w:tabs>
        <w:rPr>
          <w:rFonts w:ascii="Arial" w:hAnsi="Arial"/>
          <w:b/>
        </w:rPr>
      </w:pPr>
    </w:p>
    <w:p w:rsidR="009F49BB" w:rsidRDefault="009F49BB" w:rsidP="009F49BB">
      <w:pPr>
        <w:tabs>
          <w:tab w:val="left" w:pos="1985"/>
        </w:tabs>
        <w:rPr>
          <w:rFonts w:ascii="Arial" w:eastAsia="Calibri" w:hAnsi="Arial" w:cs="Times New Roman"/>
          <w:sz w:val="22"/>
        </w:rPr>
      </w:pPr>
      <w:r>
        <w:rPr>
          <w:rFonts w:ascii="Arial" w:hAnsi="Arial"/>
          <w:b/>
        </w:rPr>
        <w:t>Agenda Item:</w:t>
      </w:r>
      <w:r w:rsidR="00B61D4F">
        <w:rPr>
          <w:rFonts w:ascii="Arial" w:hAnsi="Arial"/>
        </w:rPr>
        <w:tab/>
        <w:t>12.1</w:t>
      </w:r>
    </w:p>
    <w:p w:rsidR="009F49BB" w:rsidRDefault="009F49BB" w:rsidP="009F49BB">
      <w:pPr>
        <w:tabs>
          <w:tab w:val="left" w:pos="1985"/>
        </w:tabs>
        <w:rPr>
          <w:rFonts w:ascii="Arial" w:hAnsi="Arial"/>
        </w:rPr>
      </w:pPr>
      <w:r>
        <w:rPr>
          <w:rFonts w:ascii="Arial" w:hAnsi="Arial"/>
          <w:b/>
        </w:rPr>
        <w:t xml:space="preserve">Source: </w:t>
      </w:r>
      <w:r>
        <w:rPr>
          <w:rFonts w:ascii="Arial" w:hAnsi="Arial"/>
          <w:b/>
        </w:rPr>
        <w:tab/>
        <w:t>Vodafone</w:t>
      </w:r>
    </w:p>
    <w:p w:rsidR="009F49BB" w:rsidRDefault="009F49BB" w:rsidP="009F49BB">
      <w:pPr>
        <w:ind w:left="1988" w:hanging="1988"/>
        <w:rPr>
          <w:rFonts w:ascii="Arial" w:hAnsi="Arial"/>
        </w:rPr>
      </w:pPr>
      <w:r>
        <w:rPr>
          <w:rFonts w:ascii="Arial" w:hAnsi="Arial"/>
          <w:b/>
        </w:rPr>
        <w:t>Title:</w:t>
      </w:r>
      <w:r>
        <w:rPr>
          <w:rFonts w:ascii="Arial" w:hAnsi="Arial"/>
        </w:rPr>
        <w:t xml:space="preserve"> </w:t>
      </w:r>
      <w:r>
        <w:rPr>
          <w:rFonts w:ascii="Arial" w:hAnsi="Arial"/>
        </w:rPr>
        <w:tab/>
        <w:t xml:space="preserve">Evolved </w:t>
      </w:r>
      <w:r w:rsidR="007924E2">
        <w:rPr>
          <w:rFonts w:ascii="Arial" w:hAnsi="Arial"/>
        </w:rPr>
        <w:t>L</w:t>
      </w:r>
      <w:r>
        <w:rPr>
          <w:rFonts w:ascii="Arial" w:hAnsi="Arial"/>
        </w:rPr>
        <w:t xml:space="preserve">TE RAN Architecture   </w:t>
      </w:r>
    </w:p>
    <w:p w:rsidR="00776B43" w:rsidRPr="003F296B" w:rsidRDefault="009F49BB" w:rsidP="009F49BB">
      <w:pPr>
        <w:tabs>
          <w:tab w:val="left" w:pos="1985"/>
        </w:tabs>
        <w:ind w:right="-446"/>
        <w:rPr>
          <w:color w:val="FF0000"/>
        </w:rPr>
      </w:pPr>
      <w:r>
        <w:rPr>
          <w:noProof/>
          <w:lang w:eastAsia="en-GB"/>
        </w:rPr>
        <mc:AlternateContent>
          <mc:Choice Requires="wps">
            <w:drawing>
              <wp:anchor distT="0" distB="0" distL="114300" distR="114300" simplePos="0" relativeHeight="251659264" behindDoc="0" locked="0" layoutInCell="1" allowOverlap="1" wp14:anchorId="71B152B2" wp14:editId="3ABE71D9">
                <wp:simplePos x="0" y="0"/>
                <wp:positionH relativeFrom="column">
                  <wp:posOffset>-312420</wp:posOffset>
                </wp:positionH>
                <wp:positionV relativeFrom="paragraph">
                  <wp:posOffset>258445</wp:posOffset>
                </wp:positionV>
                <wp:extent cx="6263640" cy="0"/>
                <wp:effectExtent l="0" t="0" r="22860" b="19050"/>
                <wp:wrapNone/>
                <wp:docPr id="2" name="Straight Connector 2"/>
                <wp:cNvGraphicFramePr/>
                <a:graphic xmlns:a="http://schemas.openxmlformats.org/drawingml/2006/main">
                  <a:graphicData uri="http://schemas.microsoft.com/office/word/2010/wordprocessingShape">
                    <wps:wsp>
                      <wps:cNvCnPr/>
                      <wps:spPr>
                        <a:xfrm flipV="1">
                          <a:off x="0" y="0"/>
                          <a:ext cx="626364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BB50487" id="Straight Connector 2"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6pt,20.35pt" to="468.6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" strokecolor="#da0000 [3044]"/>
            </w:pict>
          </mc:Fallback>
        </mc:AlternateContent>
      </w:r>
      <w:r>
        <w:rPr>
          <w:rFonts w:ascii="Arial" w:hAnsi="Arial"/>
          <w:b/>
        </w:rPr>
        <w:t>Document for:</w:t>
      </w:r>
      <w:r>
        <w:rPr>
          <w:rFonts w:ascii="Arial" w:hAnsi="Arial"/>
        </w:rPr>
        <w:tab/>
        <w:t xml:space="preserve">Discussion and Decision </w:t>
      </w:r>
    </w:p>
    <w:p w:rsidR="00B46E5B" w:rsidRDefault="00EE7403" w:rsidP="00B46E5B">
      <w:pPr>
        <w:pStyle w:val="Heading1"/>
      </w:pPr>
      <w:r>
        <w:t>Introduction</w:t>
      </w:r>
    </w:p>
    <w:p w:rsidR="00A209CF" w:rsidRDefault="003402CB" w:rsidP="00EE7403">
      <w:r w:rsidRPr="00BC4479">
        <w:t xml:space="preserve">At the </w:t>
      </w:r>
      <w:r w:rsidR="009B4089">
        <w:t>March</w:t>
      </w:r>
      <w:r w:rsidRPr="00BC4479">
        <w:t xml:space="preserve"> RAN plenary meeting, a new Study Item was </w:t>
      </w:r>
      <w:r w:rsidR="00BC4479" w:rsidRPr="00BC4479">
        <w:t xml:space="preserve">agreed </w:t>
      </w:r>
      <w:r w:rsidR="009B4089">
        <w:t xml:space="preserve">in </w:t>
      </w:r>
      <w:r w:rsidR="009B4089" w:rsidRPr="00594116">
        <w:t xml:space="preserve">RP-170843 </w:t>
      </w:r>
      <w:r w:rsidR="00BC4479" w:rsidRPr="00BC4479">
        <w:t>[</w:t>
      </w:r>
      <w:r w:rsidR="00594116" w:rsidRPr="00BC4479">
        <w:t>1</w:t>
      </w:r>
      <w:r w:rsidR="00BC4479" w:rsidRPr="00BC4479">
        <w:t>] on</w:t>
      </w:r>
      <w:r w:rsidRPr="00BC4479">
        <w:t xml:space="preserve"> the </w:t>
      </w:r>
      <w:r w:rsidR="00BC4479">
        <w:t>E</w:t>
      </w:r>
      <w:r w:rsidRPr="00BC4479">
        <w:t xml:space="preserve">volution of the UTRAN </w:t>
      </w:r>
      <w:r w:rsidR="00BC4479">
        <w:t>A</w:t>
      </w:r>
      <w:r w:rsidRPr="00BC4479">
        <w:t xml:space="preserve">rchitecture. </w:t>
      </w:r>
    </w:p>
    <w:p w:rsidR="00EE7403" w:rsidRDefault="00EE7403" w:rsidP="00EE7403">
      <w:r>
        <w:t xml:space="preserve">Following the agreement at the previous RAN3 #95 </w:t>
      </w:r>
      <w:proofErr w:type="spellStart"/>
      <w:r>
        <w:t>bis</w:t>
      </w:r>
      <w:proofErr w:type="spellEnd"/>
      <w:r>
        <w:t xml:space="preserve"> meeting to adopt Option 2 High Layer Functional Split and Separated Control and User Planes</w:t>
      </w:r>
      <w:r w:rsidR="003402CB">
        <w:t xml:space="preserve"> for New Radio</w:t>
      </w:r>
      <w:r>
        <w:t>, we provide a number of practical architectural scenarios for a</w:t>
      </w:r>
      <w:r w:rsidR="003402CB">
        <w:t xml:space="preserve"> similar (or </w:t>
      </w:r>
      <w:r w:rsidR="00BC4479">
        <w:t>identical) E</w:t>
      </w:r>
      <w:r w:rsidR="003402CB">
        <w:t>-</w:t>
      </w:r>
      <w:r w:rsidR="00BC4479">
        <w:t>UTRAN architecture</w:t>
      </w:r>
      <w:r w:rsidR="003402CB">
        <w:t xml:space="preserve"> / combined E</w:t>
      </w:r>
      <w:r w:rsidR="009B4089">
        <w:t>-</w:t>
      </w:r>
      <w:r w:rsidR="003402CB">
        <w:t>UTRA/NR RAN architecture</w:t>
      </w:r>
      <w:r>
        <w:t>.</w:t>
      </w:r>
    </w:p>
    <w:p w:rsidR="00EE7403" w:rsidRDefault="00EE7403" w:rsidP="00EE7403">
      <w:r>
        <w:t xml:space="preserve">These scenarios also incorporate separated Control and User </w:t>
      </w:r>
      <w:r w:rsidR="003402CB">
        <w:t xml:space="preserve">Plane </w:t>
      </w:r>
      <w:r>
        <w:t>Entities.</w:t>
      </w:r>
    </w:p>
    <w:p w:rsidR="00E872C5" w:rsidRDefault="00EE7403" w:rsidP="00EE7403">
      <w:r>
        <w:t xml:space="preserve">The scenarios described in this contribution are evolved versions of the </w:t>
      </w:r>
      <w:r w:rsidR="003402CB">
        <w:t xml:space="preserve">Option </w:t>
      </w:r>
      <w:r>
        <w:t>3x architecture describe</w:t>
      </w:r>
      <w:r w:rsidR="003402CB">
        <w:t>d</w:t>
      </w:r>
      <w:r>
        <w:t xml:space="preserve"> in the TR 38.801 [</w:t>
      </w:r>
      <w:r w:rsidR="00BC4479">
        <w:t>2</w:t>
      </w:r>
      <w:r>
        <w:t>].</w:t>
      </w:r>
      <w:r w:rsidR="00E872C5">
        <w:t xml:space="preserve"> </w:t>
      </w:r>
    </w:p>
    <w:p w:rsidR="00EE7403" w:rsidRDefault="00EE7403" w:rsidP="002C3DEA">
      <w:pPr>
        <w:pStyle w:val="Heading1"/>
      </w:pPr>
      <w:r>
        <w:t>Architectural Scenarios</w:t>
      </w:r>
    </w:p>
    <w:p w:rsidR="00EE7403" w:rsidRDefault="00EE7403" w:rsidP="00EE7403">
      <w:r>
        <w:t xml:space="preserve">A number of scenarios are illustrated in this section. In these architectures we make use </w:t>
      </w:r>
      <w:r w:rsidR="002C3DEA">
        <w:t>of the following design rules:</w:t>
      </w:r>
    </w:p>
    <w:p w:rsidR="002C3DEA" w:rsidRDefault="003402CB" w:rsidP="00EE7403">
      <w:pPr>
        <w:pStyle w:val="ListParagraph"/>
        <w:numPr>
          <w:ilvl w:val="0"/>
          <w:numId w:val="5"/>
        </w:numPr>
      </w:pPr>
      <w:r>
        <w:t>RRM/</w:t>
      </w:r>
      <w:r w:rsidR="002C3DEA">
        <w:t xml:space="preserve">RRC/PDCP-C and PDCP-U located at </w:t>
      </w:r>
      <w:r>
        <w:t>“</w:t>
      </w:r>
      <w:r w:rsidR="002C3DEA">
        <w:t>Centralised Unit</w:t>
      </w:r>
      <w:r>
        <w:t xml:space="preserve">s” that may be physically separated from each other, and from the </w:t>
      </w:r>
      <w:r w:rsidR="002C3DEA">
        <w:t xml:space="preserve">Distributed </w:t>
      </w:r>
      <w:r>
        <w:t>U</w:t>
      </w:r>
      <w:r w:rsidR="002C3DEA">
        <w:t>nits</w:t>
      </w:r>
    </w:p>
    <w:p w:rsidR="002C3DEA" w:rsidRDefault="002C3DEA" w:rsidP="00EE7403">
      <w:pPr>
        <w:pStyle w:val="ListParagraph"/>
        <w:numPr>
          <w:ilvl w:val="0"/>
          <w:numId w:val="5"/>
        </w:numPr>
      </w:pPr>
      <w:r>
        <w:t xml:space="preserve">RLC/MAC/PHY/RF Located at the Distributed Unit  </w:t>
      </w:r>
    </w:p>
    <w:p w:rsidR="00EE7403" w:rsidRDefault="00EE7403" w:rsidP="00EE7403">
      <w:pPr>
        <w:pStyle w:val="ListParagraph"/>
        <w:numPr>
          <w:ilvl w:val="0"/>
          <w:numId w:val="5"/>
        </w:numPr>
      </w:pPr>
      <w:r>
        <w:t>Separated Control and User Planes</w:t>
      </w:r>
    </w:p>
    <w:p w:rsidR="00EE7403" w:rsidRDefault="00EE7403" w:rsidP="00EE7403">
      <w:pPr>
        <w:pStyle w:val="ListParagraph"/>
        <w:numPr>
          <w:ilvl w:val="0"/>
          <w:numId w:val="5"/>
        </w:numPr>
      </w:pPr>
      <w:r>
        <w:t xml:space="preserve">Separated </w:t>
      </w:r>
      <w:r w:rsidR="003402CB">
        <w:t>C</w:t>
      </w:r>
      <w:r w:rsidR="002C3DEA">
        <w:t xml:space="preserve">ontrol and User </w:t>
      </w:r>
      <w:r w:rsidR="003402CB">
        <w:t xml:space="preserve">Plane </w:t>
      </w:r>
      <w:r w:rsidR="002C3DEA">
        <w:t>Functional Entities</w:t>
      </w:r>
    </w:p>
    <w:p w:rsidR="002C3DEA" w:rsidRDefault="002C3DEA" w:rsidP="00EE7403">
      <w:pPr>
        <w:pStyle w:val="ListParagraph"/>
        <w:numPr>
          <w:ilvl w:val="0"/>
          <w:numId w:val="5"/>
        </w:numPr>
      </w:pPr>
      <w:r>
        <w:t xml:space="preserve">Control Signalling to flow over SCTP </w:t>
      </w:r>
    </w:p>
    <w:p w:rsidR="002C3DEA" w:rsidRDefault="002C3DEA" w:rsidP="00EE7403">
      <w:pPr>
        <w:pStyle w:val="ListParagraph"/>
        <w:numPr>
          <w:ilvl w:val="0"/>
          <w:numId w:val="5"/>
        </w:numPr>
      </w:pPr>
      <w:r>
        <w:t>User Plane traffic to flow over GTP-U</w:t>
      </w:r>
    </w:p>
    <w:p w:rsidR="00961EF4" w:rsidRDefault="00961EF4" w:rsidP="00EE7403">
      <w:pPr>
        <w:pStyle w:val="ListParagraph"/>
        <w:numPr>
          <w:ilvl w:val="0"/>
          <w:numId w:val="5"/>
        </w:numPr>
      </w:pPr>
      <w:r>
        <w:t xml:space="preserve">Location of the Control </w:t>
      </w:r>
      <w:r w:rsidR="003402CB">
        <w:t xml:space="preserve">Plane </w:t>
      </w:r>
      <w:r>
        <w:t>Entity can be flexible</w:t>
      </w:r>
    </w:p>
    <w:p w:rsidR="003402CB" w:rsidRDefault="003402CB" w:rsidP="00EE7403">
      <w:pPr>
        <w:pStyle w:val="ListParagraph"/>
        <w:numPr>
          <w:ilvl w:val="0"/>
          <w:numId w:val="5"/>
        </w:numPr>
      </w:pPr>
      <w:r>
        <w:t>Location of the User Plane CU can be flexible.</w:t>
      </w:r>
    </w:p>
    <w:p w:rsidR="003402CB" w:rsidRDefault="003402CB" w:rsidP="00EE7403">
      <w:pPr>
        <w:pStyle w:val="ListParagraph"/>
        <w:numPr>
          <w:ilvl w:val="0"/>
          <w:numId w:val="5"/>
        </w:numPr>
      </w:pPr>
      <w:r>
        <w:t>To minimise user plane latency, packets must be stopped in only two “3GPP aware” locations. These are the DU and a Centralised location hosting PDCP-U and (for option 3 architecture family) the S/PGW.</w:t>
      </w:r>
    </w:p>
    <w:p w:rsidR="003402CB" w:rsidRDefault="003402CB" w:rsidP="00EE7403">
      <w:pPr>
        <w:pStyle w:val="ListParagraph"/>
        <w:numPr>
          <w:ilvl w:val="0"/>
          <w:numId w:val="5"/>
        </w:numPr>
      </w:pPr>
      <w:r>
        <w:lastRenderedPageBreak/>
        <w:t xml:space="preserve">To minimise </w:t>
      </w:r>
      <w:r w:rsidR="00A028AD">
        <w:t>OPEX</w:t>
      </w:r>
      <w:r>
        <w:t>, the number of centralised locations hosting PDCP-U needs to be minimised, and the architecture shall support the use of a second choice, more distant location in case of failure of the first choice site. Hence the functional split between CU and DU shall permit one way latencies of at least 8ms between DU and CU.</w:t>
      </w:r>
    </w:p>
    <w:p w:rsidR="002C3DEA" w:rsidRDefault="002C3DEA" w:rsidP="002C3DEA">
      <w:pPr>
        <w:pStyle w:val="Heading2"/>
      </w:pPr>
      <w:r>
        <w:t>Scenario 1</w:t>
      </w:r>
    </w:p>
    <w:p w:rsidR="002C3DEA" w:rsidRPr="002C3DEA" w:rsidRDefault="002C3DEA" w:rsidP="002C3DEA">
      <w:r>
        <w:t xml:space="preserve">In the basic scenario, using the basic </w:t>
      </w:r>
      <w:r w:rsidR="003402CB">
        <w:t>“option 2” TR 38.801 CU/DU split</w:t>
      </w:r>
      <w:r>
        <w:t>, the LTE RAN is split as shown in the following figure:</w:t>
      </w:r>
    </w:p>
    <w:p w:rsidR="002C3DEA" w:rsidRDefault="002C3DEA" w:rsidP="006C7CF1">
      <w:pPr>
        <w:keepNext/>
        <w:jc w:val="center"/>
      </w:pPr>
      <w:r>
        <w:rPr>
          <w:noProof/>
          <w:lang w:eastAsia="en-GB"/>
          <w14:cntxtAlts w14:val="0"/>
        </w:rPr>
        <w:drawing>
          <wp:inline distT="0" distB="0" distL="0" distR="0">
            <wp:extent cx="6188710" cy="4892040"/>
            <wp:effectExtent l="0" t="0" r="254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TE_scenario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6188710" cy="4892040"/>
                    </a:xfrm>
                    <a:prstGeom prst="rect">
                      <a:avLst/>
                    </a:prstGeom>
                  </pic:spPr>
                </pic:pic>
              </a:graphicData>
            </a:graphic>
          </wp:inline>
        </w:drawing>
      </w:r>
    </w:p>
    <w:p w:rsidR="002C3DEA" w:rsidRDefault="002C3DEA" w:rsidP="006C7CF1">
      <w:pPr>
        <w:pStyle w:val="Caption"/>
        <w:jc w:val="center"/>
      </w:pPr>
      <w:r>
        <w:t xml:space="preserve">Figure </w:t>
      </w:r>
      <w:r w:rsidR="008A77D9">
        <w:fldChar w:fldCharType="begin"/>
      </w:r>
      <w:r w:rsidR="008A77D9">
        <w:instrText xml:space="preserve"> SEQ Figure \* ARABIC </w:instrText>
      </w:r>
      <w:r w:rsidR="008A77D9">
        <w:fldChar w:fldCharType="separate"/>
      </w:r>
      <w:r w:rsidR="00B61D4F">
        <w:rPr>
          <w:noProof/>
        </w:rPr>
        <w:t>1</w:t>
      </w:r>
      <w:r w:rsidR="008A77D9">
        <w:rPr>
          <w:noProof/>
        </w:rPr>
        <w:fldChar w:fldCharType="end"/>
      </w:r>
      <w:r>
        <w:t xml:space="preserve"> </w:t>
      </w:r>
      <w:r w:rsidR="00EC4210">
        <w:t xml:space="preserve">Scenario 1 </w:t>
      </w:r>
      <w:r>
        <w:t xml:space="preserve">LTE-LTE Split </w:t>
      </w:r>
      <w:r w:rsidR="003402CB">
        <w:t xml:space="preserve">RAN </w:t>
      </w:r>
      <w:r>
        <w:t>Architecture</w:t>
      </w:r>
    </w:p>
    <w:p w:rsidR="006C7CF1" w:rsidRDefault="006C7CF1" w:rsidP="006C7CF1"/>
    <w:p w:rsidR="006C7CF1" w:rsidRPr="006C7CF1" w:rsidRDefault="006C7CF1" w:rsidP="006C7CF1">
      <w:pPr>
        <w:pStyle w:val="Heading2"/>
      </w:pPr>
      <w:r>
        <w:t>Scenario 2</w:t>
      </w:r>
    </w:p>
    <w:p w:rsidR="002C3DEA" w:rsidRDefault="006C7CF1" w:rsidP="002C3DEA">
      <w:r>
        <w:t xml:space="preserve">For </w:t>
      </w:r>
      <w:r w:rsidR="003402CB">
        <w:t xml:space="preserve">dual connectivity </w:t>
      </w:r>
      <w:r w:rsidR="00BC4479">
        <w:t>using LTE</w:t>
      </w:r>
      <w:r>
        <w:t xml:space="preserve"> </w:t>
      </w:r>
      <w:r w:rsidR="00BC4479">
        <w:t>and NR,</w:t>
      </w:r>
      <w:r>
        <w:t xml:space="preserve"> the architecture is shown in the following figure. </w:t>
      </w:r>
      <w:r w:rsidR="003402CB">
        <w:t>Compared to scenario 1, i</w:t>
      </w:r>
      <w:r>
        <w:t xml:space="preserve">n this scenario, </w:t>
      </w:r>
      <w:r w:rsidR="003402CB">
        <w:t xml:space="preserve">the </w:t>
      </w:r>
      <w:r w:rsidR="00BC4479">
        <w:t>SCG LTE</w:t>
      </w:r>
      <w:r>
        <w:t xml:space="preserve"> base-station is replaced with a NR base-</w:t>
      </w:r>
      <w:r w:rsidR="00BC4479">
        <w:t>station.</w:t>
      </w:r>
    </w:p>
    <w:p w:rsidR="006C7CF1" w:rsidRDefault="006C7CF1" w:rsidP="002C3DEA">
      <w:bookmarkStart w:id="0" w:name="_GoBack"/>
      <w:bookmarkEnd w:id="0"/>
    </w:p>
    <w:p w:rsidR="00EC4210" w:rsidRDefault="006C7CF1" w:rsidP="00EC4210">
      <w:pPr>
        <w:keepNext/>
        <w:jc w:val="center"/>
      </w:pPr>
      <w:r>
        <w:rPr>
          <w:noProof/>
          <w:lang w:eastAsia="en-GB"/>
          <w14:cntxtAlts w14:val="0"/>
        </w:rPr>
        <w:lastRenderedPageBreak/>
        <w:drawing>
          <wp:inline distT="0" distB="0" distL="0" distR="0">
            <wp:extent cx="6188710" cy="4796790"/>
            <wp:effectExtent l="0" t="0" r="254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TE_scenario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88710" cy="4796790"/>
                    </a:xfrm>
                    <a:prstGeom prst="rect">
                      <a:avLst/>
                    </a:prstGeom>
                  </pic:spPr>
                </pic:pic>
              </a:graphicData>
            </a:graphic>
          </wp:inline>
        </w:drawing>
      </w:r>
    </w:p>
    <w:p w:rsidR="006C7CF1" w:rsidRDefault="00EC4210" w:rsidP="00EC4210">
      <w:pPr>
        <w:pStyle w:val="Caption"/>
        <w:jc w:val="center"/>
      </w:pPr>
      <w:r>
        <w:t xml:space="preserve">Figure </w:t>
      </w:r>
      <w:fldSimple w:instr=" SEQ Figure \* ARABIC ">
        <w:r w:rsidR="00B61D4F">
          <w:rPr>
            <w:noProof/>
          </w:rPr>
          <w:t>2</w:t>
        </w:r>
      </w:fldSimple>
      <w:r>
        <w:t xml:space="preserve"> Scenario 2 LTE-NR Split </w:t>
      </w:r>
      <w:r w:rsidR="003402CB">
        <w:t xml:space="preserve">RAN </w:t>
      </w:r>
      <w:r>
        <w:t>Architecture</w:t>
      </w:r>
    </w:p>
    <w:p w:rsidR="006C7CF1" w:rsidRDefault="006C7CF1" w:rsidP="006C7CF1">
      <w:pPr>
        <w:pStyle w:val="Heading2"/>
      </w:pPr>
      <w:r>
        <w:t>Scenario 3</w:t>
      </w:r>
    </w:p>
    <w:p w:rsidR="00250E2A" w:rsidRDefault="00250E2A" w:rsidP="00250E2A">
      <w:r>
        <w:t>The flexibility of this design approach is illustrat</w:t>
      </w:r>
      <w:r w:rsidR="003402CB">
        <w:t>ed</w:t>
      </w:r>
      <w:r>
        <w:t xml:space="preserve"> in the next two scenarios. In Scenario 3 it is assumed that latency of the transmission medium is greater than 8ms and the Control entity is located closer to the DUs.</w:t>
      </w:r>
      <w:r w:rsidR="003402CB">
        <w:t xml:space="preserve"> This scenario is also applicable in the case that the RRM/RRC/PDCP-C entity is controlling a cluster of DUs e.g. to support mult</w:t>
      </w:r>
      <w:r w:rsidR="00BC4479">
        <w:t>i</w:t>
      </w:r>
      <w:r w:rsidR="003402CB">
        <w:t xml:space="preserve">-cell coordination radio </w:t>
      </w:r>
      <w:r w:rsidR="00BC4479">
        <w:t>features.</w:t>
      </w:r>
    </w:p>
    <w:p w:rsidR="00EC4210" w:rsidRDefault="00250E2A" w:rsidP="00EC4210">
      <w:pPr>
        <w:keepNext/>
        <w:jc w:val="center"/>
      </w:pPr>
      <w:r>
        <w:rPr>
          <w:noProof/>
          <w:lang w:eastAsia="en-GB"/>
          <w14:cntxtAlts w14:val="0"/>
        </w:rPr>
        <w:lastRenderedPageBreak/>
        <w:drawing>
          <wp:inline distT="0" distB="0" distL="0" distR="0">
            <wp:extent cx="6188710" cy="497268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TE_scenario3.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88710" cy="4972685"/>
                    </a:xfrm>
                    <a:prstGeom prst="rect">
                      <a:avLst/>
                    </a:prstGeom>
                  </pic:spPr>
                </pic:pic>
              </a:graphicData>
            </a:graphic>
          </wp:inline>
        </w:drawing>
      </w:r>
    </w:p>
    <w:p w:rsidR="00250E2A" w:rsidRDefault="00EC4210" w:rsidP="00EC4210">
      <w:pPr>
        <w:pStyle w:val="Caption"/>
        <w:jc w:val="center"/>
      </w:pPr>
      <w:r>
        <w:t xml:space="preserve">Figure </w:t>
      </w:r>
      <w:r w:rsidR="008A77D9">
        <w:fldChar w:fldCharType="begin"/>
      </w:r>
      <w:r w:rsidR="008A77D9">
        <w:instrText xml:space="preserve"> SEQ Figure \* ARABIC </w:instrText>
      </w:r>
      <w:r w:rsidR="008A77D9">
        <w:fldChar w:fldCharType="separate"/>
      </w:r>
      <w:r w:rsidR="00B61D4F">
        <w:rPr>
          <w:noProof/>
        </w:rPr>
        <w:t>3</w:t>
      </w:r>
      <w:r w:rsidR="008A77D9">
        <w:rPr>
          <w:noProof/>
        </w:rPr>
        <w:fldChar w:fldCharType="end"/>
      </w:r>
      <w:r>
        <w:t xml:space="preserve"> Scenario 3 LTE-NR Split </w:t>
      </w:r>
      <w:r w:rsidR="003402CB">
        <w:t xml:space="preserve">RAN </w:t>
      </w:r>
      <w:r>
        <w:t>Architecture with Control Entity located Closer to the DUs</w:t>
      </w:r>
    </w:p>
    <w:p w:rsidR="00EC4210" w:rsidRDefault="00EC4210" w:rsidP="00250E2A"/>
    <w:p w:rsidR="00EC4210" w:rsidRDefault="00EC4210" w:rsidP="00EC4210">
      <w:pPr>
        <w:pStyle w:val="Heading2"/>
      </w:pPr>
      <w:r>
        <w:t>Scenario 4</w:t>
      </w:r>
    </w:p>
    <w:p w:rsidR="00EC4210" w:rsidRPr="00EC4210" w:rsidRDefault="00EC4210" w:rsidP="00EC4210">
      <w:r>
        <w:t xml:space="preserve">The flexibility of this design approach is further illustrated in Scenario4. In this example, </w:t>
      </w:r>
      <w:r w:rsidR="00961EF4">
        <w:t>the Control Entity is located in</w:t>
      </w:r>
      <w:r>
        <w:t xml:space="preserve"> the LTE DU and depending on the physical design of the DU, the Control Entity can manage </w:t>
      </w:r>
      <w:r w:rsidR="00961EF4">
        <w:t xml:space="preserve">both </w:t>
      </w:r>
      <w:r>
        <w:t>the LTE and NR DUs</w:t>
      </w:r>
    </w:p>
    <w:p w:rsidR="00EC4210" w:rsidRDefault="00250F35" w:rsidP="00EC4210">
      <w:pPr>
        <w:keepNext/>
        <w:jc w:val="center"/>
      </w:pPr>
      <w:r>
        <w:rPr>
          <w:noProof/>
          <w:lang w:eastAsia="en-GB"/>
          <w14:cntxtAlts w14:val="0"/>
        </w:rPr>
        <w:lastRenderedPageBreak/>
        <w:drawing>
          <wp:inline distT="0" distB="0" distL="0" distR="0">
            <wp:extent cx="6188710" cy="466852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TE_scenario4.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88710" cy="4668520"/>
                    </a:xfrm>
                    <a:prstGeom prst="rect">
                      <a:avLst/>
                    </a:prstGeom>
                  </pic:spPr>
                </pic:pic>
              </a:graphicData>
            </a:graphic>
          </wp:inline>
        </w:drawing>
      </w:r>
    </w:p>
    <w:p w:rsidR="006C7CF1" w:rsidRDefault="00EC4210" w:rsidP="00EC4210">
      <w:pPr>
        <w:pStyle w:val="Caption"/>
        <w:jc w:val="center"/>
      </w:pPr>
      <w:r>
        <w:t xml:space="preserve">Figure </w:t>
      </w:r>
      <w:fldSimple w:instr=" SEQ Figure \* ARABIC ">
        <w:r w:rsidR="00B61D4F">
          <w:rPr>
            <w:noProof/>
          </w:rPr>
          <w:t>4</w:t>
        </w:r>
      </w:fldSimple>
      <w:r>
        <w:t xml:space="preserve"> Scenario 4 LTE-NR Split </w:t>
      </w:r>
      <w:r w:rsidR="003402CB">
        <w:t xml:space="preserve">RAN </w:t>
      </w:r>
      <w:r>
        <w:t>Architecture with Control Entity in the LTE DU</w:t>
      </w:r>
    </w:p>
    <w:p w:rsidR="006C7CF1" w:rsidRDefault="00961EF4" w:rsidP="002C3DEA">
      <w:r>
        <w:t xml:space="preserve">The architecture shown in Scenario 4 is suitable to Low Latency applications where the UE or any other device, required fast signalling between the UE and the network. </w:t>
      </w:r>
    </w:p>
    <w:p w:rsidR="00C84C43" w:rsidRDefault="00C84C43" w:rsidP="00C84C43">
      <w:pPr>
        <w:pStyle w:val="Heading1"/>
      </w:pPr>
      <w:r>
        <w:t>Distributed RRM</w:t>
      </w:r>
    </w:p>
    <w:p w:rsidR="00C84C43" w:rsidRDefault="003402CB" w:rsidP="002C3DEA">
      <w:r>
        <w:t>I</w:t>
      </w:r>
      <w:r w:rsidR="00C84C43">
        <w:t xml:space="preserve">n </w:t>
      </w:r>
      <w:r>
        <w:t xml:space="preserve">a </w:t>
      </w:r>
      <w:r w:rsidR="00C84C43">
        <w:t xml:space="preserve">previous </w:t>
      </w:r>
      <w:r>
        <w:t xml:space="preserve">Vodafone </w:t>
      </w:r>
      <w:r w:rsidR="00C84C43">
        <w:t>contribution [</w:t>
      </w:r>
      <w:r w:rsidR="00BC4479">
        <w:t>3</w:t>
      </w:r>
      <w:r w:rsidR="00C84C43">
        <w:t xml:space="preserve">] we introduced the concept of </w:t>
      </w:r>
      <w:r w:rsidR="0021163F">
        <w:t>S</w:t>
      </w:r>
      <w:r w:rsidR="00C84C43">
        <w:t xml:space="preserve">plit RRM. In this approach slow changing radio conditions are managed by a Common RRM Function at the Centralised </w:t>
      </w:r>
      <w:r w:rsidR="0021163F">
        <w:t>Control Unit and fast changing radio parameters are managed by Local RRM functions at the DUs. See the following figure</w:t>
      </w:r>
    </w:p>
    <w:p w:rsidR="0021163F" w:rsidRDefault="0021163F" w:rsidP="0021163F">
      <w:pPr>
        <w:keepNext/>
        <w:jc w:val="center"/>
      </w:pPr>
      <w:r>
        <w:rPr>
          <w:noProof/>
          <w:lang w:eastAsia="en-GB"/>
          <w14:cntxtAlts w14:val="0"/>
        </w:rPr>
        <w:lastRenderedPageBreak/>
        <w:drawing>
          <wp:inline distT="0" distB="0" distL="0" distR="0">
            <wp:extent cx="6188710" cy="232473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RM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88710" cy="2324735"/>
                    </a:xfrm>
                    <a:prstGeom prst="rect">
                      <a:avLst/>
                    </a:prstGeom>
                  </pic:spPr>
                </pic:pic>
              </a:graphicData>
            </a:graphic>
          </wp:inline>
        </w:drawing>
      </w:r>
    </w:p>
    <w:p w:rsidR="0021163F" w:rsidRDefault="0021163F" w:rsidP="0021163F">
      <w:pPr>
        <w:pStyle w:val="Caption"/>
        <w:jc w:val="center"/>
      </w:pPr>
      <w:r>
        <w:t xml:space="preserve">Figure </w:t>
      </w:r>
      <w:r w:rsidR="008A77D9">
        <w:fldChar w:fldCharType="begin"/>
      </w:r>
      <w:r w:rsidR="008A77D9">
        <w:instrText xml:space="preserve"> SEQ Figure</w:instrText>
      </w:r>
      <w:r w:rsidR="008A77D9">
        <w:instrText xml:space="preserve"> \* ARABIC </w:instrText>
      </w:r>
      <w:r w:rsidR="008A77D9">
        <w:fldChar w:fldCharType="separate"/>
      </w:r>
      <w:r w:rsidR="00B61D4F">
        <w:rPr>
          <w:noProof/>
        </w:rPr>
        <w:t>5</w:t>
      </w:r>
      <w:r w:rsidR="008A77D9">
        <w:rPr>
          <w:noProof/>
        </w:rPr>
        <w:fldChar w:fldCharType="end"/>
      </w:r>
      <w:r>
        <w:t xml:space="preserve"> Common and Local RRM</w:t>
      </w:r>
    </w:p>
    <w:p w:rsidR="0021163F" w:rsidRDefault="0021163F" w:rsidP="0021163F">
      <w:r>
        <w:t>By adopting this Distributed RRM feature, the LTE split architecture would have a common RRM in the Centralised Control Unit and DUs would have a Local RRM function to manage the fast changing radio conditions. The basic Scenario 1 with Distributed RRM functions are shown in the following figure:</w:t>
      </w:r>
    </w:p>
    <w:p w:rsidR="0021163F" w:rsidRDefault="0021163F" w:rsidP="0021163F">
      <w:pPr>
        <w:keepNext/>
        <w:jc w:val="center"/>
      </w:pPr>
      <w:r>
        <w:rPr>
          <w:noProof/>
          <w:lang w:eastAsia="en-GB"/>
          <w14:cntxtAlts w14:val="0"/>
        </w:rPr>
        <w:drawing>
          <wp:inline distT="0" distB="0" distL="0" distR="0">
            <wp:extent cx="6188710" cy="493522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TE_scenario5.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88710" cy="4935220"/>
                    </a:xfrm>
                    <a:prstGeom prst="rect">
                      <a:avLst/>
                    </a:prstGeom>
                  </pic:spPr>
                </pic:pic>
              </a:graphicData>
            </a:graphic>
          </wp:inline>
        </w:drawing>
      </w:r>
    </w:p>
    <w:p w:rsidR="0021163F" w:rsidRDefault="0021163F" w:rsidP="0021163F">
      <w:pPr>
        <w:pStyle w:val="Caption"/>
        <w:jc w:val="center"/>
      </w:pPr>
      <w:r>
        <w:t xml:space="preserve">Figure </w:t>
      </w:r>
      <w:r w:rsidR="008A77D9">
        <w:fldChar w:fldCharType="begin"/>
      </w:r>
      <w:r w:rsidR="008A77D9">
        <w:instrText xml:space="preserve"> SEQ Figure \* ARABIC </w:instrText>
      </w:r>
      <w:r w:rsidR="008A77D9">
        <w:fldChar w:fldCharType="separate"/>
      </w:r>
      <w:r w:rsidR="00B61D4F">
        <w:rPr>
          <w:noProof/>
        </w:rPr>
        <w:t>6</w:t>
      </w:r>
      <w:r w:rsidR="008A77D9">
        <w:rPr>
          <w:noProof/>
        </w:rPr>
        <w:fldChar w:fldCharType="end"/>
      </w:r>
      <w:r>
        <w:t xml:space="preserve"> LTE-NR Split </w:t>
      </w:r>
      <w:r w:rsidR="003402CB">
        <w:t xml:space="preserve">RAN </w:t>
      </w:r>
      <w:r>
        <w:t>Architecture with Common and Local RRM functions</w:t>
      </w:r>
    </w:p>
    <w:p w:rsidR="0021163F" w:rsidRDefault="0021163F" w:rsidP="0021163F">
      <w:pPr>
        <w:pStyle w:val="Heading1"/>
      </w:pPr>
      <w:r>
        <w:lastRenderedPageBreak/>
        <w:t xml:space="preserve">Overall Architecture </w:t>
      </w:r>
    </w:p>
    <w:p w:rsidR="0021163F" w:rsidRDefault="0021163F" w:rsidP="0021163F">
      <w:r>
        <w:t>By expanding the interfaces and various functions the overall evolved LTE architecture, based on the design rules is illustrated in the following figure:</w:t>
      </w:r>
    </w:p>
    <w:p w:rsidR="00A27DBF" w:rsidRDefault="00961EF4" w:rsidP="00A27DBF">
      <w:pPr>
        <w:keepNext/>
        <w:jc w:val="center"/>
      </w:pPr>
      <w:r>
        <w:rPr>
          <w:noProof/>
          <w:lang w:eastAsia="en-GB"/>
          <w14:cntxtAlts w14:val="0"/>
        </w:rPr>
        <w:drawing>
          <wp:inline distT="0" distB="0" distL="0" distR="0">
            <wp:extent cx="6188710" cy="6051550"/>
            <wp:effectExtent l="0" t="0" r="254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TE_scenario6.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88710" cy="6051550"/>
                    </a:xfrm>
                    <a:prstGeom prst="rect">
                      <a:avLst/>
                    </a:prstGeom>
                  </pic:spPr>
                </pic:pic>
              </a:graphicData>
            </a:graphic>
          </wp:inline>
        </w:drawing>
      </w:r>
    </w:p>
    <w:p w:rsidR="0021163F" w:rsidRPr="0021163F" w:rsidRDefault="00A27DBF" w:rsidP="00A27DBF">
      <w:pPr>
        <w:pStyle w:val="Caption"/>
        <w:jc w:val="center"/>
      </w:pPr>
      <w:r>
        <w:t xml:space="preserve">Figure </w:t>
      </w:r>
      <w:r w:rsidR="008A77D9">
        <w:fldChar w:fldCharType="begin"/>
      </w:r>
      <w:r w:rsidR="008A77D9">
        <w:instrText xml:space="preserve"> SEQ Figure \* ARABIC </w:instrText>
      </w:r>
      <w:r w:rsidR="008A77D9">
        <w:fldChar w:fldCharType="separate"/>
      </w:r>
      <w:r w:rsidR="00B61D4F">
        <w:rPr>
          <w:noProof/>
        </w:rPr>
        <w:t>7</w:t>
      </w:r>
      <w:r w:rsidR="008A77D9">
        <w:rPr>
          <w:noProof/>
        </w:rPr>
        <w:fldChar w:fldCharType="end"/>
      </w:r>
      <w:r>
        <w:t xml:space="preserve"> Overall Evolved LTE Split </w:t>
      </w:r>
      <w:r w:rsidR="003402CB">
        <w:t xml:space="preserve">RAN </w:t>
      </w:r>
      <w:r>
        <w:t>Architecture</w:t>
      </w:r>
    </w:p>
    <w:p w:rsidR="0021163F" w:rsidRDefault="0021163F" w:rsidP="0021163F"/>
    <w:p w:rsidR="00961EF4" w:rsidRDefault="00961EF4" w:rsidP="00961EF4">
      <w:pPr>
        <w:pStyle w:val="Heading1"/>
      </w:pPr>
      <w:r>
        <w:t>Conclusion</w:t>
      </w:r>
    </w:p>
    <w:p w:rsidR="00961EF4" w:rsidRDefault="00961EF4" w:rsidP="0021163F">
      <w:r>
        <w:t>In this contribution we have illustrated a number of variants of the evolved LTE architecture based on the Option</w:t>
      </w:r>
      <w:r w:rsidR="009B4089">
        <w:t xml:space="preserve"> </w:t>
      </w:r>
      <w:r>
        <w:t xml:space="preserve">2 High Layer Functional split architecture and separated Control and User Planes. </w:t>
      </w:r>
    </w:p>
    <w:p w:rsidR="00961EF4" w:rsidRDefault="00961EF4" w:rsidP="0021163F">
      <w:r>
        <w:lastRenderedPageBreak/>
        <w:t>The scenarios further illustrated the flexibility that is now at our disposal to design a network to cope with transmission latencies and to provide low latency signalling.</w:t>
      </w:r>
    </w:p>
    <w:p w:rsidR="00961EF4" w:rsidRPr="00961EF4" w:rsidRDefault="00961EF4" w:rsidP="0021163F">
      <w:pPr>
        <w:rPr>
          <w:b/>
        </w:rPr>
      </w:pPr>
      <w:r w:rsidRPr="00961EF4">
        <w:rPr>
          <w:b/>
        </w:rPr>
        <w:t xml:space="preserve">Proposal: Based on the Scenarios illustrated in this contribution we kindly ask RAN3 to adopt these architectures </w:t>
      </w:r>
      <w:r w:rsidR="003402CB">
        <w:rPr>
          <w:b/>
        </w:rPr>
        <w:t xml:space="preserve">and principles </w:t>
      </w:r>
      <w:r w:rsidRPr="00961EF4">
        <w:rPr>
          <w:b/>
        </w:rPr>
        <w:t xml:space="preserve">in the </w:t>
      </w:r>
      <w:r w:rsidR="003402CB">
        <w:rPr>
          <w:b/>
        </w:rPr>
        <w:t xml:space="preserve">new </w:t>
      </w:r>
      <w:r w:rsidRPr="00961EF4">
        <w:rPr>
          <w:b/>
        </w:rPr>
        <w:t>TR</w:t>
      </w:r>
      <w:r w:rsidR="003402CB">
        <w:rPr>
          <w:b/>
        </w:rPr>
        <w:t xml:space="preserve"> on E-UTRAN architecture evolution</w:t>
      </w:r>
      <w:r w:rsidRPr="00961EF4">
        <w:rPr>
          <w:b/>
        </w:rPr>
        <w:t>.</w:t>
      </w:r>
    </w:p>
    <w:p w:rsidR="00961EF4" w:rsidRPr="0021163F" w:rsidRDefault="00961EF4" w:rsidP="0021163F"/>
    <w:p w:rsidR="00B46E5B" w:rsidRDefault="00EE7403" w:rsidP="00EE7403">
      <w:pPr>
        <w:pStyle w:val="Heading1"/>
      </w:pPr>
      <w:r>
        <w:t xml:space="preserve">References </w:t>
      </w:r>
    </w:p>
    <w:p w:rsidR="00594116" w:rsidRPr="00594116" w:rsidRDefault="00594116" w:rsidP="00594116">
      <w:r>
        <w:t xml:space="preserve">[1] </w:t>
      </w:r>
      <w:r w:rsidRPr="00594116">
        <w:t>SID [</w:t>
      </w:r>
      <w:proofErr w:type="spellStart"/>
      <w:r w:rsidRPr="00594116">
        <w:t>FS_LTE_arch_evo</w:t>
      </w:r>
      <w:proofErr w:type="spellEnd"/>
      <w:r w:rsidRPr="00594116">
        <w:t>]: RP-170843 (target: RAN#78</w:t>
      </w:r>
      <w:r w:rsidR="00BC4479" w:rsidRPr="00594116">
        <w:t>),</w:t>
      </w:r>
      <w:r w:rsidR="00BC4479">
        <w:t xml:space="preserve"> agreed in RAN#75, Dubrovnik, </w:t>
      </w:r>
      <w:r w:rsidR="00BC4479" w:rsidRPr="00BC4479">
        <w:t>Croatia, March 6 - 9, 2017</w:t>
      </w:r>
      <w:r w:rsidR="00BC4479">
        <w:t xml:space="preserve"> </w:t>
      </w:r>
    </w:p>
    <w:p w:rsidR="00EE7403" w:rsidRDefault="00EE7403" w:rsidP="00EE7403">
      <w:r>
        <w:t>[</w:t>
      </w:r>
      <w:r w:rsidR="00BC4479">
        <w:t>2</w:t>
      </w:r>
      <w:r>
        <w:t xml:space="preserve">] 3GPP TR 38.801 V2.0.0 </w:t>
      </w:r>
    </w:p>
    <w:p w:rsidR="00C84C43" w:rsidRPr="00EE7403" w:rsidRDefault="00C84C43" w:rsidP="00EE7403">
      <w:r>
        <w:t>[</w:t>
      </w:r>
      <w:r w:rsidR="00BC4479">
        <w:t>3</w:t>
      </w:r>
      <w:r>
        <w:t>] R3-171203</w:t>
      </w:r>
    </w:p>
    <w:sectPr w:rsidR="00C84C43" w:rsidRPr="00EE7403" w:rsidSect="00B46E5B">
      <w:footerReference w:type="default" r:id="rId14"/>
      <w:headerReference w:type="first" r:id="rId15"/>
      <w:footerReference w:type="first" r:id="rId16"/>
      <w:pgSz w:w="11906" w:h="16838"/>
      <w:pgMar w:top="1440" w:right="1080" w:bottom="1440" w:left="108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A77D9" w:rsidRDefault="008A77D9" w:rsidP="00E2249A">
      <w:pPr>
        <w:spacing w:after="0" w:line="240" w:lineRule="auto"/>
      </w:pPr>
      <w:r>
        <w:separator/>
      </w:r>
    </w:p>
  </w:endnote>
  <w:endnote w:type="continuationSeparator" w:id="0">
    <w:p w:rsidR="008A77D9" w:rsidRDefault="008A77D9" w:rsidP="00E224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odafone Rg">
    <w:panose1 w:val="020B0606080202020204"/>
    <w:charset w:val="00"/>
    <w:family w:val="swiss"/>
    <w:pitch w:val="variable"/>
    <w:sig w:usb0="800002AF" w:usb1="4000204B" w:usb2="00000000" w:usb3="00000000" w:csb0="0000009F" w:csb1="00000000"/>
    <w:embedRegular r:id="rId1" w:fontKey="{35F63CA5-325F-4D3B-968F-F6678E1735AC}"/>
    <w:embedBold r:id="rId2" w:fontKey="{FDFF171C-1511-4339-BA97-AABAF320EB2E}"/>
    <w:embedItalic r:id="rId3" w:fontKey="{F477BB48-C054-4E2B-8030-0856323C3444}"/>
  </w:font>
  <w:font w:name="Vodafone Lt">
    <w:panose1 w:val="020B0606040202020204"/>
    <w:charset w:val="00"/>
    <w:family w:val="swiss"/>
    <w:pitch w:val="variable"/>
    <w:sig w:usb0="800002AF" w:usb1="4000204B" w:usb2="00000000" w:usb3="00000000" w:csb0="0000009F" w:csb1="00000000"/>
    <w:embedRegular r:id="rId4" w:fontKey="{1BCBBBD3-5E79-44D6-862D-8C1D773E6A46}"/>
    <w:embedBold r:id="rId5" w:fontKey="{5D891B07-D072-4FEF-AFA2-C2F3EC783826}"/>
    <w:embedItalic r:id="rId6" w:fontKey="{07BFF991-E80B-42ED-9EC4-F6199CFC4323}"/>
  </w:font>
  <w:font w:name="Tahoma">
    <w:panose1 w:val="020B0604030504040204"/>
    <w:charset w:val="00"/>
    <w:family w:val="swiss"/>
    <w:pitch w:val="variable"/>
    <w:sig w:usb0="E1002EFF" w:usb1="C000605B" w:usb2="00000029" w:usb3="00000000" w:csb0="000101FF" w:csb1="00000000"/>
    <w:embedRegular r:id="rId7" w:fontKey="{4FB76583-DA5C-4EB4-A382-E19AE3A91077}"/>
  </w:font>
  <w:font w:name="Calibri">
    <w:panose1 w:val="020F0502020204030204"/>
    <w:charset w:val="00"/>
    <w:family w:val="swiss"/>
    <w:pitch w:val="variable"/>
    <w:sig w:usb0="E00002FF" w:usb1="4000ACFF" w:usb2="00000001" w:usb3="00000000" w:csb0="0000019F" w:csb1="00000000"/>
    <w:embedRegular r:id="rId8" w:fontKey="{B5BEFA5F-5E7E-419E-BC3D-6F41CF0DDF16}"/>
    <w:embedItalic r:id="rId9" w:fontKey="{D1F5CE3E-C5C4-4D61-8248-AA3DA4DBD1C4}"/>
  </w:font>
  <w:font w:name="Arial">
    <w:panose1 w:val="020B0604020202020204"/>
    <w:charset w:val="00"/>
    <w:family w:val="swiss"/>
    <w:pitch w:val="variable"/>
    <w:sig w:usb0="E0002EFF" w:usb1="C0007843"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6C1" w:rsidRDefault="002C3DEA">
    <w:pPr>
      <w:pStyle w:val="Footer"/>
    </w:pPr>
    <w:r>
      <w:rPr>
        <w:color w:val="645C54" w:themeColor="text2"/>
      </w:rPr>
      <w:t>R3-17</w:t>
    </w:r>
    <w:r w:rsidR="00C30892">
      <w:rPr>
        <w:color w:val="645C54" w:themeColor="text2"/>
      </w:rPr>
      <w:t>2544</w:t>
    </w:r>
    <w:r>
      <w:rPr>
        <w:color w:val="645C54" w:themeColor="text2"/>
      </w:rPr>
      <w:tab/>
    </w:r>
    <w:r>
      <w:rPr>
        <w:color w:val="645C54" w:themeColor="text2"/>
      </w:rPr>
      <w:tab/>
    </w:r>
    <w:r w:rsidR="005136C1" w:rsidRPr="001943CB">
      <w:rPr>
        <w:color w:val="645C54" w:themeColor="text2"/>
      </w:rPr>
      <w:t xml:space="preserve">Page </w:t>
    </w:r>
    <w:r w:rsidR="005136C1" w:rsidRPr="001943CB">
      <w:rPr>
        <w:color w:val="645C54" w:themeColor="text2"/>
      </w:rPr>
      <w:fldChar w:fldCharType="begin"/>
    </w:r>
    <w:r w:rsidR="005136C1" w:rsidRPr="001943CB">
      <w:rPr>
        <w:color w:val="645C54" w:themeColor="text2"/>
      </w:rPr>
      <w:instrText xml:space="preserve"> PAGE  \* Arabic  \* MERGEFORMAT </w:instrText>
    </w:r>
    <w:r w:rsidR="005136C1" w:rsidRPr="001943CB">
      <w:rPr>
        <w:color w:val="645C54" w:themeColor="text2"/>
      </w:rPr>
      <w:fldChar w:fldCharType="separate"/>
    </w:r>
    <w:r w:rsidR="00C30892">
      <w:rPr>
        <w:noProof/>
        <w:color w:val="645C54" w:themeColor="text2"/>
      </w:rPr>
      <w:t>8</w:t>
    </w:r>
    <w:r w:rsidR="005136C1" w:rsidRPr="001943CB">
      <w:rPr>
        <w:color w:val="645C54" w:themeColor="text2"/>
      </w:rPr>
      <w:fldChar w:fldCharType="end"/>
    </w:r>
    <w:r w:rsidR="005136C1" w:rsidRPr="001943CB">
      <w:rPr>
        <w:color w:val="645C54" w:themeColor="text2"/>
      </w:rPr>
      <w:t xml:space="preserve"> of </w:t>
    </w:r>
    <w:r w:rsidR="005136C1" w:rsidRPr="001943CB">
      <w:rPr>
        <w:color w:val="645C54" w:themeColor="text2"/>
      </w:rPr>
      <w:fldChar w:fldCharType="begin"/>
    </w:r>
    <w:r w:rsidR="005136C1" w:rsidRPr="001943CB">
      <w:rPr>
        <w:color w:val="645C54" w:themeColor="text2"/>
      </w:rPr>
      <w:instrText xml:space="preserve"> NUMPAGES  \* Arabic  \* MERGEFORMAT </w:instrText>
    </w:r>
    <w:r w:rsidR="005136C1" w:rsidRPr="001943CB">
      <w:rPr>
        <w:color w:val="645C54" w:themeColor="text2"/>
      </w:rPr>
      <w:fldChar w:fldCharType="separate"/>
    </w:r>
    <w:r w:rsidR="00C30892">
      <w:rPr>
        <w:noProof/>
        <w:color w:val="645C54" w:themeColor="text2"/>
      </w:rPr>
      <w:t>8</w:t>
    </w:r>
    <w:r w:rsidR="005136C1" w:rsidRPr="001943CB">
      <w:rPr>
        <w:color w:val="645C54" w:themeColor="text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43CB" w:rsidRDefault="001943CB">
    <w:pPr>
      <w:pStyle w:val="Footer"/>
    </w:pP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A77D9" w:rsidRDefault="008A77D9" w:rsidP="00E2249A">
      <w:pPr>
        <w:spacing w:after="0" w:line="240" w:lineRule="auto"/>
      </w:pPr>
      <w:r>
        <w:separator/>
      </w:r>
    </w:p>
  </w:footnote>
  <w:footnote w:type="continuationSeparator" w:id="0">
    <w:p w:rsidR="008A77D9" w:rsidRDefault="008A77D9" w:rsidP="00E224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249A" w:rsidRPr="00E2249A" w:rsidRDefault="00E2249A" w:rsidP="001943CB">
    <w:pPr>
      <w:pStyle w:val="Title"/>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C82380"/>
    <w:multiLevelType w:val="hybridMultilevel"/>
    <w:tmpl w:val="4EB281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9EE27FA"/>
    <w:multiLevelType w:val="multilevel"/>
    <w:tmpl w:val="E8AA4C9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3F6A7A3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646D6A26"/>
    <w:multiLevelType w:val="multilevel"/>
    <w:tmpl w:val="ADC849F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3"/>
  </w:num>
  <w:num w:numId="2">
    <w:abstractNumId w:val="2"/>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PersonalInformation/>
  <w:removeDateAndTime/>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6E5B"/>
    <w:rsid w:val="00080DC4"/>
    <w:rsid w:val="000873A9"/>
    <w:rsid w:val="000C7EAB"/>
    <w:rsid w:val="001943CB"/>
    <w:rsid w:val="001A6782"/>
    <w:rsid w:val="0021163F"/>
    <w:rsid w:val="0023158A"/>
    <w:rsid w:val="00250E2A"/>
    <w:rsid w:val="00250F35"/>
    <w:rsid w:val="002B36C6"/>
    <w:rsid w:val="002C3DEA"/>
    <w:rsid w:val="003402CB"/>
    <w:rsid w:val="004574F3"/>
    <w:rsid w:val="00500405"/>
    <w:rsid w:val="005136C1"/>
    <w:rsid w:val="00594116"/>
    <w:rsid w:val="005F69D7"/>
    <w:rsid w:val="006966E3"/>
    <w:rsid w:val="006C7CF1"/>
    <w:rsid w:val="00746CBF"/>
    <w:rsid w:val="00776B43"/>
    <w:rsid w:val="007924E2"/>
    <w:rsid w:val="00884373"/>
    <w:rsid w:val="008A21C9"/>
    <w:rsid w:val="008A77D9"/>
    <w:rsid w:val="008F7993"/>
    <w:rsid w:val="0091508E"/>
    <w:rsid w:val="00931757"/>
    <w:rsid w:val="00961EF4"/>
    <w:rsid w:val="009B4089"/>
    <w:rsid w:val="009B5760"/>
    <w:rsid w:val="009F49BB"/>
    <w:rsid w:val="00A028AD"/>
    <w:rsid w:val="00A209CF"/>
    <w:rsid w:val="00A27DBF"/>
    <w:rsid w:val="00A503D6"/>
    <w:rsid w:val="00A74657"/>
    <w:rsid w:val="00B20BAD"/>
    <w:rsid w:val="00B46E5B"/>
    <w:rsid w:val="00B61D4F"/>
    <w:rsid w:val="00BA36AF"/>
    <w:rsid w:val="00BC4479"/>
    <w:rsid w:val="00BD72BD"/>
    <w:rsid w:val="00C073C5"/>
    <w:rsid w:val="00C1259C"/>
    <w:rsid w:val="00C30892"/>
    <w:rsid w:val="00C84C43"/>
    <w:rsid w:val="00C90323"/>
    <w:rsid w:val="00C9755E"/>
    <w:rsid w:val="00CC261E"/>
    <w:rsid w:val="00D06B0C"/>
    <w:rsid w:val="00D24F8C"/>
    <w:rsid w:val="00D85226"/>
    <w:rsid w:val="00D9222E"/>
    <w:rsid w:val="00DF727F"/>
    <w:rsid w:val="00E2249A"/>
    <w:rsid w:val="00E30824"/>
    <w:rsid w:val="00E6524D"/>
    <w:rsid w:val="00E872C5"/>
    <w:rsid w:val="00EC4210"/>
    <w:rsid w:val="00EE7403"/>
    <w:rsid w:val="00F44310"/>
    <w:rsid w:val="00FA0C4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2087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136C1"/>
    <w:rPr>
      <w:kern w:val="22"/>
      <w:sz w:val="24"/>
      <w14:cntxtAlts/>
    </w:rPr>
  </w:style>
  <w:style w:type="paragraph" w:styleId="Heading1">
    <w:name w:val="heading 1"/>
    <w:basedOn w:val="Normal"/>
    <w:next w:val="Normal"/>
    <w:link w:val="Heading1Char"/>
    <w:uiPriority w:val="9"/>
    <w:qFormat/>
    <w:rsid w:val="001943CB"/>
    <w:pPr>
      <w:keepNext/>
      <w:keepLines/>
      <w:numPr>
        <w:numId w:val="4"/>
      </w:numPr>
      <w:spacing w:before="480" w:after="0"/>
      <w:outlineLvl w:val="0"/>
    </w:pPr>
    <w:rPr>
      <w:rFonts w:asciiTheme="majorHAnsi" w:eastAsiaTheme="majorEastAsia" w:hAnsiTheme="majorHAnsi" w:cstheme="majorBidi"/>
      <w:b/>
      <w:bCs/>
      <w:color w:val="E60000" w:themeColor="accent1"/>
      <w:sz w:val="40"/>
      <w:szCs w:val="28"/>
    </w:rPr>
  </w:style>
  <w:style w:type="paragraph" w:styleId="Heading2">
    <w:name w:val="heading 2"/>
    <w:basedOn w:val="Normal"/>
    <w:next w:val="Normal"/>
    <w:link w:val="Heading2Char"/>
    <w:uiPriority w:val="9"/>
    <w:unhideWhenUsed/>
    <w:qFormat/>
    <w:rsid w:val="001943CB"/>
    <w:pPr>
      <w:keepNext/>
      <w:keepLines/>
      <w:numPr>
        <w:ilvl w:val="1"/>
        <w:numId w:val="4"/>
      </w:numPr>
      <w:spacing w:before="200" w:after="0"/>
      <w:outlineLvl w:val="1"/>
    </w:pPr>
    <w:rPr>
      <w:rFonts w:asciiTheme="majorHAnsi" w:eastAsiaTheme="majorEastAsia" w:hAnsiTheme="majorHAnsi" w:cstheme="majorBidi"/>
      <w:bCs/>
      <w:color w:val="E60000" w:themeColor="accent1"/>
      <w:sz w:val="36"/>
      <w:szCs w:val="26"/>
    </w:rPr>
  </w:style>
  <w:style w:type="paragraph" w:styleId="Heading3">
    <w:name w:val="heading 3"/>
    <w:basedOn w:val="Normal"/>
    <w:next w:val="Normal"/>
    <w:link w:val="Heading3Char"/>
    <w:uiPriority w:val="9"/>
    <w:unhideWhenUsed/>
    <w:qFormat/>
    <w:rsid w:val="00B46E5B"/>
    <w:pPr>
      <w:keepNext/>
      <w:keepLines/>
      <w:numPr>
        <w:ilvl w:val="2"/>
        <w:numId w:val="4"/>
      </w:numPr>
      <w:spacing w:before="40" w:after="0"/>
      <w:outlineLvl w:val="2"/>
    </w:pPr>
    <w:rPr>
      <w:rFonts w:asciiTheme="majorHAnsi" w:eastAsiaTheme="majorEastAsia" w:hAnsiTheme="majorHAnsi" w:cstheme="majorBidi"/>
      <w:color w:val="720000" w:themeColor="accent1" w:themeShade="7F"/>
      <w:szCs w:val="24"/>
    </w:rPr>
  </w:style>
  <w:style w:type="paragraph" w:styleId="Heading4">
    <w:name w:val="heading 4"/>
    <w:basedOn w:val="Normal"/>
    <w:next w:val="Normal"/>
    <w:link w:val="Heading4Char"/>
    <w:uiPriority w:val="9"/>
    <w:unhideWhenUsed/>
    <w:qFormat/>
    <w:rsid w:val="00B46E5B"/>
    <w:pPr>
      <w:keepNext/>
      <w:keepLines/>
      <w:numPr>
        <w:ilvl w:val="3"/>
        <w:numId w:val="3"/>
      </w:numPr>
      <w:spacing w:before="40" w:after="0"/>
      <w:outlineLvl w:val="3"/>
    </w:pPr>
    <w:rPr>
      <w:rFonts w:asciiTheme="majorHAnsi" w:eastAsiaTheme="majorEastAsia" w:hAnsiTheme="majorHAnsi" w:cstheme="majorBidi"/>
      <w:i/>
      <w:iCs/>
      <w:color w:val="AC0000"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2249A"/>
    <w:pPr>
      <w:tabs>
        <w:tab w:val="center" w:pos="4513"/>
        <w:tab w:val="right" w:pos="9026"/>
      </w:tabs>
      <w:spacing w:after="0" w:line="240" w:lineRule="auto"/>
    </w:pPr>
  </w:style>
  <w:style w:type="character" w:customStyle="1" w:styleId="HeaderChar">
    <w:name w:val="Header Char"/>
    <w:basedOn w:val="DefaultParagraphFont"/>
    <w:link w:val="Header"/>
    <w:uiPriority w:val="99"/>
    <w:rsid w:val="00E2249A"/>
  </w:style>
  <w:style w:type="paragraph" w:styleId="Footer">
    <w:name w:val="footer"/>
    <w:basedOn w:val="Normal"/>
    <w:link w:val="FooterChar"/>
    <w:uiPriority w:val="99"/>
    <w:unhideWhenUsed/>
    <w:rsid w:val="00E2249A"/>
    <w:pPr>
      <w:tabs>
        <w:tab w:val="center" w:pos="4513"/>
        <w:tab w:val="right" w:pos="9026"/>
      </w:tabs>
      <w:spacing w:after="0" w:line="240" w:lineRule="auto"/>
    </w:pPr>
  </w:style>
  <w:style w:type="character" w:customStyle="1" w:styleId="FooterChar">
    <w:name w:val="Footer Char"/>
    <w:basedOn w:val="DefaultParagraphFont"/>
    <w:link w:val="Footer"/>
    <w:uiPriority w:val="99"/>
    <w:rsid w:val="00E2249A"/>
  </w:style>
  <w:style w:type="paragraph" w:styleId="BalloonText">
    <w:name w:val="Balloon Text"/>
    <w:basedOn w:val="Normal"/>
    <w:link w:val="BalloonTextChar"/>
    <w:uiPriority w:val="99"/>
    <w:semiHidden/>
    <w:unhideWhenUsed/>
    <w:rsid w:val="00E2249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249A"/>
    <w:rPr>
      <w:rFonts w:ascii="Tahoma" w:hAnsi="Tahoma" w:cs="Tahoma"/>
      <w:sz w:val="16"/>
      <w:szCs w:val="16"/>
    </w:rPr>
  </w:style>
  <w:style w:type="character" w:customStyle="1" w:styleId="Heading1Char">
    <w:name w:val="Heading 1 Char"/>
    <w:basedOn w:val="DefaultParagraphFont"/>
    <w:link w:val="Heading1"/>
    <w:uiPriority w:val="9"/>
    <w:rsid w:val="001943CB"/>
    <w:rPr>
      <w:rFonts w:asciiTheme="majorHAnsi" w:eastAsiaTheme="majorEastAsia" w:hAnsiTheme="majorHAnsi" w:cstheme="majorBidi"/>
      <w:b/>
      <w:bCs/>
      <w:color w:val="E60000" w:themeColor="accent1"/>
      <w:kern w:val="22"/>
      <w:sz w:val="40"/>
      <w:szCs w:val="28"/>
      <w14:cntxtAlts/>
    </w:rPr>
  </w:style>
  <w:style w:type="character" w:customStyle="1" w:styleId="Heading2Char">
    <w:name w:val="Heading 2 Char"/>
    <w:basedOn w:val="DefaultParagraphFont"/>
    <w:link w:val="Heading2"/>
    <w:uiPriority w:val="9"/>
    <w:rsid w:val="001943CB"/>
    <w:rPr>
      <w:rFonts w:asciiTheme="majorHAnsi" w:eastAsiaTheme="majorEastAsia" w:hAnsiTheme="majorHAnsi" w:cstheme="majorBidi"/>
      <w:bCs/>
      <w:color w:val="E60000" w:themeColor="accent1"/>
      <w:kern w:val="22"/>
      <w:sz w:val="36"/>
      <w:szCs w:val="26"/>
      <w14:cntxtAlts/>
    </w:rPr>
  </w:style>
  <w:style w:type="paragraph" w:styleId="Title">
    <w:name w:val="Title"/>
    <w:basedOn w:val="Normal"/>
    <w:next w:val="Normal"/>
    <w:link w:val="TitleChar"/>
    <w:uiPriority w:val="10"/>
    <w:qFormat/>
    <w:rsid w:val="00E30824"/>
    <w:pPr>
      <w:spacing w:after="300" w:line="240" w:lineRule="auto"/>
      <w:contextualSpacing/>
    </w:pPr>
    <w:rPr>
      <w:rFonts w:asciiTheme="majorHAnsi" w:eastAsiaTheme="majorEastAsia" w:hAnsiTheme="majorHAnsi" w:cstheme="majorBidi"/>
      <w:color w:val="E60000" w:themeColor="accent1"/>
      <w:spacing w:val="5"/>
      <w:kern w:val="28"/>
      <w:sz w:val="84"/>
      <w:szCs w:val="52"/>
    </w:rPr>
  </w:style>
  <w:style w:type="character" w:customStyle="1" w:styleId="TitleChar">
    <w:name w:val="Title Char"/>
    <w:basedOn w:val="DefaultParagraphFont"/>
    <w:link w:val="Title"/>
    <w:uiPriority w:val="10"/>
    <w:rsid w:val="00E30824"/>
    <w:rPr>
      <w:rFonts w:asciiTheme="majorHAnsi" w:eastAsiaTheme="majorEastAsia" w:hAnsiTheme="majorHAnsi" w:cstheme="majorBidi"/>
      <w:color w:val="E60000" w:themeColor="accent1"/>
      <w:spacing w:val="5"/>
      <w:kern w:val="28"/>
      <w:sz w:val="84"/>
      <w:szCs w:val="52"/>
      <w14:cntxtAlts/>
    </w:rPr>
  </w:style>
  <w:style w:type="paragraph" w:styleId="Subtitle">
    <w:name w:val="Subtitle"/>
    <w:basedOn w:val="Normal"/>
    <w:next w:val="Normal"/>
    <w:link w:val="SubtitleChar"/>
    <w:uiPriority w:val="11"/>
    <w:qFormat/>
    <w:rsid w:val="001943CB"/>
    <w:pPr>
      <w:numPr>
        <w:ilvl w:val="1"/>
      </w:numPr>
    </w:pPr>
    <w:rPr>
      <w:rFonts w:asciiTheme="majorHAnsi" w:eastAsiaTheme="majorEastAsia" w:hAnsiTheme="majorHAnsi" w:cstheme="majorBidi"/>
      <w:b/>
      <w:iCs/>
      <w:color w:val="645C54" w:themeColor="text2"/>
      <w:spacing w:val="15"/>
      <w:sz w:val="28"/>
      <w:szCs w:val="24"/>
    </w:rPr>
  </w:style>
  <w:style w:type="character" w:customStyle="1" w:styleId="SubtitleChar">
    <w:name w:val="Subtitle Char"/>
    <w:basedOn w:val="DefaultParagraphFont"/>
    <w:link w:val="Subtitle"/>
    <w:uiPriority w:val="11"/>
    <w:rsid w:val="001943CB"/>
    <w:rPr>
      <w:rFonts w:asciiTheme="majorHAnsi" w:eastAsiaTheme="majorEastAsia" w:hAnsiTheme="majorHAnsi" w:cstheme="majorBidi"/>
      <w:b/>
      <w:iCs/>
      <w:color w:val="645C54" w:themeColor="text2"/>
      <w:spacing w:val="15"/>
      <w:kern w:val="22"/>
      <w:sz w:val="28"/>
      <w:szCs w:val="24"/>
      <w14:cntxtAlts/>
    </w:rPr>
  </w:style>
  <w:style w:type="paragraph" w:styleId="ListParagraph">
    <w:name w:val="List Paragraph"/>
    <w:basedOn w:val="Normal"/>
    <w:uiPriority w:val="34"/>
    <w:qFormat/>
    <w:rsid w:val="00B46E5B"/>
    <w:pPr>
      <w:ind w:left="720"/>
      <w:contextualSpacing/>
    </w:pPr>
  </w:style>
  <w:style w:type="character" w:customStyle="1" w:styleId="Heading3Char">
    <w:name w:val="Heading 3 Char"/>
    <w:basedOn w:val="DefaultParagraphFont"/>
    <w:link w:val="Heading3"/>
    <w:uiPriority w:val="9"/>
    <w:rsid w:val="00B46E5B"/>
    <w:rPr>
      <w:rFonts w:asciiTheme="majorHAnsi" w:eastAsiaTheme="majorEastAsia" w:hAnsiTheme="majorHAnsi" w:cstheme="majorBidi"/>
      <w:color w:val="720000" w:themeColor="accent1" w:themeShade="7F"/>
      <w:kern w:val="22"/>
      <w:sz w:val="24"/>
      <w:szCs w:val="24"/>
      <w14:cntxtAlts/>
    </w:rPr>
  </w:style>
  <w:style w:type="character" w:customStyle="1" w:styleId="Heading4Char">
    <w:name w:val="Heading 4 Char"/>
    <w:basedOn w:val="DefaultParagraphFont"/>
    <w:link w:val="Heading4"/>
    <w:uiPriority w:val="9"/>
    <w:rsid w:val="00B46E5B"/>
    <w:rPr>
      <w:rFonts w:asciiTheme="majorHAnsi" w:eastAsiaTheme="majorEastAsia" w:hAnsiTheme="majorHAnsi" w:cstheme="majorBidi"/>
      <w:i/>
      <w:iCs/>
      <w:color w:val="AC0000" w:themeColor="accent1" w:themeShade="BF"/>
      <w:kern w:val="22"/>
      <w:sz w:val="24"/>
      <w14:cntxtAlts/>
    </w:rPr>
  </w:style>
  <w:style w:type="paragraph" w:styleId="NoSpacing">
    <w:name w:val="No Spacing"/>
    <w:basedOn w:val="Normal"/>
    <w:uiPriority w:val="1"/>
    <w:qFormat/>
    <w:rsid w:val="00776B43"/>
    <w:pPr>
      <w:spacing w:after="0" w:line="240" w:lineRule="auto"/>
      <w:jc w:val="both"/>
    </w:pPr>
    <w:rPr>
      <w:rFonts w:ascii="Calibri" w:eastAsia="Calibri" w:hAnsi="Calibri" w:cs="Times New Roman"/>
      <w:kern w:val="0"/>
      <w:sz w:val="22"/>
      <w:lang w:eastAsia="en-GB"/>
      <w14:cntxtAlts w14:val="0"/>
    </w:rPr>
  </w:style>
  <w:style w:type="paragraph" w:styleId="Caption">
    <w:name w:val="caption"/>
    <w:basedOn w:val="Normal"/>
    <w:next w:val="Normal"/>
    <w:uiPriority w:val="35"/>
    <w:unhideWhenUsed/>
    <w:qFormat/>
    <w:rsid w:val="002C3DEA"/>
    <w:pPr>
      <w:spacing w:line="240" w:lineRule="auto"/>
    </w:pPr>
    <w:rPr>
      <w:i/>
      <w:iCs/>
      <w:color w:val="645C54"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Vodafone">
      <a:dk1>
        <a:srgbClr val="000000"/>
      </a:dk1>
      <a:lt1>
        <a:srgbClr val="FFFFFF"/>
      </a:lt1>
      <a:dk2>
        <a:srgbClr val="645C54"/>
      </a:dk2>
      <a:lt2>
        <a:srgbClr val="E6E4E2"/>
      </a:lt2>
      <a:accent1>
        <a:srgbClr val="E60000"/>
      </a:accent1>
      <a:accent2>
        <a:srgbClr val="5E2750"/>
      </a:accent2>
      <a:accent3>
        <a:srgbClr val="00B0CA"/>
      </a:accent3>
      <a:accent4>
        <a:srgbClr val="A8B400"/>
      </a:accent4>
      <a:accent5>
        <a:srgbClr val="FECB00"/>
      </a:accent5>
      <a:accent6>
        <a:srgbClr val="EB9700"/>
      </a:accent6>
      <a:hlink>
        <a:srgbClr val="007C92"/>
      </a:hlink>
      <a:folHlink>
        <a:srgbClr val="9C2AA0"/>
      </a:folHlink>
    </a:clrScheme>
    <a:fontScheme name="Vodafone">
      <a:majorFont>
        <a:latin typeface="Vodafone Lt"/>
        <a:ea typeface=""/>
        <a:cs typeface=""/>
      </a:majorFont>
      <a:minorFont>
        <a:latin typeface="Vodafone Rg"/>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788</Words>
  <Characters>4496</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2017-06-19T16:08:00Z</dcterms:created>
  <dcterms:modified xsi:type="dcterms:W3CDTF">2017-06-19T16:08:00Z</dcterms:modified>
</cp:coreProperties>
</file>