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WG3 Meeting #122</w:t>
      </w:r>
      <w:r>
        <w:rPr>
          <w:b/>
          <w:i/>
          <w:sz w:val="28"/>
        </w:rPr>
        <w:tab/>
      </w:r>
      <w:r>
        <w:rPr>
          <w:b/>
          <w:i/>
          <w:sz w:val="28"/>
          <w:highlight w:val="none"/>
          <w:lang w:eastAsia="zh-CN"/>
        </w:rPr>
        <w:t>R3-23</w:t>
      </w:r>
      <w:r>
        <w:rPr>
          <w:rFonts w:hint="eastAsia"/>
          <w:b/>
          <w:i/>
          <w:sz w:val="28"/>
          <w:highlight w:val="none"/>
          <w:lang w:val="en-US" w:eastAsia="zh-CN"/>
        </w:rPr>
        <w:t>7759</w:t>
      </w:r>
    </w:p>
    <w:p>
      <w:pPr>
        <w:pStyle w:val="81"/>
        <w:tabs>
          <w:tab w:val="right" w:pos="9639"/>
        </w:tabs>
        <w:outlineLvl w:val="0"/>
        <w:rPr>
          <w:b/>
          <w:sz w:val="24"/>
        </w:rPr>
      </w:pPr>
      <w:r>
        <w:rPr>
          <w:b/>
          <w:sz w:val="24"/>
        </w:rPr>
        <w:t>Chicago, US</w:t>
      </w:r>
      <w:r>
        <w:rPr>
          <w:rFonts w:hint="eastAsia"/>
          <w:b/>
          <w:sz w:val="24"/>
          <w:lang w:val="en-US" w:eastAsia="zh-CN"/>
        </w:rPr>
        <w:t>A</w:t>
      </w:r>
      <w:r>
        <w:rPr>
          <w:b/>
          <w:sz w:val="24"/>
        </w:rPr>
        <w:t>, 13</w:t>
      </w:r>
      <w:r>
        <w:rPr>
          <w:rFonts w:hint="eastAsia"/>
          <w:b/>
          <w:sz w:val="24"/>
          <w:vertAlign w:val="superscript"/>
          <w:lang w:val="en-US" w:eastAsia="zh-CN"/>
        </w:rPr>
        <w:t>th</w:t>
      </w:r>
      <w:r>
        <w:rPr>
          <w:b/>
          <w:sz w:val="24"/>
        </w:rPr>
        <w:t xml:space="preserve"> – 17</w:t>
      </w:r>
      <w:r>
        <w:rPr>
          <w:rFonts w:hint="eastAsia"/>
          <w:b/>
          <w:sz w:val="24"/>
          <w:vertAlign w:val="superscript"/>
          <w:lang w:val="en-US" w:eastAsia="zh-CN"/>
        </w:rPr>
        <w:t>th</w:t>
      </w:r>
      <w:r>
        <w:rPr>
          <w:b/>
          <w:sz w:val="24"/>
        </w:rPr>
        <w:t xml:space="preserve"> November, 2023</w:t>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tabs>
                <w:tab w:val="right" w:pos="1825"/>
              </w:tabs>
              <w:spacing w:after="0"/>
              <w:jc w:val="center"/>
              <w:rPr>
                <w:b/>
                <w:sz w:val="28"/>
                <w:szCs w:val="28"/>
              </w:rPr>
            </w:pPr>
            <w:r>
              <w:rPr>
                <w:b/>
                <w:sz w:val="28"/>
                <w:szCs w:val="28"/>
              </w:rPr>
              <w:t>38.300</w:t>
            </w:r>
          </w:p>
        </w:tc>
        <w:tc>
          <w:tcPr>
            <w:tcW w:w="709" w:type="dxa"/>
          </w:tcPr>
          <w:p>
            <w:pPr>
              <w:pStyle w:val="81"/>
              <w:tabs>
                <w:tab w:val="right" w:pos="1825"/>
              </w:tabs>
              <w:spacing w:after="0"/>
              <w:jc w:val="center"/>
              <w:rPr>
                <w:b/>
                <w:sz w:val="28"/>
                <w:szCs w:val="28"/>
              </w:rPr>
            </w:pPr>
            <w:r>
              <w:rPr>
                <w:b/>
                <w:sz w:val="28"/>
                <w:szCs w:val="28"/>
              </w:rPr>
              <w:t>CR</w:t>
            </w:r>
          </w:p>
        </w:tc>
        <w:tc>
          <w:tcPr>
            <w:tcW w:w="1276" w:type="dxa"/>
            <w:shd w:val="pct30" w:color="FFFF00" w:fill="auto"/>
          </w:tcPr>
          <w:p>
            <w:pPr>
              <w:pStyle w:val="81"/>
              <w:tabs>
                <w:tab w:val="right" w:pos="1825"/>
              </w:tabs>
              <w:spacing w:after="0"/>
              <w:jc w:val="center"/>
              <w:rPr>
                <w:lang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tabs>
                <w:tab w:val="right" w:pos="1825"/>
              </w:tabs>
              <w:spacing w:after="0"/>
              <w:jc w:val="center"/>
              <w:rPr>
                <w:b/>
                <w:lang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tabs>
                <w:tab w:val="right" w:pos="1825"/>
              </w:tabs>
              <w:spacing w:after="0"/>
              <w:jc w:val="center"/>
            </w:pPr>
            <w:r>
              <w:rPr>
                <w:b/>
                <w:sz w:val="28"/>
                <w:szCs w:val="28"/>
              </w:rPr>
              <w:t>17.6.0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(BLCR to 38.300) On introduction of R18 eNPN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Telecom, Huawei, ZTE, CATT, Nokia, Nokia Shanghai Bell, LG Electronics, Samsung, NEC,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eNPN_Ph2-NGRAN-Core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rPr>
                <w:highlight w:val="none"/>
              </w:rPr>
              <w:t>2023.11.1</w:t>
            </w:r>
            <w:r>
              <w:rPr>
                <w:rFonts w:hint="eastAsia"/>
                <w:highlight w:val="none"/>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rPr>
            </w:pPr>
            <w:r>
              <w:rPr>
                <w:b/>
                <w:bCs/>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The new WID on Further Enhancement of Private Network Support for NG-RAN was approved in RP-231185. </w:t>
            </w:r>
          </w:p>
          <w:p>
            <w:pPr>
              <w:pStyle w:val="81"/>
              <w:spacing w:after="0"/>
              <w:ind w:left="100"/>
              <w:rPr>
                <w:lang w:eastAsia="zh-CN"/>
              </w:rPr>
            </w:pPr>
            <w:r>
              <w:rPr>
                <w:lang w:eastAsia="zh-CN"/>
              </w:rPr>
              <w:t>This draft CR is to add the support of equivalent SNPNs.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u w:val="single"/>
                <w:lang w:eastAsia="zh-CN"/>
              </w:rPr>
              <w:t>Section 9.4</w:t>
            </w:r>
            <w:r>
              <w:rPr>
                <w:lang w:eastAsia="zh-CN"/>
              </w:rPr>
              <w:t>: Modify specification descriptions in the Roaming and Access Restrictions to support equivalent SNPNs, including the change of serving SNPN when UE experience an Xn handover from serving SNPN to an equivalent SNPN.</w:t>
            </w:r>
          </w:p>
          <w:p>
            <w:pPr>
              <w:pStyle w:val="81"/>
              <w:spacing w:after="0"/>
              <w:ind w:left="100"/>
              <w:rPr>
                <w:lang w:eastAsia="zh-CN"/>
              </w:rPr>
            </w:pPr>
            <w:r>
              <w:rPr>
                <w:u w:val="single"/>
                <w:lang w:eastAsia="zh-CN"/>
              </w:rPr>
              <w:t>Section 16.6.1</w:t>
            </w:r>
            <w:r>
              <w:rPr>
                <w:lang w:eastAsia="zh-CN"/>
              </w:rPr>
              <w:t>: Clarify that NR-NR Dual Connectivity within the equivalent SNPNs can be supported.</w:t>
            </w:r>
          </w:p>
          <w:p>
            <w:pPr>
              <w:pStyle w:val="81"/>
              <w:spacing w:after="0"/>
              <w:ind w:left="100"/>
              <w:rPr>
                <w:lang w:eastAsia="zh-CN"/>
              </w:rPr>
            </w:pPr>
            <w:r>
              <w:rPr>
                <w:u w:val="single"/>
                <w:lang w:eastAsia="zh-CN"/>
              </w:rPr>
              <w:t>Section 16.6.2</w:t>
            </w:r>
            <w:r>
              <w:rPr>
                <w:lang w:eastAsia="zh-CN"/>
              </w:rPr>
              <w:t>: Clarify that cell (re)selection and mobility among equivalent SNPNs can be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The enhanced NPN phase 2 is not supported</w:t>
            </w:r>
            <w:r>
              <w:t>.</w:t>
            </w:r>
          </w:p>
          <w:p>
            <w:pPr>
              <w:pStyle w:val="81"/>
              <w:spacing w:after="0"/>
              <w:ind w:left="100"/>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9.4, 16.6.1, 16.6.2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38.413 CR </w:t>
            </w:r>
            <w:r>
              <w:rPr>
                <w:color w:val="000000"/>
              </w:rPr>
              <w:t>0985</w:t>
            </w:r>
          </w:p>
          <w:p>
            <w:pPr>
              <w:pStyle w:val="81"/>
              <w:spacing w:after="0"/>
              <w:ind w:left="99"/>
            </w:pPr>
            <w:r>
              <w:t xml:space="preserve">TS 38.423 CR </w:t>
            </w:r>
            <w:r>
              <w:rPr>
                <w:color w:val="000000"/>
              </w:rPr>
              <w:t>0978</w:t>
            </w:r>
          </w:p>
          <w:p>
            <w:pPr>
              <w:pStyle w:val="81"/>
              <w:spacing w:after="0"/>
              <w:ind w:left="99"/>
            </w:pPr>
            <w:r>
              <w:t xml:space="preserve">TS 29.413 CR </w:t>
            </w:r>
            <w:r>
              <w:rPr>
                <w:color w:val="000000"/>
              </w:rPr>
              <w:t>0017</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Rev 0: </w:t>
            </w:r>
            <w:r>
              <w:t xml:space="preserve">R3-231506, </w:t>
            </w:r>
            <w:r>
              <w:rPr>
                <w:lang w:eastAsia="zh-CN"/>
              </w:rPr>
              <w:t>s</w:t>
            </w:r>
            <w:r>
              <w:t>ubmission to RAN3#119bis-e</w:t>
            </w:r>
            <w:r>
              <w:rPr>
                <w:lang w:eastAsia="zh-CN"/>
              </w:rPr>
              <w:t>.</w:t>
            </w:r>
          </w:p>
          <w:p>
            <w:pPr>
              <w:pStyle w:val="81"/>
              <w:spacing w:after="0"/>
              <w:ind w:left="100"/>
              <w:rPr>
                <w:lang w:eastAsia="zh-CN"/>
              </w:rPr>
            </w:pPr>
            <w:r>
              <w:rPr>
                <w:lang w:eastAsia="zh-CN"/>
              </w:rPr>
              <w:t xml:space="preserve">Rev 1: R3-231978, </w:t>
            </w:r>
            <w:r>
              <w:t>update according to discussions at RAN3#119bis-e.</w:t>
            </w:r>
          </w:p>
          <w:p>
            <w:pPr>
              <w:pStyle w:val="81"/>
              <w:spacing w:after="0"/>
              <w:ind w:left="100"/>
              <w:rPr>
                <w:lang w:eastAsia="zh-CN"/>
              </w:rPr>
            </w:pPr>
            <w:r>
              <w:rPr>
                <w:lang w:eastAsia="zh-CN"/>
              </w:rPr>
              <w:t>Rev 2: R3-232513, resubmission to RAN3#120.</w:t>
            </w:r>
          </w:p>
          <w:p>
            <w:pPr>
              <w:pStyle w:val="81"/>
              <w:spacing w:after="0"/>
              <w:ind w:left="100"/>
            </w:pPr>
            <w:r>
              <w:rPr>
                <w:rFonts w:hint="eastAsia"/>
                <w:lang w:eastAsia="zh-CN"/>
              </w:rPr>
              <w:t>Re</w:t>
            </w:r>
            <w:r>
              <w:rPr>
                <w:lang w:eastAsia="zh-CN"/>
              </w:rPr>
              <w:t xml:space="preserve">v 3: R3-233530, update </w:t>
            </w:r>
            <w:r>
              <w:t>according to the agreed TP R3- R3-233400.</w:t>
            </w:r>
          </w:p>
          <w:p>
            <w:pPr>
              <w:pStyle w:val="81"/>
              <w:spacing w:after="0"/>
              <w:ind w:left="100"/>
              <w:rPr>
                <w:lang w:eastAsia="zh-CN"/>
              </w:rPr>
            </w:pPr>
            <w:r>
              <w:rPr>
                <w:rFonts w:hint="eastAsia"/>
                <w:lang w:eastAsia="zh-CN"/>
              </w:rPr>
              <w:t>R</w:t>
            </w:r>
            <w:r>
              <w:rPr>
                <w:lang w:eastAsia="zh-CN"/>
              </w:rPr>
              <w:t>ev 4: R3-233779, resubmission to RAN3#121.</w:t>
            </w:r>
          </w:p>
          <w:p>
            <w:pPr>
              <w:pStyle w:val="81"/>
              <w:spacing w:after="0"/>
              <w:ind w:left="100"/>
              <w:rPr>
                <w:lang w:eastAsia="zh-CN"/>
              </w:rPr>
            </w:pPr>
            <w:r>
              <w:rPr>
                <w:lang w:eastAsia="zh-CN"/>
              </w:rPr>
              <w:t>R</w:t>
            </w:r>
            <w:r>
              <w:rPr>
                <w:rFonts w:hint="eastAsia"/>
                <w:lang w:eastAsia="zh-CN"/>
              </w:rPr>
              <w:t>e</w:t>
            </w:r>
            <w:r>
              <w:rPr>
                <w:lang w:eastAsia="zh-CN"/>
              </w:rPr>
              <w:t>v 5: R3-237100, resubmission to RAN3#122.</w:t>
            </w:r>
          </w:p>
          <w:p>
            <w:pPr>
              <w:pStyle w:val="81"/>
              <w:spacing w:after="0"/>
              <w:ind w:left="1900" w:leftChars="50" w:hanging="1800" w:hangingChars="900"/>
              <w:rPr>
                <w:lang w:eastAsia="zh-CN"/>
              </w:rPr>
            </w:pPr>
            <w:r>
              <w:rPr>
                <w:rFonts w:hint="eastAsia"/>
                <w:lang w:eastAsia="zh-CN"/>
              </w:rPr>
              <w:t>R</w:t>
            </w:r>
            <w:r>
              <w:rPr>
                <w:lang w:eastAsia="zh-CN"/>
              </w:rPr>
              <w:t>ev 6:</w:t>
            </w:r>
            <w:r>
              <w:rPr>
                <w:highlight w:val="none"/>
                <w:lang w:eastAsia="zh-CN"/>
              </w:rPr>
              <w:t xml:space="preserve"> R3-23</w:t>
            </w:r>
            <w:r>
              <w:rPr>
                <w:rFonts w:hint="eastAsia"/>
                <w:highlight w:val="none"/>
                <w:lang w:val="en-US" w:eastAsia="zh-CN"/>
              </w:rPr>
              <w:t>7759</w:t>
            </w:r>
            <w:r>
              <w:rPr>
                <w:lang w:eastAsia="zh-CN"/>
              </w:rPr>
              <w:t>, correct the meeting informat</w:t>
            </w:r>
            <w:r>
              <w:rPr>
                <w:rFonts w:hint="eastAsia"/>
                <w:lang w:val="en-US" w:eastAsia="zh-CN"/>
              </w:rPr>
              <w:t>i</w:t>
            </w:r>
            <w:bookmarkStart w:id="35" w:name="_GoBack"/>
            <w:bookmarkEnd w:id="35"/>
            <w:r>
              <w:rPr>
                <w:lang w:eastAsia="zh-CN"/>
              </w:rPr>
              <w:t>on on the cover page</w:t>
            </w:r>
            <w:r>
              <w:rPr>
                <w:rFonts w:hint="eastAsia"/>
                <w:lang w:val="en-US" w:eastAsia="zh-CN"/>
              </w:rPr>
              <w:t xml:space="preserve"> of R3-237100</w:t>
            </w:r>
            <w:r>
              <w:rPr>
                <w:lang w:eastAsia="zh-CN"/>
              </w:rPr>
              <w:t>.</w:t>
            </w: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bookmarkStart w:id="1" w:name="_Toc60777428"/>
      <w:bookmarkStart w:id="2" w:name="_Toc83740384"/>
      <w:r>
        <w:rPr>
          <w:i/>
        </w:rPr>
        <w:t>START OF CHANGE</w:t>
      </w:r>
      <w:bookmarkEnd w:id="1"/>
      <w:bookmarkEnd w:id="2"/>
    </w:p>
    <w:p>
      <w:pPr>
        <w:pStyle w:val="3"/>
      </w:pPr>
      <w:bookmarkStart w:id="3" w:name="_Toc51971389"/>
      <w:bookmarkStart w:id="4" w:name="_Toc52551372"/>
      <w:bookmarkStart w:id="5" w:name="_Toc130938867"/>
      <w:bookmarkStart w:id="6" w:name="_Toc46502041"/>
      <w:bookmarkStart w:id="7" w:name="_Toc37231984"/>
      <w:r>
        <w:t>9.4</w:t>
      </w:r>
      <w:r>
        <w:tab/>
      </w:r>
      <w:r>
        <w:t>Roaming and Access Restrictions</w:t>
      </w:r>
      <w:bookmarkEnd w:id="3"/>
      <w:bookmarkEnd w:id="4"/>
      <w:bookmarkEnd w:id="5"/>
      <w:bookmarkEnd w:id="6"/>
      <w:bookmarkEnd w:id="7"/>
    </w:p>
    <w:p>
      <w:r>
        <w:t>The roaming and access restriction information for a UE includes information on restrictions to be applied for subsequent mobility action during CM-CONNECTED state. It may be provided by the AMF and also may be updated by the AMF later.</w:t>
      </w:r>
    </w:p>
    <w:p>
      <w:r>
        <w:t>It includes the forbidden RAT, the forbidden area and the service area restrictions as specified in TS 23.501 [3]. It also includes serving PLMN/SNPN and may include a list of equivalent PLMNs</w:t>
      </w:r>
      <w:ins w:id="0" w:author="作者">
        <w:r>
          <w:rPr/>
          <w:t xml:space="preserve"> or a list of equivalent SNPNs</w:t>
        </w:r>
      </w:ins>
      <w:r>
        <w:t>. It may also include PNI-NPN mobility restrictions (i.e. list of CAGs allowed for the UE and whether the UE can also access non-CAG cells). The gNB shall consider that roaming or access to CAG cells is only allowed if PNI-NPN mobility information is available for the UE.</w:t>
      </w:r>
    </w:p>
    <w:p>
      <w:r>
        <w:t>Upon receiving the roaming and access restriction information for a UE, if applicable, the gNB should use it to determine whether to apply restriction handling for subsequent mobility action, e.g., handover, redirection.</w:t>
      </w:r>
    </w:p>
    <w:p>
      <w:r>
        <w:t>If the roaming and access restriction information is not available for a UE at the gNB, the gNB shall consider that there is no restriction for subsequent mobility actions except for the PNI-NPN mobility as described in TS 23.501 [3].</w:t>
      </w:r>
    </w:p>
    <w:p>
      <w:pPr>
        <w:rPr>
          <w:rFonts w:eastAsia="宋体"/>
          <w:kern w:val="2"/>
          <w:lang w:eastAsia="zh-CN" w:bidi="ta-IN"/>
        </w:rPr>
      </w:pPr>
      <w:r>
        <w:t xml:space="preserve">Only if received over NG or Xn signalling, the roaming and access restriction information shall be propagated over Xn by the source gNB during Xn handover. </w:t>
      </w:r>
      <w:r>
        <w:rPr>
          <w:rFonts w:eastAsia="宋体"/>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ins w:id="1" w:author="作者">
        <w:r>
          <w:rPr/>
          <w:t xml:space="preserve"> </w:t>
        </w:r>
      </w:ins>
      <w:ins w:id="2" w:author="作者">
        <w:r>
          <w:rPr>
            <w:rFonts w:eastAsia="宋体"/>
            <w:kern w:val="2"/>
            <w:lang w:eastAsia="zh-CN" w:bidi="ta-IN"/>
          </w:rPr>
          <w:t>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ins>
    </w:p>
    <w:p>
      <w:pPr>
        <w:rPr>
          <w:kern w:val="2"/>
        </w:rPr>
      </w:pPr>
      <w:r>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3" w:author="作者">
        <w:r>
          <w:rPr>
            <w:kern w:val="2"/>
          </w:rPr>
          <w:t>/SNPN</w:t>
        </w:r>
      </w:ins>
      <w:r>
        <w:rPr>
          <w:kern w:val="2"/>
        </w:rPr>
        <w:t xml:space="preserve"> and the Equivalent PLMNs</w:t>
      </w:r>
      <w:ins w:id="4" w:author="作者">
        <w:r>
          <w:rPr>
            <w:kern w:val="2"/>
          </w:rPr>
          <w:t>/SNPNs</w:t>
        </w:r>
      </w:ins>
      <w:r>
        <w:rPr>
          <w:kern w:val="2"/>
        </w:rPr>
        <w:t>, which the NG-RAN node shall use from the XnAP Mobility Restriction List. The 5GC Mobility Restriction List Container may be propagated at future Xn handover and UE context retrieval.</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CHANGE</w:t>
      </w:r>
    </w:p>
    <w:p>
      <w:pPr>
        <w:pStyle w:val="3"/>
      </w:pPr>
      <w:bookmarkStart w:id="8" w:name="_Toc46502135"/>
      <w:bookmarkStart w:id="9" w:name="_Toc37232058"/>
      <w:bookmarkStart w:id="10" w:name="_Toc52551466"/>
      <w:bookmarkStart w:id="11" w:name="_Toc51971483"/>
      <w:bookmarkStart w:id="12" w:name="_Toc130938978"/>
      <w:r>
        <w:t>16.6</w:t>
      </w:r>
      <w:r>
        <w:tab/>
      </w:r>
      <w:r>
        <w:t>Stand-Alone NPN</w:t>
      </w:r>
      <w:bookmarkEnd w:id="8"/>
      <w:bookmarkEnd w:id="9"/>
      <w:bookmarkEnd w:id="10"/>
      <w:bookmarkEnd w:id="11"/>
      <w:bookmarkEnd w:id="12"/>
    </w:p>
    <w:p>
      <w:pPr>
        <w:pStyle w:val="4"/>
      </w:pPr>
      <w:bookmarkStart w:id="13" w:name="_Toc37232059"/>
      <w:bookmarkStart w:id="14" w:name="_Toc46502136"/>
      <w:bookmarkStart w:id="15" w:name="_Toc130938979"/>
      <w:bookmarkStart w:id="16" w:name="_Toc52551467"/>
      <w:bookmarkStart w:id="17" w:name="_Toc51971484"/>
      <w:r>
        <w:t>16.6.1</w:t>
      </w:r>
      <w:r>
        <w:tab/>
      </w:r>
      <w:r>
        <w:t>General</w:t>
      </w:r>
      <w:bookmarkEnd w:id="13"/>
      <w:bookmarkEnd w:id="14"/>
      <w:bookmarkEnd w:id="15"/>
      <w:bookmarkEnd w:id="16"/>
      <w:bookmarkEnd w:id="17"/>
    </w:p>
    <w:p>
      <w:r>
        <w:t>An SNPN is a network deployed for non-public use which does not rely on network functions provided by a PLMN (see clause 4.8). An SNPN is identified by a PLMN ID and NID (see clause 8.2) broadcast in SIB1.</w:t>
      </w:r>
    </w:p>
    <w:p>
      <w:r>
        <w:t>An SNPN-capable UE supports the SNPN access mode. When the UE is set to operate in SNPN access mode, the UE only selects and registers with SNPNs. When the UE is not set to operate in SNPN access mode, the UE performs normal PLMN selection procedures.</w:t>
      </w:r>
    </w:p>
    <w:p>
      <w:r>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eCall over IMS, a UE is informed whether an SNPN of the cell supports emergency services over NG-RAN from a per SNPN broadcast indication </w:t>
      </w:r>
      <w:r>
        <w:rPr>
          <w:lang w:eastAsia="zh-CN"/>
        </w:rPr>
        <w:t>(</w:t>
      </w:r>
      <w:r>
        <w:rPr>
          <w:i/>
          <w:iCs/>
        </w:rPr>
        <w:t>imsEmergencySupportForSNPN</w:t>
      </w:r>
      <w:r>
        <w:rPr>
          <w:lang w:eastAsia="zh-CN"/>
        </w:rPr>
        <w:t>)</w:t>
      </w:r>
      <w:r>
        <w:t>. The broadcast indicator for an SNPN may be set to "support" if any AMF of the SNPN supports IMS emergency bearer services.</w:t>
      </w:r>
    </w:p>
    <w:p>
      <w:pPr>
        <w:keepNext/>
        <w:keepLines/>
        <w:spacing w:before="120"/>
        <w:ind w:left="1134" w:hanging="1134"/>
        <w:outlineLvl w:val="2"/>
        <w:rPr>
          <w:ins w:id="5" w:author="作者" w:date=""/>
        </w:rPr>
      </w:pPr>
      <w:r>
        <w:t>NR-NR Dual Connectivity within a single SNPN</w:t>
      </w:r>
      <w:ins w:id="6" w:author="作者">
        <w:r>
          <w:rPr/>
          <w:t xml:space="preserve"> or across SNPNs as indicated in the mobility restriction list </w:t>
        </w:r>
      </w:ins>
      <w:r>
        <w:t>is supported.</w:t>
      </w:r>
      <w:ins w:id="7" w:author="作者">
        <w:r>
          <w:rPr/>
          <w:t xml:space="preserve"> </w:t>
        </w:r>
      </w:ins>
    </w:p>
    <w:p>
      <w:pPr>
        <w:pStyle w:val="4"/>
      </w:pPr>
      <w:bookmarkStart w:id="18" w:name="_Toc51971485"/>
      <w:bookmarkStart w:id="19" w:name="_Toc52551468"/>
      <w:bookmarkStart w:id="20" w:name="_Toc130938980"/>
      <w:bookmarkStart w:id="21" w:name="_Toc37232060"/>
      <w:bookmarkStart w:id="22" w:name="_Toc46502137"/>
      <w:r>
        <w:t>16.6.2</w:t>
      </w:r>
      <w:r>
        <w:tab/>
      </w:r>
      <w:r>
        <w:t>Mobility</w:t>
      </w:r>
      <w:bookmarkEnd w:id="18"/>
      <w:bookmarkEnd w:id="19"/>
      <w:bookmarkEnd w:id="20"/>
      <w:bookmarkEnd w:id="21"/>
      <w:bookmarkEnd w:id="22"/>
    </w:p>
    <w:p>
      <w:pPr>
        <w:pStyle w:val="5"/>
      </w:pPr>
      <w:bookmarkStart w:id="23" w:name="_Toc46502138"/>
      <w:bookmarkStart w:id="24" w:name="_Toc51971486"/>
      <w:bookmarkStart w:id="25" w:name="_Toc130938981"/>
      <w:bookmarkStart w:id="26" w:name="_Toc52551469"/>
      <w:r>
        <w:t>16.6.2.1</w:t>
      </w:r>
      <w:r>
        <w:tab/>
      </w:r>
      <w:r>
        <w:t>General</w:t>
      </w:r>
      <w:bookmarkEnd w:id="23"/>
      <w:bookmarkEnd w:id="24"/>
      <w:bookmarkEnd w:id="25"/>
      <w:bookmarkEnd w:id="26"/>
    </w:p>
    <w:p>
      <w:r>
        <w:t>The same principles as described in 9.2 apply to SNPN except for what is described below.</w:t>
      </w:r>
    </w:p>
    <w:p>
      <w:r>
        <w:t xml:space="preserve">UEs operating in SNPN access mode only (re)select cells within the selected/registered SNPN </w:t>
      </w:r>
      <w:ins w:id="8" w:author="作者">
        <w:r>
          <w:rPr/>
          <w:t xml:space="preserve">or within equivalent SNPNs </w:t>
        </w:r>
      </w:ins>
      <w:r>
        <w:t>and a cell can only be considered as suitable if the PLMN and NID broadcast by the cell matches the selected/registered SNPN</w:t>
      </w:r>
      <w:ins w:id="9" w:author="作者">
        <w:r>
          <w:rPr/>
          <w:t xml:space="preserve"> or an equivalent SNPN</w:t>
        </w:r>
      </w:ins>
      <w:r>
        <w:t>.</w:t>
      </w:r>
    </w:p>
    <w:p>
      <w:r>
        <w:t>In addition, manual selection of SNPN(s) is supported, for which HRNN(s) can be optionally provided.</w:t>
      </w:r>
    </w:p>
    <w:p>
      <w:r>
        <w:t>The roaming and access restrictions applicable to SNPN are described in clause 9.4.</w:t>
      </w:r>
    </w:p>
    <w:p>
      <w:pPr>
        <w:pStyle w:val="5"/>
      </w:pPr>
      <w:bookmarkStart w:id="27" w:name="_Toc46502139"/>
      <w:bookmarkStart w:id="28" w:name="_Toc52551470"/>
      <w:bookmarkStart w:id="29" w:name="_Toc51971487"/>
      <w:bookmarkStart w:id="30" w:name="_Toc130938982"/>
      <w:r>
        <w:t>16.6.2.2</w:t>
      </w:r>
      <w:r>
        <w:tab/>
      </w:r>
      <w:r>
        <w:t>Inactive Mode</w:t>
      </w:r>
      <w:bookmarkEnd w:id="27"/>
      <w:bookmarkEnd w:id="28"/>
      <w:bookmarkEnd w:id="29"/>
      <w:bookmarkEnd w:id="30"/>
    </w:p>
    <w:p>
      <w:r>
        <w:t>The mobility of a UE in inactive mode builds on existing functionality described in clause 9.2.2 and is limited to the SNPN</w:t>
      </w:r>
      <w:ins w:id="10" w:author="作者">
        <w:r>
          <w:rPr/>
          <w:t>(s)</w:t>
        </w:r>
      </w:ins>
      <w:r>
        <w:t xml:space="preserve"> identified within the mobility restrictions received in the UE context.</w:t>
      </w:r>
    </w:p>
    <w:p>
      <w:pPr>
        <w:pStyle w:val="5"/>
      </w:pPr>
      <w:bookmarkStart w:id="31" w:name="_Toc52551471"/>
      <w:bookmarkStart w:id="32" w:name="_Toc130938983"/>
      <w:bookmarkStart w:id="33" w:name="_Toc46502140"/>
      <w:bookmarkStart w:id="34" w:name="_Toc51971488"/>
      <w:r>
        <w:t>16.6.2.3</w:t>
      </w:r>
      <w:r>
        <w:tab/>
      </w:r>
      <w:r>
        <w:t>Connected Mode</w:t>
      </w:r>
      <w:bookmarkEnd w:id="31"/>
      <w:bookmarkEnd w:id="32"/>
      <w:bookmarkEnd w:id="33"/>
      <w:bookmarkEnd w:id="34"/>
    </w:p>
    <w:p>
      <w:r>
        <w:t>The NG-RAN node is aware of the SNPN ID(s) supported by neighbour cells.</w:t>
      </w:r>
    </w:p>
    <w:p>
      <w:r>
        <w:t xml:space="preserve">At the time of handover, cells that do not support the serving SNPN ID </w:t>
      </w:r>
      <w:ins w:id="11" w:author="作者">
        <w:r>
          <w:rPr/>
          <w:t xml:space="preserve">or the SNPN ID of an equivalent SNPN </w:t>
        </w:r>
      </w:ins>
      <w:ins w:id="12" w:author="作者">
        <w:r>
          <w:rPr>
            <w:rFonts w:hint="eastAsia"/>
            <w:lang w:eastAsia="zh-CN"/>
          </w:rPr>
          <w:t>within</w:t>
        </w:r>
      </w:ins>
      <w:ins w:id="13" w:author="作者">
        <w:r>
          <w:rPr/>
          <w:t xml:space="preserve"> the mobility restrictions received in the UE context </w:t>
        </w:r>
      </w:ins>
      <w:r>
        <w:t>are not considered as candidate target cells by the source NG-RAN node.</w:t>
      </w:r>
    </w:p>
    <w:p>
      <w:r>
        <w:t>The target NG-RAN node performs access control. In case it cannot accept the handover for the serving SNPN the target NG-RAN node fails the handover including an appropriate cause value.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END OF CHANGE</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微软雅黑"/>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1NjdhZjBkNmJhNmI0ODY4ODMyN2MzMWU2ZDY3ZWMifQ=="/>
  </w:docVars>
  <w:rsids>
    <w:rsidRoot w:val="00022E4A"/>
    <w:rsid w:val="00022E4A"/>
    <w:rsid w:val="00030606"/>
    <w:rsid w:val="000844FD"/>
    <w:rsid w:val="000A2E3F"/>
    <w:rsid w:val="000A6394"/>
    <w:rsid w:val="000B7FED"/>
    <w:rsid w:val="000C038A"/>
    <w:rsid w:val="000C6598"/>
    <w:rsid w:val="000D44B3"/>
    <w:rsid w:val="00100D2F"/>
    <w:rsid w:val="00106777"/>
    <w:rsid w:val="001353A6"/>
    <w:rsid w:val="00141BDB"/>
    <w:rsid w:val="00142A1F"/>
    <w:rsid w:val="00145D43"/>
    <w:rsid w:val="001747CD"/>
    <w:rsid w:val="00180983"/>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627F6"/>
    <w:rsid w:val="00374DD4"/>
    <w:rsid w:val="00396052"/>
    <w:rsid w:val="00396BDA"/>
    <w:rsid w:val="003E1A36"/>
    <w:rsid w:val="00410371"/>
    <w:rsid w:val="004230A1"/>
    <w:rsid w:val="004242F1"/>
    <w:rsid w:val="00433255"/>
    <w:rsid w:val="00437D2F"/>
    <w:rsid w:val="00481541"/>
    <w:rsid w:val="004828ED"/>
    <w:rsid w:val="00483770"/>
    <w:rsid w:val="00495249"/>
    <w:rsid w:val="004B75B7"/>
    <w:rsid w:val="004C017F"/>
    <w:rsid w:val="004C2AAA"/>
    <w:rsid w:val="004D4A6A"/>
    <w:rsid w:val="004D5F11"/>
    <w:rsid w:val="004F6FCF"/>
    <w:rsid w:val="0051580D"/>
    <w:rsid w:val="00524CF5"/>
    <w:rsid w:val="00543989"/>
    <w:rsid w:val="00547111"/>
    <w:rsid w:val="00592D74"/>
    <w:rsid w:val="005A4CAC"/>
    <w:rsid w:val="005E2C44"/>
    <w:rsid w:val="005E6D61"/>
    <w:rsid w:val="005F7456"/>
    <w:rsid w:val="00606E4E"/>
    <w:rsid w:val="0061370C"/>
    <w:rsid w:val="00621188"/>
    <w:rsid w:val="006257ED"/>
    <w:rsid w:val="00645D6A"/>
    <w:rsid w:val="00665C47"/>
    <w:rsid w:val="0067298B"/>
    <w:rsid w:val="0068535D"/>
    <w:rsid w:val="006939D9"/>
    <w:rsid w:val="00695808"/>
    <w:rsid w:val="006A0734"/>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E70"/>
    <w:rsid w:val="00A50CF0"/>
    <w:rsid w:val="00A66C7D"/>
    <w:rsid w:val="00A7671C"/>
    <w:rsid w:val="00AA2CBC"/>
    <w:rsid w:val="00AB29FA"/>
    <w:rsid w:val="00AC5820"/>
    <w:rsid w:val="00AD1CD8"/>
    <w:rsid w:val="00AE17EA"/>
    <w:rsid w:val="00AF5833"/>
    <w:rsid w:val="00B11443"/>
    <w:rsid w:val="00B11CFF"/>
    <w:rsid w:val="00B12818"/>
    <w:rsid w:val="00B258BB"/>
    <w:rsid w:val="00B4223A"/>
    <w:rsid w:val="00B67B97"/>
    <w:rsid w:val="00B863CE"/>
    <w:rsid w:val="00B968C8"/>
    <w:rsid w:val="00BA155E"/>
    <w:rsid w:val="00BA2F45"/>
    <w:rsid w:val="00BA3EC5"/>
    <w:rsid w:val="00BA51D9"/>
    <w:rsid w:val="00BB5DFC"/>
    <w:rsid w:val="00BB7410"/>
    <w:rsid w:val="00BC2BEF"/>
    <w:rsid w:val="00BD279D"/>
    <w:rsid w:val="00BD6BB8"/>
    <w:rsid w:val="00BF291A"/>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8669C"/>
    <w:rsid w:val="00D93C03"/>
    <w:rsid w:val="00D9755C"/>
    <w:rsid w:val="00DE34CF"/>
    <w:rsid w:val="00E13F3D"/>
    <w:rsid w:val="00E34898"/>
    <w:rsid w:val="00E94B7C"/>
    <w:rsid w:val="00E954B0"/>
    <w:rsid w:val="00EB09B7"/>
    <w:rsid w:val="00EE0077"/>
    <w:rsid w:val="00EE7D7C"/>
    <w:rsid w:val="00EF0F6B"/>
    <w:rsid w:val="00F25500"/>
    <w:rsid w:val="00F25D98"/>
    <w:rsid w:val="00F300FB"/>
    <w:rsid w:val="00F37AF3"/>
    <w:rsid w:val="00F72853"/>
    <w:rsid w:val="00F945E8"/>
    <w:rsid w:val="00FB6386"/>
    <w:rsid w:val="00FF7949"/>
    <w:rsid w:val="447F5EC2"/>
    <w:rsid w:val="619E6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Normal</Template>
  <Pages>4</Pages>
  <Words>1238</Words>
  <Characters>7060</Characters>
  <Lines>58</Lines>
  <Paragraphs>16</Paragraphs>
  <TotalTime>4</TotalTime>
  <ScaleCrop>false</ScaleCrop>
  <LinksUpToDate>false</LinksUpToDate>
  <CharactersWithSpaces>8282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2023-06-19T01:17:00Z</dcterms:created>
  <dc:creator>zekejz</dc:creator>
  <cp:lastModifiedBy>zekejz</cp:lastModifiedBy>
  <dcterms:modified xsi:type="dcterms:W3CDTF">2023-11-14T01:00:04Z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F4B271D9A3E7442DB3A734CC2090450E_12</vt:lpwstr>
  </property>
</Properties>
</file>