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76B25" w14:textId="796AF13A"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F14B26">
        <w:rPr>
          <w:rFonts w:cs="Arial"/>
          <w:noProof w:val="0"/>
          <w:sz w:val="24"/>
          <w:szCs w:val="24"/>
        </w:rPr>
        <w:t>1</w:t>
      </w:r>
      <w:r w:rsidR="00671A7F">
        <w:rPr>
          <w:rFonts w:cs="Arial"/>
          <w:noProof w:val="0"/>
          <w:sz w:val="24"/>
          <w:szCs w:val="24"/>
        </w:rPr>
        <w:t>7</w:t>
      </w:r>
      <w:r w:rsidR="00873094">
        <w:rPr>
          <w:rFonts w:cs="Arial"/>
          <w:noProof w:val="0"/>
          <w:sz w:val="24"/>
          <w:szCs w:val="24"/>
        </w:rPr>
        <w:t>bis</w:t>
      </w:r>
      <w:r w:rsidR="000B318F">
        <w:rPr>
          <w:rFonts w:cs="Arial"/>
          <w:noProof w:val="0"/>
          <w:sz w:val="24"/>
          <w:szCs w:val="24"/>
        </w:rPr>
        <w:t>-e</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A17E34">
        <w:rPr>
          <w:rFonts w:cs="Arial"/>
          <w:bCs/>
          <w:noProof w:val="0"/>
          <w:sz w:val="24"/>
          <w:lang w:eastAsia="ja-JP"/>
        </w:rPr>
        <w:t>2</w:t>
      </w:r>
      <w:r w:rsidR="008F40B9">
        <w:rPr>
          <w:rFonts w:cs="Arial"/>
          <w:bCs/>
          <w:noProof w:val="0"/>
          <w:sz w:val="24"/>
          <w:lang w:eastAsia="ja-JP"/>
        </w:rPr>
        <w:t>5450</w:t>
      </w:r>
    </w:p>
    <w:p w14:paraId="3EA64900" w14:textId="74A0D1F5" w:rsidR="004F4425" w:rsidRDefault="00612679" w:rsidP="004F4425">
      <w:pPr>
        <w:pStyle w:val="CRCoverPage"/>
        <w:outlineLvl w:val="0"/>
        <w:rPr>
          <w:b/>
          <w:noProof/>
          <w:sz w:val="24"/>
        </w:rPr>
      </w:pPr>
      <w:r>
        <w:rPr>
          <w:b/>
          <w:noProof/>
          <w:sz w:val="24"/>
        </w:rPr>
        <w:t>Online,</w:t>
      </w:r>
      <w:r w:rsidR="00964DB6">
        <w:rPr>
          <w:b/>
          <w:noProof/>
          <w:sz w:val="24"/>
        </w:rPr>
        <w:t xml:space="preserve"> </w:t>
      </w:r>
      <w:r w:rsidR="00671A7F">
        <w:rPr>
          <w:b/>
          <w:noProof/>
          <w:sz w:val="24"/>
        </w:rPr>
        <w:t>1</w:t>
      </w:r>
      <w:r w:rsidR="00873094">
        <w:rPr>
          <w:b/>
          <w:noProof/>
          <w:sz w:val="24"/>
        </w:rPr>
        <w:t>0</w:t>
      </w:r>
      <w:r w:rsidR="00F31F35" w:rsidRPr="00F31F35">
        <w:rPr>
          <w:b/>
          <w:noProof/>
          <w:sz w:val="24"/>
          <w:vertAlign w:val="superscript"/>
        </w:rPr>
        <w:t>th</w:t>
      </w:r>
      <w:r w:rsidR="00F31F35">
        <w:rPr>
          <w:b/>
          <w:noProof/>
          <w:sz w:val="24"/>
        </w:rPr>
        <w:t xml:space="preserve"> - </w:t>
      </w:r>
      <w:r w:rsidR="00873094">
        <w:rPr>
          <w:b/>
          <w:noProof/>
          <w:sz w:val="24"/>
        </w:rPr>
        <w:t>18</w:t>
      </w:r>
      <w:r w:rsidR="00F31F35" w:rsidRPr="00F31F35">
        <w:rPr>
          <w:b/>
          <w:noProof/>
          <w:sz w:val="24"/>
          <w:vertAlign w:val="superscript"/>
        </w:rPr>
        <w:t>th</w:t>
      </w:r>
      <w:r w:rsidR="00F31F35">
        <w:rPr>
          <w:b/>
          <w:noProof/>
          <w:sz w:val="24"/>
        </w:rPr>
        <w:t xml:space="preserve"> </w:t>
      </w:r>
      <w:r w:rsidR="00873094">
        <w:rPr>
          <w:b/>
          <w:noProof/>
          <w:sz w:val="24"/>
        </w:rPr>
        <w:t>October</w:t>
      </w:r>
      <w:r w:rsidR="000B318F">
        <w:rPr>
          <w:b/>
          <w:noProof/>
          <w:sz w:val="24"/>
        </w:rPr>
        <w:t xml:space="preserve"> </w:t>
      </w:r>
      <w:r>
        <w:rPr>
          <w:b/>
          <w:noProof/>
          <w:sz w:val="24"/>
        </w:rPr>
        <w:t>202</w:t>
      </w:r>
      <w:r w:rsidR="00A17E34">
        <w:rPr>
          <w:b/>
          <w:noProof/>
          <w:sz w:val="24"/>
        </w:rPr>
        <w:t>2</w:t>
      </w:r>
    </w:p>
    <w:p w14:paraId="0C4B67AF" w14:textId="77777777" w:rsidR="00501135" w:rsidRDefault="00501135">
      <w:pPr>
        <w:pStyle w:val="Header"/>
        <w:rPr>
          <w:rFonts w:cs="Arial"/>
          <w:bCs/>
          <w:noProof w:val="0"/>
          <w:sz w:val="24"/>
          <w:lang w:val="en-GB" w:eastAsia="ja-JP"/>
        </w:rPr>
      </w:pPr>
    </w:p>
    <w:p w14:paraId="43D56084" w14:textId="4ACC60E9"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BE7132">
        <w:rPr>
          <w:rFonts w:cs="Arial"/>
          <w:b/>
          <w:bCs/>
          <w:color w:val="000000"/>
          <w:sz w:val="24"/>
          <w:szCs w:val="24"/>
          <w:lang w:val="en-US"/>
        </w:rPr>
        <w:t>15.2</w:t>
      </w:r>
    </w:p>
    <w:p w14:paraId="6BE48DC7" w14:textId="77777777"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8A4C1D">
        <w:rPr>
          <w:rFonts w:cs="Arial"/>
          <w:b/>
          <w:bCs/>
          <w:sz w:val="24"/>
          <w:lang w:val="en-US"/>
        </w:rPr>
        <w:t>Ericsson</w:t>
      </w:r>
    </w:p>
    <w:p w14:paraId="3A2005BA" w14:textId="1A889E1E"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32465A" w:rsidRPr="0032465A">
        <w:rPr>
          <w:rFonts w:cs="Arial"/>
          <w:b/>
          <w:bCs/>
          <w:color w:val="000000"/>
          <w:sz w:val="24"/>
          <w:szCs w:val="24"/>
        </w:rPr>
        <w:t>On Support for MBS reception in RAN sharing scenarios</w:t>
      </w:r>
    </w:p>
    <w:p w14:paraId="798882EA"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E0E6166" w14:textId="5FA69F3E" w:rsidR="00CD7395" w:rsidRDefault="00A17B09" w:rsidP="00117327">
      <w:r>
        <w:t xml:space="preserve">TSG RAN WGs have started their work for enhancements for NR MBS along the RAN WI  in [1] by August meetings 2022. </w:t>
      </w:r>
    </w:p>
    <w:p w14:paraId="1638099C" w14:textId="0C466104" w:rsidR="00A17B09" w:rsidRDefault="00A17B09" w:rsidP="00117327">
      <w:r>
        <w:t>The RAN WI [1] on resource efficiency for RAN sharing scenarios describes the respective work task as follows:</w:t>
      </w:r>
    </w:p>
    <w:p w14:paraId="00D4D5AD" w14:textId="77777777" w:rsidR="00A17B09" w:rsidRPr="001E7C62" w:rsidRDefault="00A17B09" w:rsidP="00A17B09">
      <w:pPr>
        <w:pStyle w:val="Quotation"/>
        <w:ind w:left="851" w:hanging="284"/>
      </w:pPr>
      <w:r>
        <w:rPr>
          <w:lang w:val="en-US"/>
        </w:rPr>
        <w:t>-</w:t>
      </w:r>
      <w:r>
        <w:rPr>
          <w:lang w:val="en-US"/>
        </w:rPr>
        <w:tab/>
        <w:t>Study and if necessary, s</w:t>
      </w:r>
      <w:r>
        <w:rPr>
          <w:rFonts w:hint="eastAsia"/>
          <w:lang w:val="en-US"/>
        </w:rPr>
        <w:t xml:space="preserve">pecify enhancements </w:t>
      </w:r>
      <w:r w:rsidRPr="00795BB0">
        <w:t xml:space="preserve">to improve the resource efficiency for </w:t>
      </w:r>
      <w:r>
        <w:rPr>
          <w:rFonts w:hint="eastAsia"/>
          <w:lang w:val="en-US"/>
        </w:rPr>
        <w:t>MBS reception in RAN sharing scenarios</w:t>
      </w:r>
      <w:r>
        <w:rPr>
          <w:lang w:val="en-US"/>
        </w:rPr>
        <w:t xml:space="preserve"> </w:t>
      </w:r>
      <w:r w:rsidRPr="00A33CE8">
        <w:rPr>
          <w:rFonts w:hint="eastAsia"/>
          <w:lang w:val="en-US"/>
        </w:rPr>
        <w:t>[RAN3]</w:t>
      </w:r>
    </w:p>
    <w:p w14:paraId="0AD58BF7" w14:textId="4B5A3648" w:rsidR="00E0506D" w:rsidRDefault="00E0506D" w:rsidP="00117327">
      <w:r>
        <w:t>This document continues discussions on that topic.</w:t>
      </w:r>
    </w:p>
    <w:p w14:paraId="030499BE" w14:textId="162E573D" w:rsidR="00A17B09" w:rsidRDefault="00A17B09" w:rsidP="00117327">
      <w:pPr>
        <w:rPr>
          <w:rFonts w:cs="Arial"/>
          <w:i/>
          <w:iCs/>
          <w:lang w:eastAsia="zh-CN"/>
        </w:rPr>
      </w:pPr>
      <w:r>
        <w:t xml:space="preserve">We have sent out an LS due to discussions at RAN3#117 whether </w:t>
      </w:r>
      <w:r w:rsidR="00FB4C36">
        <w:t xml:space="preserve">“MBS” actually means multicast and broadcast and got a reply from TSG RAN [2] that RAN3 should “focus” on broadcast, </w:t>
      </w:r>
      <w:r w:rsidR="00FB4C36" w:rsidRPr="00B17D67">
        <w:t xml:space="preserve">while </w:t>
      </w:r>
      <w:r w:rsidR="00FB4C36" w:rsidRPr="00FB4C36">
        <w:rPr>
          <w:rFonts w:cs="Arial"/>
          <w:i/>
          <w:iCs/>
          <w:lang w:eastAsia="zh-CN"/>
        </w:rPr>
        <w:t>TSG RAN considers that from technical point of view support of resource efficiency for MBS reception is beneficial regardless of the MBS session type (broadcast / multicast).</w:t>
      </w:r>
    </w:p>
    <w:p w14:paraId="18BB631E" w14:textId="63EAF2C4"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3906E886" w14:textId="7701FBEB" w:rsidR="00237F7C" w:rsidRDefault="00E3682D" w:rsidP="00B32055">
      <w:pPr>
        <w:pStyle w:val="Heading2"/>
      </w:pPr>
      <w:r>
        <w:t>2.</w:t>
      </w:r>
      <w:r w:rsidR="009D6495">
        <w:t>1</w:t>
      </w:r>
      <w:r>
        <w:tab/>
        <w:t>Support of realistic MOCN deployments</w:t>
      </w:r>
    </w:p>
    <w:p w14:paraId="3E182E96" w14:textId="08064DED" w:rsidR="00E0506D" w:rsidRDefault="00E0506D" w:rsidP="00DB5364">
      <w:pPr>
        <w:rPr>
          <w:rFonts w:eastAsia="DengXian"/>
          <w:lang w:eastAsia="zh-CN"/>
        </w:rPr>
      </w:pPr>
      <w:r>
        <w:t xml:space="preserve">TR 23.700-47 </w:t>
      </w:r>
      <w:r w:rsidR="00B558B0">
        <w:t xml:space="preserve">[3] </w:t>
      </w:r>
      <w:r>
        <w:t xml:space="preserve">rightly states that </w:t>
      </w:r>
      <w:r w:rsidRPr="00666F38">
        <w:rPr>
          <w:i/>
          <w:iCs/>
          <w:color w:val="002060"/>
        </w:rPr>
        <w:t>T</w:t>
      </w:r>
      <w:r w:rsidRPr="00666F38">
        <w:rPr>
          <w:rFonts w:eastAsia="DengXian"/>
          <w:i/>
          <w:iCs/>
          <w:color w:val="002060"/>
          <w:lang w:eastAsia="zh-CN"/>
        </w:rPr>
        <w:t>he assumption that all NG-RAN nodes are shared in MOCN network sharing deployment cannot be made</w:t>
      </w:r>
      <w:r w:rsidRPr="00666F38">
        <w:rPr>
          <w:rFonts w:eastAsia="DengXian"/>
          <w:color w:val="002060"/>
          <w:lang w:eastAsia="zh-CN"/>
        </w:rPr>
        <w:t xml:space="preserve">. </w:t>
      </w:r>
    </w:p>
    <w:p w14:paraId="7A82AC38" w14:textId="77777777" w:rsidR="00E0506D" w:rsidRDefault="00E0506D" w:rsidP="00DB5364">
      <w:pPr>
        <w:rPr>
          <w:lang w:val="en-US"/>
        </w:rPr>
      </w:pPr>
      <w:r>
        <w:rPr>
          <w:rFonts w:eastAsia="DengXian"/>
          <w:lang w:eastAsia="zh-CN"/>
        </w:rPr>
        <w:t xml:space="preserve">In our view, this is one of the key points in discussion relevant solutions to </w:t>
      </w:r>
      <w:r w:rsidRPr="00E0506D">
        <w:rPr>
          <w:i/>
          <w:iCs/>
        </w:rPr>
        <w:t xml:space="preserve">improve the resource efficiency for </w:t>
      </w:r>
      <w:r w:rsidRPr="00E0506D">
        <w:rPr>
          <w:rFonts w:hint="eastAsia"/>
          <w:i/>
          <w:iCs/>
          <w:lang w:val="en-US"/>
        </w:rPr>
        <w:t>MBS reception</w:t>
      </w:r>
      <w:r w:rsidRPr="00E0506D">
        <w:rPr>
          <w:i/>
          <w:iCs/>
          <w:lang w:val="en-US"/>
        </w:rPr>
        <w:t>.</w:t>
      </w:r>
      <w:r>
        <w:rPr>
          <w:rFonts w:hint="eastAsia"/>
          <w:lang w:val="en-US"/>
        </w:rPr>
        <w:t xml:space="preserve"> </w:t>
      </w:r>
    </w:p>
    <w:p w14:paraId="1D17A3D0" w14:textId="09C0C5FE" w:rsidR="00E0506D" w:rsidRDefault="00666F38" w:rsidP="00DB5364">
      <w:pPr>
        <w:rPr>
          <w:rFonts w:eastAsia="DengXian"/>
          <w:color w:val="0070C0"/>
          <w:lang w:eastAsia="zh-CN"/>
        </w:rPr>
      </w:pPr>
      <w:r>
        <w:rPr>
          <w:lang w:val="en-US"/>
        </w:rPr>
        <w:t xml:space="preserve">Bearing in mind the large range of possible NG-RAN deployment scenarios intended for 5G </w:t>
      </w:r>
      <w:r w:rsidR="00E0506D">
        <w:rPr>
          <w:lang w:val="en-US"/>
        </w:rPr>
        <w:t>and the protocol means we have introduced for NG-RAN nodes, we would even go further and state the following</w:t>
      </w:r>
      <w:r>
        <w:rPr>
          <w:lang w:val="en-US"/>
        </w:rPr>
        <w:t>:</w:t>
      </w:r>
      <w:r w:rsidR="00E0506D">
        <w:rPr>
          <w:lang w:val="en-US"/>
        </w:rPr>
        <w:t xml:space="preserve"> </w:t>
      </w:r>
      <w:r w:rsidR="00E0506D" w:rsidRPr="00666F38">
        <w:rPr>
          <w:i/>
          <w:iCs/>
          <w:color w:val="002060"/>
        </w:rPr>
        <w:t>T</w:t>
      </w:r>
      <w:r w:rsidR="00E0506D" w:rsidRPr="00666F38">
        <w:rPr>
          <w:rFonts w:eastAsia="DengXian"/>
          <w:i/>
          <w:iCs/>
          <w:color w:val="002060"/>
          <w:lang w:eastAsia="zh-CN"/>
        </w:rPr>
        <w:t>he assumption that</w:t>
      </w:r>
      <w:r w:rsidR="00E0506D" w:rsidRPr="00E0506D">
        <w:rPr>
          <w:rFonts w:eastAsia="DengXian"/>
          <w:i/>
          <w:iCs/>
          <w:color w:val="0070C0"/>
          <w:lang w:eastAsia="zh-CN"/>
        </w:rPr>
        <w:t xml:space="preserve"> </w:t>
      </w:r>
      <w:r>
        <w:rPr>
          <w:rFonts w:eastAsia="DengXian"/>
          <w:i/>
          <w:iCs/>
          <w:color w:val="7030A0"/>
          <w:lang w:eastAsia="zh-CN"/>
        </w:rPr>
        <w:t xml:space="preserve">within </w:t>
      </w:r>
      <w:r w:rsidR="00E0506D" w:rsidRPr="00E0506D">
        <w:rPr>
          <w:rFonts w:eastAsia="DengXian"/>
          <w:i/>
          <w:iCs/>
          <w:color w:val="7030A0"/>
          <w:lang w:eastAsia="zh-CN"/>
        </w:rPr>
        <w:t xml:space="preserve">a shared NG-RAN node </w:t>
      </w:r>
      <w:r>
        <w:rPr>
          <w:rFonts w:eastAsia="DengXian"/>
          <w:i/>
          <w:iCs/>
          <w:color w:val="7030A0"/>
          <w:lang w:eastAsia="zh-CN"/>
        </w:rPr>
        <w:t xml:space="preserve">all cells may be shared </w:t>
      </w:r>
      <w:r w:rsidRPr="00666F38">
        <w:rPr>
          <w:rFonts w:eastAsia="DengXian"/>
          <w:i/>
          <w:iCs/>
          <w:color w:val="0070C0"/>
          <w:lang w:eastAsia="zh-CN"/>
        </w:rPr>
        <w:t xml:space="preserve">in an </w:t>
      </w:r>
      <w:r w:rsidR="00E0506D" w:rsidRPr="00E0506D">
        <w:rPr>
          <w:rFonts w:eastAsia="DengXian"/>
          <w:i/>
          <w:iCs/>
          <w:color w:val="0070C0"/>
          <w:lang w:eastAsia="zh-CN"/>
        </w:rPr>
        <w:t>MOCN network sharing deployment cannot be made</w:t>
      </w:r>
      <w:r w:rsidR="00E0506D" w:rsidRPr="00E0506D">
        <w:rPr>
          <w:rFonts w:eastAsia="DengXian"/>
          <w:color w:val="0070C0"/>
          <w:lang w:eastAsia="zh-CN"/>
        </w:rPr>
        <w:t>.</w:t>
      </w:r>
    </w:p>
    <w:p w14:paraId="2A918328" w14:textId="742EF311" w:rsidR="00666F38" w:rsidRPr="00B558B0" w:rsidRDefault="00666F38" w:rsidP="00DB5364">
      <w:r w:rsidRPr="00666F38">
        <w:rPr>
          <w:rFonts w:eastAsia="DengXian"/>
          <w:lang w:eastAsia="zh-CN"/>
        </w:rPr>
        <w:t xml:space="preserve">Of course, all the MOCN deployment scenarios need to follow the stage 2 requirement that </w:t>
      </w:r>
      <w:r w:rsidRPr="00666F38">
        <w:rPr>
          <w:i/>
          <w:iCs/>
          <w:color w:val="002060"/>
        </w:rPr>
        <w:t>The available core network operators (PLMNs and/or SNPNs) shall be the same for all cells of a Tracking Area in a shared NG-RAN network.</w:t>
      </w:r>
      <w:r w:rsidRPr="00666F38">
        <w:t xml:space="preserve"> [TS 23.501 §5.18.2], hence a precondition for that case is that the NG-RAN node serves at least 2 Tracking Areas.</w:t>
      </w:r>
    </w:p>
    <w:p w14:paraId="5A193F23" w14:textId="0DAAFFE0" w:rsidR="00E0506D" w:rsidRDefault="00E0506D" w:rsidP="00E0506D">
      <w:pPr>
        <w:pStyle w:val="Eyecatcher"/>
      </w:pPr>
      <w:r>
        <w:t xml:space="preserve">Observation </w:t>
      </w:r>
      <w:r w:rsidR="00CE3935">
        <w:t>1</w:t>
      </w:r>
      <w:r>
        <w:t>:</w:t>
      </w:r>
      <w:r>
        <w:tab/>
        <w:t xml:space="preserve">The statement in 23.700-47 that one cannot assume all NG-RAN nodes are shared in an MOCN RAN sharing scenario has to be amended by the statement, that </w:t>
      </w:r>
      <w:r w:rsidR="00666F38">
        <w:t>within a single NG-RAN node not all cells may be shared.</w:t>
      </w:r>
    </w:p>
    <w:p w14:paraId="65FDE44C" w14:textId="36B30C1E" w:rsidR="00B558B0" w:rsidRDefault="00B558B0" w:rsidP="00DB5364">
      <w:r>
        <w:t>The solutions outlined in 23.700-47 [3] focus on the main question</w:t>
      </w:r>
      <w:r w:rsidR="00672969">
        <w:t xml:space="preserve"> (in our own words)</w:t>
      </w:r>
      <w:r>
        <w:t>:</w:t>
      </w:r>
    </w:p>
    <w:p w14:paraId="2209FA7C" w14:textId="6C6C32E5" w:rsidR="00B558B0" w:rsidRPr="00B558B0" w:rsidRDefault="00B558B0" w:rsidP="00B558B0">
      <w:pPr>
        <w:ind w:left="720"/>
        <w:rPr>
          <w:i/>
          <w:iCs/>
        </w:rPr>
      </w:pPr>
      <w:r w:rsidRPr="00B558B0">
        <w:rPr>
          <w:i/>
          <w:iCs/>
        </w:rPr>
        <w:t xml:space="preserve">How can an </w:t>
      </w:r>
      <w:r w:rsidR="00285DDB">
        <w:rPr>
          <w:i/>
          <w:iCs/>
        </w:rPr>
        <w:t xml:space="preserve">MOCN sharing </w:t>
      </w:r>
      <w:r w:rsidRPr="00B558B0">
        <w:rPr>
          <w:i/>
          <w:iCs/>
        </w:rPr>
        <w:t xml:space="preserve">NG-RAN </w:t>
      </w:r>
      <w:r w:rsidR="00285DDB">
        <w:rPr>
          <w:i/>
          <w:iCs/>
        </w:rPr>
        <w:t xml:space="preserve">node </w:t>
      </w:r>
      <w:r w:rsidRPr="00B558B0">
        <w:rPr>
          <w:i/>
          <w:iCs/>
        </w:rPr>
        <w:t>be informed that</w:t>
      </w:r>
      <w:r>
        <w:rPr>
          <w:i/>
          <w:iCs/>
        </w:rPr>
        <w:t xml:space="preserve"> </w:t>
      </w:r>
      <w:r w:rsidR="00285DDB">
        <w:rPr>
          <w:i/>
          <w:iCs/>
        </w:rPr>
        <w:t xml:space="preserve">the </w:t>
      </w:r>
      <w:r w:rsidR="00672969">
        <w:rPr>
          <w:i/>
          <w:iCs/>
        </w:rPr>
        <w:t>per-5GC-</w:t>
      </w:r>
      <w:r w:rsidRPr="00B558B0">
        <w:rPr>
          <w:i/>
          <w:iCs/>
        </w:rPr>
        <w:t>request</w:t>
      </w:r>
      <w:r>
        <w:rPr>
          <w:i/>
          <w:iCs/>
        </w:rPr>
        <w:t xml:space="preserve">s for setting up </w:t>
      </w:r>
      <w:r w:rsidRPr="00B558B0">
        <w:rPr>
          <w:i/>
          <w:iCs/>
        </w:rPr>
        <w:t xml:space="preserve">MBS Session Resources </w:t>
      </w:r>
      <w:r w:rsidR="00672969">
        <w:rPr>
          <w:i/>
          <w:iCs/>
        </w:rPr>
        <w:t>(</w:t>
      </w:r>
      <w:r w:rsidRPr="00B558B0">
        <w:rPr>
          <w:i/>
          <w:iCs/>
        </w:rPr>
        <w:t>received from 5GCs of different sharing partners/PLMNs</w:t>
      </w:r>
      <w:r w:rsidR="00672969">
        <w:rPr>
          <w:i/>
          <w:iCs/>
        </w:rPr>
        <w:t>)</w:t>
      </w:r>
      <w:r w:rsidRPr="00B558B0">
        <w:rPr>
          <w:i/>
          <w:iCs/>
        </w:rPr>
        <w:t xml:space="preserve"> concern </w:t>
      </w:r>
      <w:r w:rsidR="00860159">
        <w:rPr>
          <w:i/>
          <w:iCs/>
        </w:rPr>
        <w:t xml:space="preserve">the </w:t>
      </w:r>
      <w:r w:rsidR="00285DDB">
        <w:rPr>
          <w:i/>
          <w:iCs/>
        </w:rPr>
        <w:t xml:space="preserve">delivery of identical </w:t>
      </w:r>
      <w:r w:rsidRPr="00B558B0">
        <w:rPr>
          <w:i/>
          <w:iCs/>
        </w:rPr>
        <w:t>MBS session data?</w:t>
      </w:r>
    </w:p>
    <w:p w14:paraId="0234A72F" w14:textId="77777777" w:rsidR="00A06D42" w:rsidRDefault="00D74285" w:rsidP="00DB5364">
      <w:r>
        <w:lastRenderedPageBreak/>
        <w:t xml:space="preserve">Given the various solutions in TR 23.700-47 [3], it appears that all solutions are able to provide such information to NG-RAN nodes, </w:t>
      </w:r>
    </w:p>
    <w:p w14:paraId="75A55742" w14:textId="7BE9DC51" w:rsidR="00A06D42" w:rsidRDefault="00672969" w:rsidP="00A06D42">
      <w:pPr>
        <w:pStyle w:val="B1"/>
      </w:pPr>
      <w:r>
        <w:t>a)</w:t>
      </w:r>
      <w:r w:rsidR="00A06D42">
        <w:tab/>
      </w:r>
      <w:r w:rsidR="00D74285">
        <w:t xml:space="preserve">either </w:t>
      </w:r>
      <w:r w:rsidR="00A06D42">
        <w:t>by allocating a “common” MBS Session ID only and communicating via all 5GCs to NG-RAN</w:t>
      </w:r>
      <w:r>
        <w:t xml:space="preserve"> (and announced to the UE)</w:t>
      </w:r>
    </w:p>
    <w:p w14:paraId="62D2712A" w14:textId="01EB7AF5" w:rsidR="00A06D42" w:rsidRDefault="00672969" w:rsidP="00A06D42">
      <w:pPr>
        <w:pStyle w:val="B1"/>
      </w:pPr>
      <w:r>
        <w:t>b)</w:t>
      </w:r>
      <w:r w:rsidR="00A06D42">
        <w:tab/>
        <w:t xml:space="preserve">or communicating a “native” MBS Session ID along a “common” </w:t>
      </w:r>
      <w:r>
        <w:t xml:space="preserve">reference ID (could be an </w:t>
      </w:r>
      <w:r w:rsidR="00A06D42">
        <w:t>MBS Session ID</w:t>
      </w:r>
      <w:r>
        <w:t xml:space="preserve"> or any other unique ID)</w:t>
      </w:r>
      <w:r w:rsidR="00A06D42">
        <w:t xml:space="preserve"> for associating the different “native” MBS Session IDs  as received by various 5GCs at NG-RAN</w:t>
      </w:r>
    </w:p>
    <w:p w14:paraId="14790E5F" w14:textId="721F10F3" w:rsidR="00A06D42" w:rsidRDefault="00672969" w:rsidP="00A06D42">
      <w:pPr>
        <w:pStyle w:val="B1"/>
      </w:pPr>
      <w:r>
        <w:t>c)</w:t>
      </w:r>
      <w:r w:rsidR="00A06D42">
        <w:tab/>
        <w:t>or communicating all “native” MBS Session ID from all participating 5GCs to NG-RAN.</w:t>
      </w:r>
    </w:p>
    <w:p w14:paraId="57116047" w14:textId="1279F4CE" w:rsidR="00A06D42" w:rsidRDefault="00A06D42" w:rsidP="00A06D42">
      <w:pPr>
        <w:pStyle w:val="Eyecatcher"/>
      </w:pPr>
      <w:r>
        <w:t xml:space="preserve">Observation </w:t>
      </w:r>
      <w:r w:rsidR="00CE3935">
        <w:t>2</w:t>
      </w:r>
      <w:r>
        <w:t xml:space="preserve">: All solutions in TR 23.700-47 enable shared NG-RAN node to associate MBS Session Resource setup requests from the participating 5GCs and hence </w:t>
      </w:r>
      <w:r w:rsidR="00672969">
        <w:t xml:space="preserve">are able </w:t>
      </w:r>
      <w:r>
        <w:t>achieve resource efficiency.</w:t>
      </w:r>
    </w:p>
    <w:p w14:paraId="627EA8CA" w14:textId="77777777" w:rsidR="00672969" w:rsidRDefault="00A06D42" w:rsidP="00A06D42">
      <w:r>
        <w:t xml:space="preserve">Assuming that 5GC should not necessarily be </w:t>
      </w:r>
      <w:r w:rsidR="00672969">
        <w:t xml:space="preserve">neither </w:t>
      </w:r>
      <w:r>
        <w:t xml:space="preserve">bothered with processing detailed information </w:t>
      </w:r>
      <w:proofErr w:type="spellStart"/>
      <w:r>
        <w:t>w.r.t.</w:t>
      </w:r>
      <w:proofErr w:type="spellEnd"/>
      <w:r>
        <w:t xml:space="preserve"> NG-RAN nodes’ support of Rel-18 MBS features nor with NG-RAN node</w:t>
      </w:r>
      <w:r w:rsidR="00672969">
        <w:t>s</w:t>
      </w:r>
      <w:r>
        <w:t xml:space="preserve">’ </w:t>
      </w:r>
      <w:r w:rsidR="00672969">
        <w:t xml:space="preserve">sharing radio resources, we would rather favour solutions that represent “add-ons” to the Rel-17 solutions, function- and protocol-wise. So the 5GC may provide the request to setup MBS Session Resources/Contexts in the same way as in Rel-17, with additional information the NG-RAN nodes not supporting Rel-18 enhancements or do not provide RAN sharing possibilities would simply ignore. </w:t>
      </w:r>
    </w:p>
    <w:p w14:paraId="0E0AA9F6" w14:textId="3D301207" w:rsidR="00672969" w:rsidRDefault="00672969" w:rsidP="00A06D42">
      <w:r>
        <w:t>Given also the fact that the MBS Session ID, as communicated to NG-RAN contains a PLMN-ID, which, to our understanding, some implementations may process (for whatever deployment/implementation specific reasons), it would be probably not a good idea to follow a signalling scheme that foresees providing an MBS Session ID containing a PLMN ID completely unknown to NG-RAN, not to speak of functions residing in the 5GC.</w:t>
      </w:r>
    </w:p>
    <w:p w14:paraId="05D8B22B" w14:textId="77777777" w:rsidR="003C249F" w:rsidRDefault="003C249F" w:rsidP="003C249F">
      <w:r>
        <w:t>Approach a) of course would provide an advantage in not necessarily updating the system, but the uncertainty remains whether 5GS entities would like to process the PLMN ID contained in the Global MBS Session ID.</w:t>
      </w:r>
    </w:p>
    <w:p w14:paraId="7FB325DD" w14:textId="06F67E54" w:rsidR="003C249F" w:rsidRDefault="003C249F" w:rsidP="003C249F">
      <w:pPr>
        <w:pStyle w:val="Eyecatcher"/>
      </w:pPr>
      <w:r>
        <w:t xml:space="preserve">Observation </w:t>
      </w:r>
      <w:r w:rsidR="00CE3935">
        <w:t>3</w:t>
      </w:r>
      <w:r>
        <w:t xml:space="preserve">: Bearing in mind aspects like minimising the potential impact on 5GC and NG-RAN and retaining backwards compatibility to existing protocol functions, a solution that deals with “native” TMGIs, i.e. TMGIs containing a PLMN ID served by the 5GC communicating it to NG-RAN and hence the PLMN ID is also understood by non-sharing RAN nodes. Is preferred. </w:t>
      </w:r>
    </w:p>
    <w:p w14:paraId="2645FF94" w14:textId="743F2C87" w:rsidR="00CC4AE3" w:rsidRDefault="00CC4AE3" w:rsidP="00CC4AE3">
      <w:pPr>
        <w:pStyle w:val="Eyecatcher"/>
      </w:pPr>
      <w:r>
        <w:t xml:space="preserve">Proposal </w:t>
      </w:r>
      <w:r w:rsidR="00CE3935">
        <w:t>1</w:t>
      </w:r>
      <w:r>
        <w:t xml:space="preserve">: </w:t>
      </w:r>
      <w:r>
        <w:tab/>
      </w:r>
      <w:r w:rsidR="00580162">
        <w:t xml:space="preserve">Agree that </w:t>
      </w:r>
      <w:proofErr w:type="spellStart"/>
      <w:r>
        <w:t>gNBs</w:t>
      </w:r>
      <w:proofErr w:type="spellEnd"/>
      <w:r>
        <w:t xml:space="preserve"> not sharing all cells or not sharing at all receive a “native” TMGI, i.e. a TMGI containing a PLMN ID supported by the sending 5GC. </w:t>
      </w:r>
    </w:p>
    <w:p w14:paraId="7BD19E46" w14:textId="311DCDE3" w:rsidR="003C249F" w:rsidRDefault="003C249F" w:rsidP="003C249F">
      <w:r>
        <w:t xml:space="preserve">Considering long lasting broadcast sessions with the possibility for sharing operators leaving or entering the common ongoing session from time to time, it appears that option b) is probably the most advantageous </w:t>
      </w:r>
      <w:r w:rsidR="00CC4AE3">
        <w:t>approach.</w:t>
      </w:r>
    </w:p>
    <w:p w14:paraId="7EF19BC0" w14:textId="7EF31231" w:rsidR="003C249F" w:rsidRDefault="003C249F" w:rsidP="003C249F">
      <w:pPr>
        <w:pStyle w:val="Eyecatcher"/>
      </w:pPr>
      <w:r>
        <w:t xml:space="preserve">Observation </w:t>
      </w:r>
      <w:r w:rsidR="00CE3935">
        <w:t>4</w:t>
      </w:r>
      <w:r>
        <w:t xml:space="preserve">: Another aspect is considering long-lasting broadcast sessions with sharing operators leaving or entering the common ongoing session, a solution where the </w:t>
      </w:r>
      <w:r w:rsidR="000D4F83">
        <w:t>identity providing a reference to the common session does not depend on the momentarily participating operators would be preferred.</w:t>
      </w:r>
      <w:r>
        <w:t xml:space="preserve"> </w:t>
      </w:r>
    </w:p>
    <w:p w14:paraId="5E4E2645" w14:textId="6A518D8B" w:rsidR="00DF2A9F" w:rsidRDefault="00DF2A9F" w:rsidP="00DF2A9F">
      <w:r>
        <w:t xml:space="preserve">Broadcast supports minimisation of data loss by means of synchronising the allocation of PDCP Sequence Numbers in the participating cells, also across </w:t>
      </w:r>
      <w:proofErr w:type="spellStart"/>
      <w:r>
        <w:t>gNBs</w:t>
      </w:r>
      <w:proofErr w:type="spellEnd"/>
      <w:r>
        <w:t>. This is either achieved by a common MB-</w:t>
      </w:r>
      <w:r w:rsidR="00CE3935">
        <w:t>UPF</w:t>
      </w:r>
      <w:r>
        <w:t xml:space="preserve"> or a shared NG-U termination.</w:t>
      </w:r>
    </w:p>
    <w:p w14:paraId="771F0785" w14:textId="4F573D97" w:rsidR="00DF2A9F" w:rsidRDefault="00DF2A9F" w:rsidP="00DF2A9F">
      <w:r>
        <w:t xml:space="preserve">In general, it should not be expected that data coming from </w:t>
      </w:r>
      <w:r w:rsidR="00CE3935">
        <w:t xml:space="preserve">different </w:t>
      </w:r>
      <w:r>
        <w:t xml:space="preserve">MB-UPFs, </w:t>
      </w:r>
      <w:r w:rsidR="00CE3935">
        <w:t xml:space="preserve">as is the case in RAN sharing scenarios, </w:t>
      </w:r>
      <w:r>
        <w:t>even if they provide identical data, are synchronised in a way, that e.g. inter-</w:t>
      </w:r>
      <w:proofErr w:type="spellStart"/>
      <w:r>
        <w:t>gNB</w:t>
      </w:r>
      <w:proofErr w:type="spellEnd"/>
      <w:r>
        <w:t xml:space="preserve"> mobility is guaranteed, if the source </w:t>
      </w:r>
      <w:proofErr w:type="spellStart"/>
      <w:r>
        <w:t>gNB</w:t>
      </w:r>
      <w:proofErr w:type="spellEnd"/>
      <w:r>
        <w:t xml:space="preserve"> is provide</w:t>
      </w:r>
      <w:r w:rsidR="00CE3935">
        <w:t>d</w:t>
      </w:r>
      <w:r>
        <w:t xml:space="preserve"> with MBS data from a different MB-UPF as compared to the target </w:t>
      </w:r>
      <w:proofErr w:type="spellStart"/>
      <w:r>
        <w:t>gNB</w:t>
      </w:r>
      <w:proofErr w:type="spellEnd"/>
      <w:r>
        <w:t>.</w:t>
      </w:r>
      <w:r w:rsidR="00CE3935">
        <w:t xml:space="preserve"> It seems that solutions need to be developed for this topic.</w:t>
      </w:r>
    </w:p>
    <w:p w14:paraId="7C706D14" w14:textId="3CD10155" w:rsidR="00DF2A9F" w:rsidRDefault="00DF2A9F" w:rsidP="00DF2A9F">
      <w:pPr>
        <w:pStyle w:val="Eyecatcher"/>
      </w:pPr>
      <w:r>
        <w:t xml:space="preserve">Observation </w:t>
      </w:r>
      <w:r w:rsidR="00580162">
        <w:t>5</w:t>
      </w:r>
      <w:r>
        <w:t>: I</w:t>
      </w:r>
      <w:r w:rsidR="00CE3935">
        <w:t>n order to support minimisation of data loss i</w:t>
      </w:r>
      <w:r>
        <w:t>t seems important to ensure that MBS data is provided from the same source</w:t>
      </w:r>
      <w:r w:rsidR="00CE3935">
        <w:t>.</w:t>
      </w:r>
    </w:p>
    <w:p w14:paraId="7345DF22" w14:textId="148204B5" w:rsidR="00E96D47" w:rsidRDefault="00E96D47" w:rsidP="00E96D47">
      <w:pPr>
        <w:pStyle w:val="Heading2"/>
      </w:pPr>
      <w:r>
        <w:lastRenderedPageBreak/>
        <w:t>2.</w:t>
      </w:r>
      <w:r w:rsidR="009D6495">
        <w:t>2</w:t>
      </w:r>
      <w:r>
        <w:tab/>
        <w:t xml:space="preserve">Further discussions with a bit of RAN2-ish </w:t>
      </w:r>
      <w:r w:rsidR="00054144">
        <w:t>ingredients</w:t>
      </w:r>
      <w:r>
        <w:t xml:space="preserve"> concerning current MBS/MCCH definitions</w:t>
      </w:r>
    </w:p>
    <w:p w14:paraId="5D2E0EB5" w14:textId="4690EE08" w:rsidR="00E96D47" w:rsidRPr="007A1EC5" w:rsidRDefault="00E96D47" w:rsidP="007A1EC5">
      <w:pPr>
        <w:pStyle w:val="Heading3"/>
        <w:rPr>
          <w:b/>
          <w:bCs w:val="0"/>
          <w:sz w:val="20"/>
          <w:szCs w:val="20"/>
        </w:rPr>
      </w:pPr>
      <w:r w:rsidRPr="007A1EC5">
        <w:rPr>
          <w:b/>
          <w:bCs w:val="0"/>
          <w:sz w:val="20"/>
          <w:szCs w:val="20"/>
        </w:rPr>
        <w:t>MBS Session ID:</w:t>
      </w:r>
    </w:p>
    <w:p w14:paraId="41089002" w14:textId="1851E25B" w:rsidR="00A012D0" w:rsidRDefault="00A012D0" w:rsidP="00A06D42">
      <w:r>
        <w:t>current 38.331 defines the MBS Session Id int eh MBS-SessionInfo-r17 IE as follows</w:t>
      </w:r>
    </w:p>
    <w:p w14:paraId="07084488" w14:textId="77777777" w:rsidR="00A012D0" w:rsidRPr="00962B3F" w:rsidRDefault="00A012D0" w:rsidP="00A012D0">
      <w:pPr>
        <w:pStyle w:val="PL"/>
      </w:pPr>
      <w:r w:rsidRPr="00962B3F">
        <w:t xml:space="preserve">MBS-SessionInfo-r17 ::=          </w:t>
      </w:r>
      <w:r w:rsidRPr="00962B3F">
        <w:rPr>
          <w:color w:val="993366"/>
        </w:rPr>
        <w:t>SEQUENCE</w:t>
      </w:r>
      <w:r w:rsidRPr="00962B3F">
        <w:t xml:space="preserve"> {</w:t>
      </w:r>
    </w:p>
    <w:p w14:paraId="6339C549" w14:textId="77777777" w:rsidR="00A012D0" w:rsidRPr="00962B3F" w:rsidRDefault="00A012D0" w:rsidP="00A012D0">
      <w:pPr>
        <w:pStyle w:val="PL"/>
      </w:pPr>
      <w:r w:rsidRPr="00962B3F">
        <w:t xml:space="preserve">    mbs-SessionId-r17                TMGI-r17,</w:t>
      </w:r>
    </w:p>
    <w:p w14:paraId="18657362" w14:textId="77777777" w:rsidR="00A012D0" w:rsidRDefault="00A012D0" w:rsidP="00A06D42"/>
    <w:p w14:paraId="134BD077" w14:textId="77777777" w:rsidR="00A012D0" w:rsidRPr="00962B3F" w:rsidRDefault="00A012D0" w:rsidP="00A012D0">
      <w:pPr>
        <w:pStyle w:val="PL"/>
      </w:pPr>
      <w:r w:rsidRPr="00962B3F">
        <w:t xml:space="preserve">TMGI-r17 ::=                     </w:t>
      </w:r>
      <w:r w:rsidRPr="00962B3F">
        <w:rPr>
          <w:color w:val="993366"/>
        </w:rPr>
        <w:t>SEQUENCE</w:t>
      </w:r>
      <w:r w:rsidRPr="00962B3F">
        <w:t xml:space="preserve"> {</w:t>
      </w:r>
    </w:p>
    <w:p w14:paraId="5E891C87" w14:textId="77777777" w:rsidR="00A012D0" w:rsidRPr="00962B3F" w:rsidRDefault="00A012D0" w:rsidP="00A012D0">
      <w:pPr>
        <w:pStyle w:val="PL"/>
      </w:pPr>
      <w:r w:rsidRPr="00962B3F">
        <w:t xml:space="preserve">    plmn-Id-r17                      </w:t>
      </w:r>
      <w:r w:rsidRPr="00962B3F">
        <w:rPr>
          <w:color w:val="993366"/>
        </w:rPr>
        <w:t>CHOICE</w:t>
      </w:r>
      <w:r w:rsidRPr="00962B3F">
        <w:t xml:space="preserve"> {</w:t>
      </w:r>
    </w:p>
    <w:p w14:paraId="4D1842D4" w14:textId="77777777" w:rsidR="00A012D0" w:rsidRPr="00962B3F" w:rsidRDefault="00A012D0" w:rsidP="00A012D0">
      <w:pPr>
        <w:pStyle w:val="PL"/>
      </w:pPr>
      <w:r w:rsidRPr="00962B3F">
        <w:t xml:space="preserve">        </w:t>
      </w:r>
      <w:proofErr w:type="spellStart"/>
      <w:r w:rsidRPr="00962B3F">
        <w:t>plmn</w:t>
      </w:r>
      <w:proofErr w:type="spellEnd"/>
      <w:r w:rsidRPr="00962B3F">
        <w:t xml:space="preserve">-Index                       </w:t>
      </w:r>
      <w:r w:rsidRPr="00962B3F">
        <w:rPr>
          <w:color w:val="993366"/>
        </w:rPr>
        <w:t>INTEGER</w:t>
      </w:r>
      <w:r w:rsidRPr="00962B3F">
        <w:t xml:space="preserve"> (1..maxPLMN),</w:t>
      </w:r>
    </w:p>
    <w:p w14:paraId="36C8AC69" w14:textId="77777777" w:rsidR="00A012D0" w:rsidRPr="00962B3F" w:rsidRDefault="00A012D0" w:rsidP="00A012D0">
      <w:pPr>
        <w:pStyle w:val="PL"/>
      </w:pPr>
      <w:r w:rsidRPr="00962B3F">
        <w:t xml:space="preserve">        </w:t>
      </w:r>
      <w:proofErr w:type="spellStart"/>
      <w:r w:rsidRPr="00962B3F">
        <w:t>explicitValue</w:t>
      </w:r>
      <w:proofErr w:type="spellEnd"/>
      <w:r w:rsidRPr="00962B3F">
        <w:t xml:space="preserve">                    PLMN-Identity</w:t>
      </w:r>
    </w:p>
    <w:p w14:paraId="4B8B197A" w14:textId="77777777" w:rsidR="00A012D0" w:rsidRPr="00962B3F" w:rsidRDefault="00A012D0" w:rsidP="00A012D0">
      <w:pPr>
        <w:pStyle w:val="PL"/>
      </w:pPr>
      <w:r w:rsidRPr="00962B3F">
        <w:t xml:space="preserve">    },</w:t>
      </w:r>
    </w:p>
    <w:p w14:paraId="325D354A" w14:textId="77777777" w:rsidR="00A012D0" w:rsidRPr="00962B3F" w:rsidRDefault="00A012D0" w:rsidP="00A012D0">
      <w:pPr>
        <w:pStyle w:val="PL"/>
      </w:pPr>
      <w:r w:rsidRPr="00962B3F">
        <w:t xml:space="preserve">    serviceId-r17                    </w:t>
      </w:r>
      <w:r w:rsidRPr="00962B3F">
        <w:rPr>
          <w:color w:val="993366"/>
        </w:rPr>
        <w:t>OCTET</w:t>
      </w:r>
      <w:r w:rsidRPr="00962B3F">
        <w:t xml:space="preserve"> </w:t>
      </w:r>
      <w:r w:rsidRPr="00962B3F">
        <w:rPr>
          <w:color w:val="993366"/>
        </w:rPr>
        <w:t>STRING</w:t>
      </w:r>
      <w:r w:rsidRPr="00962B3F">
        <w:t xml:space="preserve"> (</w:t>
      </w:r>
      <w:r w:rsidRPr="00962B3F">
        <w:rPr>
          <w:color w:val="993366"/>
        </w:rPr>
        <w:t>SIZE</w:t>
      </w:r>
      <w:r w:rsidRPr="00962B3F">
        <w:t xml:space="preserve"> (3))</w:t>
      </w:r>
    </w:p>
    <w:p w14:paraId="3CD214CD" w14:textId="77777777" w:rsidR="00A012D0" w:rsidRPr="00962B3F" w:rsidRDefault="00A012D0" w:rsidP="00A012D0">
      <w:pPr>
        <w:pStyle w:val="PL"/>
      </w:pPr>
      <w:r w:rsidRPr="00962B3F">
        <w:t>}</w:t>
      </w:r>
    </w:p>
    <w:p w14:paraId="381EDE88" w14:textId="713C7BF3" w:rsidR="00A012D0" w:rsidRDefault="00A012D0" w:rsidP="00A06D42"/>
    <w:p w14:paraId="082138C4" w14:textId="77777777" w:rsidR="00A012D0" w:rsidRDefault="00A012D0" w:rsidP="00A06D42">
      <w:r>
        <w:t xml:space="preserve">So, one can see that there is the possibility to signal the PLMN ID either as an index (referring to SIB1 content) or explicitly. </w:t>
      </w:r>
    </w:p>
    <w:p w14:paraId="3FB4C80A" w14:textId="77777777" w:rsidR="00A012D0" w:rsidRDefault="00A012D0" w:rsidP="00A06D42">
      <w:r>
        <w:t xml:space="preserve">If the TMGI would not be a “native” TMGI, i.e. containing a PLMN ID supported by the cell and hence by the 5GC connected to the serving </w:t>
      </w:r>
      <w:proofErr w:type="spellStart"/>
      <w:r>
        <w:t>gNB</w:t>
      </w:r>
      <w:proofErr w:type="spellEnd"/>
      <w:r>
        <w:t>, this optimised signalling would not be possible. This is not a “show-stopper”, but important to mention, in our view.</w:t>
      </w:r>
    </w:p>
    <w:p w14:paraId="098AA2D5" w14:textId="557CEF05" w:rsidR="00EA739D" w:rsidRDefault="00EA739D" w:rsidP="00EA739D">
      <w:pPr>
        <w:pStyle w:val="Eyecatcher"/>
      </w:pPr>
      <w:r>
        <w:t xml:space="preserve">Observation </w:t>
      </w:r>
      <w:r w:rsidR="00580162">
        <w:t>6</w:t>
      </w:r>
      <w:r>
        <w:t xml:space="preserve">: If the TMGI is not a “native” TMGI, i.e. not containing a PLMN ID broadcast in SIB1, on RRC; the PLMN ID in the signalled TMGI needs to be signalled explicitly and cannot refer to the PLMN index. </w:t>
      </w:r>
    </w:p>
    <w:p w14:paraId="71B3F8DD" w14:textId="77777777" w:rsidR="00A012D0" w:rsidRPr="007A1EC5" w:rsidRDefault="00A012D0" w:rsidP="007A1EC5">
      <w:pPr>
        <w:pStyle w:val="Heading3"/>
        <w:rPr>
          <w:b/>
          <w:bCs w:val="0"/>
          <w:sz w:val="20"/>
          <w:szCs w:val="20"/>
        </w:rPr>
      </w:pPr>
      <w:r w:rsidRPr="007A1EC5">
        <w:rPr>
          <w:b/>
          <w:bCs w:val="0"/>
          <w:sz w:val="20"/>
          <w:szCs w:val="20"/>
        </w:rPr>
        <w:t>Supporting MBS Sessions in SNPNs</w:t>
      </w:r>
    </w:p>
    <w:p w14:paraId="5BE9C492" w14:textId="637D1E48" w:rsidR="00A012D0" w:rsidRDefault="00A012D0" w:rsidP="00A06D42">
      <w:r>
        <w:t xml:space="preserve">As per 23.247, </w:t>
      </w:r>
      <w:r w:rsidRPr="00A012D0">
        <w:rPr>
          <w:rFonts w:eastAsia="DengXian"/>
          <w:i/>
          <w:iCs/>
        </w:rPr>
        <w:t>In 5GS internal signalling the PLMN ID, included in TMGI, is complemented with the NID to identify an SNPN</w:t>
      </w:r>
      <w:r w:rsidRPr="00A012D0">
        <w:rPr>
          <w:rFonts w:eastAsia="DengXian"/>
        </w:rPr>
        <w:t>.</w:t>
      </w:r>
    </w:p>
    <w:p w14:paraId="6E9AEB1A" w14:textId="4CAB1FA4" w:rsidR="00A012D0" w:rsidRDefault="00A012D0" w:rsidP="00A06D42">
      <w:r>
        <w:t xml:space="preserve">On </w:t>
      </w:r>
      <w:proofErr w:type="spellStart"/>
      <w:r>
        <w:t>Uu</w:t>
      </w:r>
      <w:proofErr w:type="spellEnd"/>
      <w:r>
        <w:t xml:space="preserve">, </w:t>
      </w:r>
      <w:proofErr w:type="spellStart"/>
      <w:r>
        <w:t>gNBs</w:t>
      </w:r>
      <w:proofErr w:type="spellEnd"/>
      <w:r>
        <w:t xml:space="preserve"> may share SNPNs, physical cells may broadcast in SIB1 (associated to different Cell-IDs) PLMN and SNPN IDs. </w:t>
      </w:r>
    </w:p>
    <w:p w14:paraId="386C1BCE" w14:textId="38501051" w:rsidR="00A012D0" w:rsidRDefault="00A012D0" w:rsidP="00A06D42">
      <w:r>
        <w:t xml:space="preserve">On NG (and F1) TMGIs may be signalled together with a NID in order to globally identify an MBS Session associated with an SNPN. </w:t>
      </w:r>
    </w:p>
    <w:p w14:paraId="728ED2E2" w14:textId="08A066BC" w:rsidR="00A012D0" w:rsidRDefault="00A012D0" w:rsidP="00A06D42">
      <w:r>
        <w:t>Looking at the structure of the TMGI definition, it appears that signalling the SNPN-ID (i.e. PLMN-ID and NID) as part of the TMGI is only possible by means of the PLMN index, i.e. referring to SIB1 content of the same cell.</w:t>
      </w:r>
    </w:p>
    <w:p w14:paraId="24546C2E" w14:textId="20A4D737" w:rsidR="00EA739D" w:rsidRDefault="00EA739D" w:rsidP="00EA739D">
      <w:pPr>
        <w:pStyle w:val="Eyecatcher"/>
      </w:pPr>
      <w:r>
        <w:t xml:space="preserve">Observation </w:t>
      </w:r>
      <w:r w:rsidR="00580162">
        <w:t>7</w:t>
      </w:r>
      <w:r>
        <w:t xml:space="preserve">: If the TMGI is associated with an SNPN and not a “native” TMGI, i.e. not containing an SNPN ID broadcast in SIB1, RRC cannot support resource optimisation for RAN sharing scenarios with participating SNPNs. </w:t>
      </w:r>
    </w:p>
    <w:p w14:paraId="2E4F5E9E" w14:textId="77777777" w:rsidR="00E96D47" w:rsidRDefault="00E96D47" w:rsidP="00A06D42"/>
    <w:p w14:paraId="5DE16113" w14:textId="6B76EA6D" w:rsidR="00054144" w:rsidRPr="007A1EC5" w:rsidRDefault="00054144" w:rsidP="007A1EC5">
      <w:pPr>
        <w:pStyle w:val="Heading3"/>
        <w:rPr>
          <w:b/>
          <w:bCs w:val="0"/>
          <w:sz w:val="20"/>
          <w:szCs w:val="20"/>
        </w:rPr>
      </w:pPr>
      <w:proofErr w:type="spellStart"/>
      <w:r w:rsidRPr="007A1EC5">
        <w:rPr>
          <w:b/>
          <w:bCs w:val="0"/>
          <w:i/>
          <w:iCs/>
          <w:sz w:val="20"/>
          <w:szCs w:val="20"/>
        </w:rPr>
        <w:t>MBSBroadcastConfiguration</w:t>
      </w:r>
      <w:proofErr w:type="spellEnd"/>
      <w:r w:rsidRPr="007A1EC5">
        <w:rPr>
          <w:b/>
          <w:bCs w:val="0"/>
          <w:sz w:val="20"/>
          <w:szCs w:val="20"/>
        </w:rPr>
        <w:t xml:space="preserve"> message definition and mapping of TMGIs to G-RNTIs:</w:t>
      </w:r>
    </w:p>
    <w:p w14:paraId="53772734" w14:textId="77777777" w:rsidR="00054144" w:rsidRPr="00962B3F" w:rsidRDefault="00054144" w:rsidP="00054144">
      <w:pPr>
        <w:pStyle w:val="PL"/>
      </w:pPr>
      <w:r w:rsidRPr="00962B3F">
        <w:t xml:space="preserve">MBSBroadcastConfiguration-r17-IEs ::= </w:t>
      </w:r>
      <w:r w:rsidRPr="00962B3F">
        <w:rPr>
          <w:color w:val="993366"/>
        </w:rPr>
        <w:t>SEQUENCE</w:t>
      </w:r>
      <w:r w:rsidRPr="00962B3F">
        <w:t xml:space="preserve"> {</w:t>
      </w:r>
    </w:p>
    <w:p w14:paraId="1D27D73A" w14:textId="59ECF541" w:rsidR="00054144" w:rsidRPr="00962B3F" w:rsidRDefault="00054144" w:rsidP="00054144">
      <w:pPr>
        <w:pStyle w:val="PL"/>
        <w:rPr>
          <w:color w:val="808080"/>
        </w:rPr>
      </w:pPr>
      <w:r w:rsidRPr="00962B3F">
        <w:t xml:space="preserve">    mbs-SessionInfoList-r17               </w:t>
      </w:r>
      <w:proofErr w:type="spellStart"/>
      <w:r w:rsidRPr="00962B3F">
        <w:t>MBS-SessionInfoList-r17</w:t>
      </w:r>
      <w:proofErr w:type="spellEnd"/>
      <w:r w:rsidRPr="00962B3F">
        <w:t xml:space="preserve">            </w:t>
      </w:r>
      <w:r w:rsidRPr="00962B3F">
        <w:rPr>
          <w:color w:val="993366"/>
        </w:rPr>
        <w:t>OPTIONAL</w:t>
      </w:r>
      <w:r w:rsidRPr="00962B3F">
        <w:t xml:space="preserve">,   </w:t>
      </w:r>
      <w:r w:rsidRPr="00962B3F">
        <w:rPr>
          <w:color w:val="808080"/>
        </w:rPr>
        <w:t>-- Need R</w:t>
      </w:r>
    </w:p>
    <w:p w14:paraId="1C787DAD" w14:textId="01AE7F2D" w:rsidR="00054144" w:rsidRPr="00962B3F" w:rsidRDefault="00054144" w:rsidP="00054144">
      <w:pPr>
        <w:pStyle w:val="PL"/>
        <w:rPr>
          <w:color w:val="808080"/>
        </w:rPr>
      </w:pPr>
      <w:r w:rsidRPr="00962B3F">
        <w:t xml:space="preserve">    mbs-NeighbourCellList-r17             </w:t>
      </w:r>
      <w:proofErr w:type="spellStart"/>
      <w:r w:rsidRPr="00962B3F">
        <w:t>MBS-NeighbourCellList-r17</w:t>
      </w:r>
      <w:proofErr w:type="spellEnd"/>
      <w:r w:rsidRPr="00962B3F">
        <w:t xml:space="preserve">          </w:t>
      </w:r>
      <w:r w:rsidRPr="00962B3F">
        <w:rPr>
          <w:color w:val="993366"/>
        </w:rPr>
        <w:t>OPTIONAL</w:t>
      </w:r>
      <w:r w:rsidRPr="00962B3F">
        <w:t xml:space="preserve">,   </w:t>
      </w:r>
      <w:r w:rsidRPr="00962B3F">
        <w:rPr>
          <w:color w:val="808080"/>
        </w:rPr>
        <w:t>-- Need S</w:t>
      </w:r>
    </w:p>
    <w:p w14:paraId="42646973" w14:textId="4AEA2AEC" w:rsidR="00054144" w:rsidRDefault="00054144" w:rsidP="00A06D42"/>
    <w:p w14:paraId="2E2C1CE0" w14:textId="77777777" w:rsidR="00054144" w:rsidRPr="00962B3F" w:rsidRDefault="00054144" w:rsidP="00054144">
      <w:pPr>
        <w:pStyle w:val="PL"/>
      </w:pPr>
      <w:r w:rsidRPr="00962B3F">
        <w:t xml:space="preserve">MBS-SessionInfoList-r17 ::=      </w:t>
      </w:r>
      <w:r w:rsidRPr="00962B3F">
        <w:rPr>
          <w:color w:val="993366"/>
        </w:rPr>
        <w:t>SEQUENCE</w:t>
      </w:r>
      <w:r w:rsidRPr="00962B3F">
        <w:t xml:space="preserve"> (</w:t>
      </w:r>
      <w:r w:rsidRPr="00962B3F">
        <w:rPr>
          <w:color w:val="993366"/>
        </w:rPr>
        <w:t>SIZE</w:t>
      </w:r>
      <w:r w:rsidRPr="00962B3F">
        <w:t xml:space="preserve"> (1..maxNrofMBS-Session-r17))</w:t>
      </w:r>
      <w:r w:rsidRPr="00962B3F">
        <w:rPr>
          <w:color w:val="993366"/>
        </w:rPr>
        <w:t xml:space="preserve"> OF</w:t>
      </w:r>
      <w:r w:rsidRPr="00962B3F">
        <w:t xml:space="preserve"> MBS-SessionInfo-r17</w:t>
      </w:r>
    </w:p>
    <w:p w14:paraId="6D5C8BBF" w14:textId="77777777" w:rsidR="00054144" w:rsidRPr="00962B3F" w:rsidRDefault="00054144" w:rsidP="00054144">
      <w:pPr>
        <w:pStyle w:val="PL"/>
      </w:pPr>
    </w:p>
    <w:p w14:paraId="126A1E71" w14:textId="77777777" w:rsidR="00054144" w:rsidRPr="00962B3F" w:rsidRDefault="00054144" w:rsidP="00054144">
      <w:pPr>
        <w:pStyle w:val="PL"/>
      </w:pPr>
      <w:r w:rsidRPr="00962B3F">
        <w:t xml:space="preserve">MBS-SessionInfo-r17 ::=          </w:t>
      </w:r>
      <w:r w:rsidRPr="00962B3F">
        <w:rPr>
          <w:color w:val="993366"/>
        </w:rPr>
        <w:t>SEQUENCE</w:t>
      </w:r>
      <w:r w:rsidRPr="00962B3F">
        <w:t xml:space="preserve"> {</w:t>
      </w:r>
    </w:p>
    <w:p w14:paraId="0C1E98DD" w14:textId="77777777" w:rsidR="00054144" w:rsidRPr="00962B3F" w:rsidRDefault="00054144" w:rsidP="00054144">
      <w:pPr>
        <w:pStyle w:val="PL"/>
      </w:pPr>
      <w:r w:rsidRPr="00962B3F">
        <w:t xml:space="preserve">    mbs-SessionId-r17                TMGI-r17,</w:t>
      </w:r>
    </w:p>
    <w:p w14:paraId="0CDB1886" w14:textId="5C5D4624" w:rsidR="00054144" w:rsidRDefault="00054144" w:rsidP="00054144">
      <w:pPr>
        <w:pStyle w:val="PL"/>
      </w:pPr>
      <w:r w:rsidRPr="00962B3F">
        <w:t xml:space="preserve">    g-RNTI-r17                       RNTI-Value,</w:t>
      </w:r>
    </w:p>
    <w:p w14:paraId="0158B10B" w14:textId="428C9DEE" w:rsidR="007A1EC5" w:rsidRDefault="007A1EC5" w:rsidP="00054144">
      <w:pPr>
        <w:pStyle w:val="PL"/>
      </w:pPr>
    </w:p>
    <w:p w14:paraId="63167ACE" w14:textId="77777777" w:rsidR="007A1EC5" w:rsidRPr="00962B3F" w:rsidRDefault="007A1EC5" w:rsidP="007A1EC5">
      <w:pPr>
        <w:pStyle w:val="PL"/>
        <w:rPr>
          <w:color w:val="808080"/>
        </w:rPr>
      </w:pPr>
      <w:r w:rsidRPr="00962B3F">
        <w:t xml:space="preserve">maxNrofMBS-Session-r17                  </w:t>
      </w:r>
      <w:r w:rsidRPr="00962B3F">
        <w:rPr>
          <w:color w:val="993366"/>
        </w:rPr>
        <w:t>INTEGER</w:t>
      </w:r>
      <w:r w:rsidRPr="00962B3F">
        <w:t xml:space="preserve"> ::= 1024    </w:t>
      </w:r>
      <w:r w:rsidRPr="00962B3F">
        <w:rPr>
          <w:color w:val="808080"/>
        </w:rPr>
        <w:t>-- Maximum number of MBS sessions provided in MBS broadcast in a cell</w:t>
      </w:r>
    </w:p>
    <w:p w14:paraId="27939060" w14:textId="77777777" w:rsidR="007A1EC5" w:rsidRPr="00962B3F" w:rsidRDefault="007A1EC5" w:rsidP="00054144">
      <w:pPr>
        <w:pStyle w:val="PL"/>
      </w:pPr>
    </w:p>
    <w:p w14:paraId="3B203C57" w14:textId="5D8983A1" w:rsidR="00054144" w:rsidRDefault="00054144" w:rsidP="00A06D42">
      <w:r>
        <w:lastRenderedPageBreak/>
        <w:t xml:space="preserve">As can be seen above, it is possible (and was discusses as such in RAN2), that it is possible to map more than one TMGI on a G-RNTI. The above quote from 38.331 shows very nicely that it is indeed possible to signal “native” TMGIs to </w:t>
      </w:r>
      <w:proofErr w:type="spellStart"/>
      <w:r>
        <w:t>gNBs</w:t>
      </w:r>
      <w:proofErr w:type="spellEnd"/>
      <w:r>
        <w:t xml:space="preserve"> from participating 5GCs and to use these TMGIs also explicitly in MCCH. </w:t>
      </w:r>
    </w:p>
    <w:p w14:paraId="2889B2BB" w14:textId="4B29105B" w:rsidR="00054144" w:rsidRDefault="00054144" w:rsidP="00054144">
      <w:pPr>
        <w:pStyle w:val="Eyecatcher"/>
      </w:pPr>
      <w:r>
        <w:t xml:space="preserve">Observation </w:t>
      </w:r>
      <w:r w:rsidR="00580162">
        <w:t>8</w:t>
      </w:r>
      <w:r>
        <w:t xml:space="preserve">: 38.331 indeed supports mapping of TMGIs to the same G-RNTI, hence </w:t>
      </w:r>
      <w:r w:rsidR="007A1EC5">
        <w:t xml:space="preserve">providing “native” TMGIs to the </w:t>
      </w:r>
      <w:proofErr w:type="spellStart"/>
      <w:r w:rsidR="007A1EC5">
        <w:t>gNB</w:t>
      </w:r>
      <w:proofErr w:type="spellEnd"/>
      <w:r w:rsidR="007A1EC5">
        <w:t xml:space="preserve"> and signalling “native” TMGIs in MCCH is supported.</w:t>
      </w:r>
      <w:r>
        <w:t xml:space="preserve"> </w:t>
      </w:r>
    </w:p>
    <w:p w14:paraId="3F9AB583" w14:textId="77777777" w:rsidR="00054144" w:rsidRPr="007A1EC5" w:rsidRDefault="00054144" w:rsidP="007A1EC5">
      <w:pPr>
        <w:pStyle w:val="Heading3"/>
        <w:rPr>
          <w:b/>
          <w:bCs w:val="0"/>
          <w:sz w:val="20"/>
          <w:szCs w:val="20"/>
        </w:rPr>
      </w:pPr>
      <w:proofErr w:type="spellStart"/>
      <w:r w:rsidRPr="007A1EC5">
        <w:rPr>
          <w:b/>
          <w:bCs w:val="0"/>
          <w:i/>
          <w:iCs/>
          <w:sz w:val="20"/>
          <w:szCs w:val="20"/>
        </w:rPr>
        <w:t>MBSBroadcastConfiguration</w:t>
      </w:r>
      <w:proofErr w:type="spellEnd"/>
      <w:r w:rsidRPr="007A1EC5">
        <w:rPr>
          <w:b/>
          <w:bCs w:val="0"/>
          <w:sz w:val="20"/>
          <w:szCs w:val="20"/>
        </w:rPr>
        <w:t xml:space="preserve"> message definition and mapping of TMGIs to G-RNTIs:</w:t>
      </w:r>
    </w:p>
    <w:p w14:paraId="2D323084" w14:textId="77777777" w:rsidR="00054144" w:rsidRPr="00962B3F" w:rsidRDefault="00054144" w:rsidP="00054144">
      <w:pPr>
        <w:pStyle w:val="PL"/>
      </w:pPr>
      <w:r w:rsidRPr="00962B3F">
        <w:t xml:space="preserve">MBSBroadcastConfiguration-r17-IEs ::= </w:t>
      </w:r>
      <w:r w:rsidRPr="00962B3F">
        <w:rPr>
          <w:color w:val="993366"/>
        </w:rPr>
        <w:t>SEQUENCE</w:t>
      </w:r>
      <w:r w:rsidRPr="00962B3F">
        <w:t xml:space="preserve"> {</w:t>
      </w:r>
    </w:p>
    <w:p w14:paraId="797C0E31" w14:textId="77777777" w:rsidR="00054144" w:rsidRPr="00962B3F" w:rsidRDefault="00054144" w:rsidP="00054144">
      <w:pPr>
        <w:pStyle w:val="PL"/>
        <w:rPr>
          <w:color w:val="808080"/>
        </w:rPr>
      </w:pPr>
      <w:r w:rsidRPr="00962B3F">
        <w:t xml:space="preserve">    mbs-SessionInfoList-r17               </w:t>
      </w:r>
      <w:proofErr w:type="spellStart"/>
      <w:r w:rsidRPr="00962B3F">
        <w:t>MBS-SessionInfoList-r17</w:t>
      </w:r>
      <w:proofErr w:type="spellEnd"/>
      <w:r w:rsidRPr="00962B3F">
        <w:t xml:space="preserve">            </w:t>
      </w:r>
      <w:r w:rsidRPr="00962B3F">
        <w:rPr>
          <w:color w:val="993366"/>
        </w:rPr>
        <w:t>OPTIONAL</w:t>
      </w:r>
      <w:r w:rsidRPr="00962B3F">
        <w:t xml:space="preserve">,   </w:t>
      </w:r>
      <w:r w:rsidRPr="00962B3F">
        <w:rPr>
          <w:color w:val="808080"/>
        </w:rPr>
        <w:t>-- Need R</w:t>
      </w:r>
    </w:p>
    <w:p w14:paraId="273970A1" w14:textId="77777777" w:rsidR="00054144" w:rsidRPr="00962B3F" w:rsidRDefault="00054144" w:rsidP="00054144">
      <w:pPr>
        <w:pStyle w:val="PL"/>
        <w:rPr>
          <w:color w:val="808080"/>
        </w:rPr>
      </w:pPr>
      <w:r w:rsidRPr="00962B3F">
        <w:t xml:space="preserve">    mbs-NeighbourCellList-r17             </w:t>
      </w:r>
      <w:proofErr w:type="spellStart"/>
      <w:r w:rsidRPr="007A1EC5">
        <w:rPr>
          <w:highlight w:val="cyan"/>
        </w:rPr>
        <w:t>MBS-NeighbourCellList-r17</w:t>
      </w:r>
      <w:proofErr w:type="spellEnd"/>
      <w:r w:rsidRPr="00962B3F">
        <w:t xml:space="preserve">          </w:t>
      </w:r>
      <w:r w:rsidRPr="00962B3F">
        <w:rPr>
          <w:color w:val="993366"/>
        </w:rPr>
        <w:t>OPTIONAL</w:t>
      </w:r>
      <w:r w:rsidRPr="00962B3F">
        <w:t xml:space="preserve">,   </w:t>
      </w:r>
      <w:r w:rsidRPr="00962B3F">
        <w:rPr>
          <w:color w:val="808080"/>
        </w:rPr>
        <w:t>-- Need S</w:t>
      </w:r>
    </w:p>
    <w:p w14:paraId="61A289A8" w14:textId="77777777" w:rsidR="00054144" w:rsidRDefault="00054144" w:rsidP="00054144"/>
    <w:p w14:paraId="3387E293" w14:textId="77777777" w:rsidR="00054144" w:rsidRPr="00962B3F" w:rsidRDefault="00054144" w:rsidP="00054144">
      <w:pPr>
        <w:pStyle w:val="PL"/>
      </w:pPr>
      <w:r w:rsidRPr="00962B3F">
        <w:t xml:space="preserve">MBS-SessionInfoList-r17 ::=      </w:t>
      </w:r>
      <w:r w:rsidRPr="00962B3F">
        <w:rPr>
          <w:color w:val="993366"/>
        </w:rPr>
        <w:t>SEQUENCE</w:t>
      </w:r>
      <w:r w:rsidRPr="00962B3F">
        <w:t xml:space="preserve"> (</w:t>
      </w:r>
      <w:r w:rsidRPr="00962B3F">
        <w:rPr>
          <w:color w:val="993366"/>
        </w:rPr>
        <w:t>SIZE</w:t>
      </w:r>
      <w:r w:rsidRPr="00962B3F">
        <w:t xml:space="preserve"> (1..maxNrofMBS-Session-r17))</w:t>
      </w:r>
      <w:r w:rsidRPr="00962B3F">
        <w:rPr>
          <w:color w:val="993366"/>
        </w:rPr>
        <w:t xml:space="preserve"> OF</w:t>
      </w:r>
      <w:r w:rsidRPr="00962B3F">
        <w:t xml:space="preserve"> MBS-SessionInfo-r17</w:t>
      </w:r>
    </w:p>
    <w:p w14:paraId="7F0BF47F" w14:textId="77777777" w:rsidR="00054144" w:rsidRPr="00962B3F" w:rsidRDefault="00054144" w:rsidP="00054144">
      <w:pPr>
        <w:pStyle w:val="PL"/>
      </w:pPr>
    </w:p>
    <w:p w14:paraId="08AF96D7" w14:textId="77777777" w:rsidR="00054144" w:rsidRPr="00962B3F" w:rsidRDefault="00054144" w:rsidP="00054144">
      <w:pPr>
        <w:pStyle w:val="PL"/>
      </w:pPr>
      <w:r w:rsidRPr="00962B3F">
        <w:t xml:space="preserve">MBS-SessionInfo-r17 ::=          </w:t>
      </w:r>
      <w:r w:rsidRPr="00962B3F">
        <w:rPr>
          <w:color w:val="993366"/>
        </w:rPr>
        <w:t>SEQUENCE</w:t>
      </w:r>
      <w:r w:rsidRPr="00962B3F">
        <w:t xml:space="preserve"> {</w:t>
      </w:r>
    </w:p>
    <w:p w14:paraId="533A5C65" w14:textId="77777777" w:rsidR="00054144" w:rsidRPr="00962B3F" w:rsidRDefault="00054144" w:rsidP="00054144">
      <w:pPr>
        <w:pStyle w:val="PL"/>
      </w:pPr>
      <w:r w:rsidRPr="00962B3F">
        <w:t xml:space="preserve">    mbs-SessionId-r17                TMGI-r17,</w:t>
      </w:r>
    </w:p>
    <w:p w14:paraId="00F76191" w14:textId="77777777" w:rsidR="00054144" w:rsidRPr="00962B3F" w:rsidRDefault="00054144" w:rsidP="00054144">
      <w:pPr>
        <w:pStyle w:val="PL"/>
      </w:pPr>
      <w:r w:rsidRPr="00962B3F">
        <w:t xml:space="preserve">    g-RNTI-r17                       RNTI-Value,</w:t>
      </w:r>
    </w:p>
    <w:p w14:paraId="2D66A71B" w14:textId="77777777" w:rsidR="00054144" w:rsidRPr="00962B3F" w:rsidRDefault="00054144" w:rsidP="00054144">
      <w:pPr>
        <w:pStyle w:val="PL"/>
      </w:pPr>
      <w:r w:rsidRPr="00962B3F">
        <w:t xml:space="preserve">    mrb-ListBroadcast-r17            </w:t>
      </w:r>
      <w:proofErr w:type="spellStart"/>
      <w:r w:rsidRPr="00962B3F">
        <w:t>MRB-ListBroadcast-r17</w:t>
      </w:r>
      <w:proofErr w:type="spellEnd"/>
      <w:r w:rsidRPr="00962B3F">
        <w:t>,</w:t>
      </w:r>
    </w:p>
    <w:p w14:paraId="56258FD3" w14:textId="77777777" w:rsidR="00054144" w:rsidRPr="00962B3F" w:rsidRDefault="00054144" w:rsidP="00054144">
      <w:pPr>
        <w:pStyle w:val="PL"/>
        <w:rPr>
          <w:color w:val="808080"/>
        </w:rPr>
      </w:pPr>
      <w:r w:rsidRPr="00962B3F">
        <w:t xml:space="preserve">    mtch-SchedulingInfo-r17          DRX-ConfigPTM-Index-r17                      </w:t>
      </w:r>
      <w:r w:rsidRPr="00962B3F">
        <w:rPr>
          <w:color w:val="993366"/>
        </w:rPr>
        <w:t>OPTIONAL</w:t>
      </w:r>
      <w:r w:rsidRPr="00962B3F">
        <w:t xml:space="preserve">, </w:t>
      </w:r>
      <w:r w:rsidRPr="00962B3F">
        <w:rPr>
          <w:color w:val="808080"/>
        </w:rPr>
        <w:t>-- Need S</w:t>
      </w:r>
    </w:p>
    <w:p w14:paraId="7A0B6EE6" w14:textId="77777777" w:rsidR="00054144" w:rsidRPr="00962B3F" w:rsidRDefault="00054144" w:rsidP="00054144">
      <w:pPr>
        <w:pStyle w:val="PL"/>
        <w:rPr>
          <w:color w:val="808080"/>
        </w:rPr>
      </w:pPr>
      <w:r w:rsidRPr="00962B3F">
        <w:t xml:space="preserve">    </w:t>
      </w:r>
      <w:r w:rsidRPr="007A1EC5">
        <w:rPr>
          <w:highlight w:val="cyan"/>
        </w:rPr>
        <w:t xml:space="preserve">mtch-NeighbourCell-r17           </w:t>
      </w:r>
      <w:r w:rsidRPr="007A1EC5">
        <w:rPr>
          <w:color w:val="993366"/>
          <w:highlight w:val="cyan"/>
        </w:rPr>
        <w:t>BIT</w:t>
      </w:r>
      <w:r w:rsidRPr="007A1EC5">
        <w:rPr>
          <w:highlight w:val="cyan"/>
        </w:rPr>
        <w:t xml:space="preserve"> </w:t>
      </w:r>
      <w:r w:rsidRPr="007A1EC5">
        <w:rPr>
          <w:color w:val="993366"/>
          <w:highlight w:val="cyan"/>
        </w:rPr>
        <w:t>STRING</w:t>
      </w:r>
      <w:r w:rsidRPr="007A1EC5">
        <w:rPr>
          <w:highlight w:val="cyan"/>
        </w:rPr>
        <w:t xml:space="preserve"> (</w:t>
      </w:r>
      <w:r w:rsidRPr="007A1EC5">
        <w:rPr>
          <w:color w:val="993366"/>
          <w:highlight w:val="cyan"/>
        </w:rPr>
        <w:t>SIZE</w:t>
      </w:r>
      <w:r w:rsidRPr="007A1EC5">
        <w:rPr>
          <w:highlight w:val="cyan"/>
        </w:rPr>
        <w:t>(maxNeighCellMBS-r17))</w:t>
      </w:r>
      <w:r w:rsidRPr="00962B3F">
        <w:t xml:space="preserve">       </w:t>
      </w:r>
      <w:r w:rsidRPr="00962B3F">
        <w:rPr>
          <w:color w:val="993366"/>
        </w:rPr>
        <w:t>OPTIONAL</w:t>
      </w:r>
      <w:r w:rsidRPr="00962B3F">
        <w:t xml:space="preserve">, </w:t>
      </w:r>
      <w:r w:rsidRPr="00962B3F">
        <w:rPr>
          <w:color w:val="808080"/>
        </w:rPr>
        <w:t>-- Need S</w:t>
      </w:r>
    </w:p>
    <w:p w14:paraId="23AA5C9A" w14:textId="77777777" w:rsidR="00054144" w:rsidRPr="00962B3F" w:rsidRDefault="00054144" w:rsidP="00054144">
      <w:pPr>
        <w:pStyle w:val="PL"/>
        <w:rPr>
          <w:color w:val="808080"/>
        </w:rPr>
      </w:pPr>
      <w:r w:rsidRPr="00962B3F">
        <w:t xml:space="preserve">    pdsch-ConfigIndex-r17            </w:t>
      </w:r>
      <w:proofErr w:type="spellStart"/>
      <w:r w:rsidRPr="00962B3F">
        <w:t>PDSCH-ConfigIndex-r17</w:t>
      </w:r>
      <w:proofErr w:type="spellEnd"/>
      <w:r w:rsidRPr="00962B3F">
        <w:t xml:space="preserve">                        </w:t>
      </w:r>
      <w:r w:rsidRPr="00962B3F">
        <w:rPr>
          <w:color w:val="993366"/>
        </w:rPr>
        <w:t>OPTIONAL</w:t>
      </w:r>
      <w:r w:rsidRPr="00962B3F">
        <w:t xml:space="preserve">, </w:t>
      </w:r>
      <w:r w:rsidRPr="00962B3F">
        <w:rPr>
          <w:color w:val="808080"/>
        </w:rPr>
        <w:t>-- Need S</w:t>
      </w:r>
    </w:p>
    <w:p w14:paraId="59AF3AEA" w14:textId="77777777" w:rsidR="00054144" w:rsidRPr="00962B3F" w:rsidRDefault="00054144" w:rsidP="00054144">
      <w:pPr>
        <w:pStyle w:val="PL"/>
        <w:rPr>
          <w:color w:val="808080"/>
        </w:rPr>
      </w:pPr>
      <w:r w:rsidRPr="00962B3F">
        <w:t xml:space="preserve">    mtch-SSB-MappingWindowIndex-r17  </w:t>
      </w:r>
      <w:proofErr w:type="spellStart"/>
      <w:r w:rsidRPr="00962B3F">
        <w:t>MTCH-SSB-MappingWindowIndex-r17</w:t>
      </w:r>
      <w:proofErr w:type="spellEnd"/>
      <w:r w:rsidRPr="00962B3F">
        <w:t xml:space="preserve">              </w:t>
      </w:r>
      <w:r w:rsidRPr="00962B3F">
        <w:rPr>
          <w:color w:val="993366"/>
        </w:rPr>
        <w:t>OPTIONAL</w:t>
      </w:r>
      <w:r w:rsidRPr="00962B3F">
        <w:t xml:space="preserve">  </w:t>
      </w:r>
      <w:r w:rsidRPr="00962B3F">
        <w:rPr>
          <w:color w:val="808080"/>
        </w:rPr>
        <w:t>-- Need R</w:t>
      </w:r>
    </w:p>
    <w:p w14:paraId="3273FAFA" w14:textId="77777777" w:rsidR="00054144" w:rsidRPr="00962B3F" w:rsidRDefault="00054144" w:rsidP="00054144">
      <w:pPr>
        <w:pStyle w:val="PL"/>
      </w:pPr>
      <w:r w:rsidRPr="00962B3F">
        <w:t>}</w:t>
      </w:r>
    </w:p>
    <w:p w14:paraId="6FF66F1B" w14:textId="77777777" w:rsidR="007A1EC5" w:rsidRDefault="007A1EC5" w:rsidP="007A1EC5">
      <w:pPr>
        <w:pStyle w:val="PL"/>
      </w:pPr>
    </w:p>
    <w:p w14:paraId="048FB8CE" w14:textId="33E84045" w:rsidR="007A1EC5" w:rsidRPr="00962B3F" w:rsidRDefault="007A1EC5" w:rsidP="007A1EC5">
      <w:pPr>
        <w:pStyle w:val="PL"/>
        <w:rPr>
          <w:color w:val="808080"/>
        </w:rPr>
      </w:pPr>
      <w:r w:rsidRPr="00962B3F">
        <w:t xml:space="preserve">maxNeighCellMBS-r17                     </w:t>
      </w:r>
      <w:r w:rsidRPr="00962B3F">
        <w:rPr>
          <w:color w:val="993366"/>
        </w:rPr>
        <w:t>INTEGER</w:t>
      </w:r>
      <w:r w:rsidRPr="00962B3F">
        <w:t xml:space="preserve"> ::= 8       </w:t>
      </w:r>
      <w:r w:rsidRPr="00962B3F">
        <w:rPr>
          <w:color w:val="808080"/>
        </w:rPr>
        <w:t xml:space="preserve">-- Maximum number of MBS broadcast </w:t>
      </w:r>
      <w:proofErr w:type="spellStart"/>
      <w:r w:rsidRPr="00962B3F">
        <w:rPr>
          <w:color w:val="808080"/>
        </w:rPr>
        <w:t>neighbour</w:t>
      </w:r>
      <w:proofErr w:type="spellEnd"/>
      <w:r w:rsidRPr="00962B3F">
        <w:rPr>
          <w:color w:val="808080"/>
        </w:rPr>
        <w:t xml:space="preserve"> cells</w:t>
      </w:r>
    </w:p>
    <w:p w14:paraId="267005BD" w14:textId="77777777" w:rsidR="00054144" w:rsidRDefault="00054144" w:rsidP="00054144"/>
    <w:p w14:paraId="3298F0FD" w14:textId="77777777" w:rsidR="00054144" w:rsidRPr="00962B3F" w:rsidRDefault="00054144" w:rsidP="00054144">
      <w:pPr>
        <w:pStyle w:val="PL"/>
      </w:pPr>
      <w:r w:rsidRPr="007A1EC5">
        <w:rPr>
          <w:highlight w:val="cyan"/>
        </w:rPr>
        <w:t>MBS-NeighbourCellList-r17</w:t>
      </w:r>
      <w:r w:rsidRPr="00962B3F">
        <w:t xml:space="preserve"> ::=     </w:t>
      </w:r>
      <w:r w:rsidRPr="00962B3F">
        <w:rPr>
          <w:color w:val="993366"/>
        </w:rPr>
        <w:t>SEQUENCE</w:t>
      </w:r>
      <w:r w:rsidRPr="00962B3F">
        <w:t xml:space="preserve"> (</w:t>
      </w:r>
      <w:r w:rsidRPr="00962B3F">
        <w:rPr>
          <w:color w:val="993366"/>
        </w:rPr>
        <w:t>SIZE</w:t>
      </w:r>
      <w:r w:rsidRPr="00962B3F">
        <w:t xml:space="preserve"> (0..maxNeighCellMBS-r17))</w:t>
      </w:r>
      <w:r w:rsidRPr="00962B3F">
        <w:rPr>
          <w:color w:val="993366"/>
        </w:rPr>
        <w:t xml:space="preserve"> OF</w:t>
      </w:r>
      <w:r w:rsidRPr="00962B3F">
        <w:t xml:space="preserve"> MBS-NeighbourCell-r17</w:t>
      </w:r>
    </w:p>
    <w:p w14:paraId="3061DEC5" w14:textId="77777777" w:rsidR="00054144" w:rsidRPr="00962B3F" w:rsidRDefault="00054144" w:rsidP="00054144">
      <w:pPr>
        <w:pStyle w:val="PL"/>
      </w:pPr>
    </w:p>
    <w:p w14:paraId="35AC02A2" w14:textId="77777777" w:rsidR="00054144" w:rsidRPr="00962B3F" w:rsidRDefault="00054144" w:rsidP="00054144">
      <w:pPr>
        <w:pStyle w:val="PL"/>
      </w:pPr>
      <w:r w:rsidRPr="00962B3F">
        <w:t xml:space="preserve">MBS-NeighbourCell-r17 ::=         </w:t>
      </w:r>
      <w:r w:rsidRPr="00962B3F">
        <w:rPr>
          <w:color w:val="993366"/>
        </w:rPr>
        <w:t>SEQUENCE</w:t>
      </w:r>
      <w:r w:rsidRPr="00962B3F">
        <w:t xml:space="preserve"> {</w:t>
      </w:r>
    </w:p>
    <w:p w14:paraId="22EDDD3E" w14:textId="77777777" w:rsidR="00054144" w:rsidRPr="00962B3F" w:rsidRDefault="00054144" w:rsidP="00054144">
      <w:pPr>
        <w:pStyle w:val="PL"/>
      </w:pPr>
      <w:r w:rsidRPr="00962B3F">
        <w:t xml:space="preserve">    physCellId-r17                    </w:t>
      </w:r>
      <w:proofErr w:type="spellStart"/>
      <w:r w:rsidRPr="00962B3F">
        <w:t>PhysCellId</w:t>
      </w:r>
      <w:proofErr w:type="spellEnd"/>
      <w:r w:rsidRPr="00962B3F">
        <w:t>,</w:t>
      </w:r>
    </w:p>
    <w:p w14:paraId="1A4D4594" w14:textId="77777777" w:rsidR="00054144" w:rsidRPr="00962B3F" w:rsidRDefault="00054144" w:rsidP="00054144">
      <w:pPr>
        <w:pStyle w:val="PL"/>
        <w:rPr>
          <w:color w:val="808080"/>
        </w:rPr>
      </w:pPr>
      <w:r w:rsidRPr="00962B3F">
        <w:t xml:space="preserve">    carrierFreq-r17                   ARFCN-</w:t>
      </w:r>
      <w:proofErr w:type="spellStart"/>
      <w:r w:rsidRPr="00962B3F">
        <w:t>ValueNR</w:t>
      </w:r>
      <w:proofErr w:type="spellEnd"/>
      <w:r w:rsidRPr="00962B3F">
        <w:t xml:space="preserve">                               </w:t>
      </w:r>
      <w:r w:rsidRPr="00962B3F">
        <w:rPr>
          <w:color w:val="993366"/>
        </w:rPr>
        <w:t>OPTIONAL</w:t>
      </w:r>
      <w:r w:rsidRPr="00962B3F">
        <w:t xml:space="preserve">  </w:t>
      </w:r>
      <w:r w:rsidRPr="00962B3F">
        <w:rPr>
          <w:color w:val="808080"/>
        </w:rPr>
        <w:t>-- Need S</w:t>
      </w:r>
    </w:p>
    <w:p w14:paraId="2172FF22" w14:textId="77777777" w:rsidR="00054144" w:rsidRPr="00962B3F" w:rsidRDefault="00054144" w:rsidP="00054144">
      <w:pPr>
        <w:pStyle w:val="PL"/>
      </w:pPr>
      <w:r w:rsidRPr="00962B3F">
        <w:t>}</w:t>
      </w:r>
    </w:p>
    <w:p w14:paraId="53B26FF3" w14:textId="77777777" w:rsidR="00054144" w:rsidRDefault="00054144" w:rsidP="00054144"/>
    <w:p w14:paraId="69DC8FCA" w14:textId="77777777" w:rsidR="007A1EC5" w:rsidRDefault="007A1EC5" w:rsidP="007A1EC5">
      <w:r>
        <w:t>In order to support mobility for broadcast sessions between shared and non-shared areas, it is important that MCCH information supports provision neighbour cell information per participating PLMN/SNPN.</w:t>
      </w:r>
    </w:p>
    <w:p w14:paraId="529899F6" w14:textId="77777777" w:rsidR="007A1EC5" w:rsidRDefault="007A1EC5" w:rsidP="007A1EC5">
      <w:r>
        <w:t>If a single TMGI (as of option a) above) would be used in the RAN sharing scenario, this would not be possible.</w:t>
      </w:r>
    </w:p>
    <w:p w14:paraId="0ACAD41F" w14:textId="2729DAE2" w:rsidR="007A1EC5" w:rsidRDefault="007A1EC5" w:rsidP="007A1EC5">
      <w:pPr>
        <w:pStyle w:val="Eyecatcher"/>
      </w:pPr>
      <w:r>
        <w:t xml:space="preserve">Observation </w:t>
      </w:r>
      <w:r w:rsidR="00580162">
        <w:t>9</w:t>
      </w:r>
      <w:r>
        <w:t xml:space="preserve">: For support of mobility for broadcast session between shared and non-shared areas, </w:t>
      </w:r>
      <w:proofErr w:type="spellStart"/>
      <w:r>
        <w:t>mtch-NeighbourCell</w:t>
      </w:r>
      <w:proofErr w:type="spellEnd"/>
      <w:r>
        <w:t xml:space="preserve"> information would need to be provide</w:t>
      </w:r>
      <w:r w:rsidR="00214291">
        <w:t>d</w:t>
      </w:r>
      <w:r>
        <w:t xml:space="preserve"> on a per-participating-PLMN/SNPN basis. This is only possible, if “native” TMGIs are signalled in MCCH. </w:t>
      </w:r>
    </w:p>
    <w:p w14:paraId="5425480C" w14:textId="668BEE18" w:rsidR="007A1EC5" w:rsidRDefault="007A1EC5" w:rsidP="007A1EC5">
      <w:r>
        <w:t xml:space="preserve">Looking at the current definition of the </w:t>
      </w:r>
      <w:r w:rsidRPr="007A1EC5">
        <w:rPr>
          <w:i/>
          <w:iCs/>
        </w:rPr>
        <w:t>MBS-</w:t>
      </w:r>
      <w:proofErr w:type="spellStart"/>
      <w:r w:rsidRPr="007A1EC5">
        <w:rPr>
          <w:i/>
          <w:iCs/>
        </w:rPr>
        <w:t>NeighbourCellList</w:t>
      </w:r>
      <w:proofErr w:type="spellEnd"/>
      <w:r>
        <w:t xml:space="preserve"> IE, it can be seen that the size of the list is rather limited. We could try to discuss whether we can ask RAN2 </w:t>
      </w:r>
      <w:r w:rsidR="009D6495">
        <w:t>whether there is any possibility to increase its size.</w:t>
      </w:r>
      <w:r>
        <w:t xml:space="preserve"> </w:t>
      </w:r>
    </w:p>
    <w:p w14:paraId="773B3826" w14:textId="39B52A24" w:rsidR="00DE5DD3" w:rsidRDefault="009D6495" w:rsidP="009D6495">
      <w:pPr>
        <w:pStyle w:val="Eyecatcher"/>
      </w:pPr>
      <w:r>
        <w:t xml:space="preserve">Observation </w:t>
      </w:r>
      <w:r w:rsidR="00580162">
        <w:t>10</w:t>
      </w:r>
      <w:r>
        <w:t xml:space="preserve">: The size of the </w:t>
      </w:r>
      <w:r w:rsidRPr="007A1EC5">
        <w:rPr>
          <w:i/>
          <w:iCs/>
        </w:rPr>
        <w:t>MBS-</w:t>
      </w:r>
      <w:proofErr w:type="spellStart"/>
      <w:r w:rsidRPr="007A1EC5">
        <w:rPr>
          <w:i/>
          <w:iCs/>
        </w:rPr>
        <w:t>NeighbourCellList</w:t>
      </w:r>
      <w:proofErr w:type="spellEnd"/>
      <w:r>
        <w:t xml:space="preserve"> IE is limited to 8 entries. This does not seem to be fit for RAN sharing scenarios. </w:t>
      </w:r>
    </w:p>
    <w:p w14:paraId="4A7DEF5D" w14:textId="06E21911" w:rsidR="009D6495" w:rsidRDefault="00DE5DD3" w:rsidP="009D6495">
      <w:pPr>
        <w:pStyle w:val="Eyecatcher"/>
      </w:pPr>
      <w:r>
        <w:t xml:space="preserve">Proposal </w:t>
      </w:r>
      <w:r w:rsidR="00580162">
        <w:t>2</w:t>
      </w:r>
      <w:r>
        <w:t>:</w:t>
      </w:r>
      <w:r>
        <w:tab/>
        <w:t xml:space="preserve">Liaise </w:t>
      </w:r>
      <w:r w:rsidR="009D6495">
        <w:t>RAN2 whether Rel-17 solutions would be available having in mind support for Rel-17 UEs</w:t>
      </w:r>
      <w:r w:rsidR="00E460DF">
        <w:t xml:space="preserve"> with an increased size for the </w:t>
      </w:r>
      <w:r w:rsidR="00E460DF" w:rsidRPr="007A1EC5">
        <w:rPr>
          <w:i/>
          <w:iCs/>
        </w:rPr>
        <w:t>MBS-</w:t>
      </w:r>
      <w:proofErr w:type="spellStart"/>
      <w:r w:rsidR="00E460DF" w:rsidRPr="007A1EC5">
        <w:rPr>
          <w:i/>
          <w:iCs/>
        </w:rPr>
        <w:t>NeighbourCellList</w:t>
      </w:r>
      <w:proofErr w:type="spellEnd"/>
      <w:r w:rsidR="00E460DF" w:rsidRPr="00E460DF">
        <w:t xml:space="preserve"> to </w:t>
      </w:r>
      <w:r w:rsidR="00E460DF">
        <w:t xml:space="preserve">allow </w:t>
      </w:r>
      <w:r w:rsidR="00E460DF" w:rsidRPr="00E460DF">
        <w:t>cover</w:t>
      </w:r>
      <w:r w:rsidR="00E460DF">
        <w:t>ing</w:t>
      </w:r>
      <w:r w:rsidR="00E460DF" w:rsidRPr="00E460DF">
        <w:t xml:space="preserve"> sharing scenarios</w:t>
      </w:r>
      <w:r w:rsidR="009D6495">
        <w:t xml:space="preserve">. </w:t>
      </w:r>
    </w:p>
    <w:p w14:paraId="797C4CFF" w14:textId="2CBA9A55" w:rsidR="00E3682D" w:rsidRDefault="00E3682D" w:rsidP="00B32055">
      <w:pPr>
        <w:pStyle w:val="Heading2"/>
      </w:pPr>
      <w:r>
        <w:t>2.3</w:t>
      </w:r>
      <w:r>
        <w:tab/>
        <w:t>Support of RAN sharing with multiple cell-ID broadcast</w:t>
      </w:r>
    </w:p>
    <w:p w14:paraId="0DBF72FE" w14:textId="42210A8E" w:rsidR="00B32055" w:rsidRDefault="007D6A05" w:rsidP="00DB5364">
      <w:r>
        <w:t xml:space="preserve">From an NG-RAN point of view, RAN sharing scenarios with multiple cell-ID broadcast will only shift the issue of providing sufficient information to identify MBS Sessions with identical MBS session data from the CU to the DU, so it can be regarded as a completely </w:t>
      </w:r>
      <w:proofErr w:type="spellStart"/>
      <w:r>
        <w:t>gNB</w:t>
      </w:r>
      <w:proofErr w:type="spellEnd"/>
      <w:r>
        <w:t>-internal issues.</w:t>
      </w:r>
    </w:p>
    <w:p w14:paraId="089EBF62" w14:textId="2F06279C" w:rsidR="007D6A05" w:rsidRDefault="007D6A05" w:rsidP="00DB5364">
      <w:r>
        <w:t xml:space="preserve">There is no reason to not support this RAN sharing scenario. </w:t>
      </w:r>
    </w:p>
    <w:p w14:paraId="1A2A4837" w14:textId="153A19D2" w:rsidR="007D6A05" w:rsidRDefault="007D6A05" w:rsidP="00DB5364">
      <w:r>
        <w:t>While for MOCN in option b), as highlighted in section 2.1, each 5GC would provide a “native” TMGI and a common MBS service identification, the CU would need to provide a list of TMGIs to the DU via F1.</w:t>
      </w:r>
    </w:p>
    <w:p w14:paraId="20954237" w14:textId="1C743DF0" w:rsidR="007D6A05" w:rsidRDefault="007D6A05" w:rsidP="00DB5364">
      <w:r>
        <w:lastRenderedPageBreak/>
        <w:t xml:space="preserve">For RAN sharing with multiple cell-ID broadcast, it would be the CU of each logical </w:t>
      </w:r>
      <w:proofErr w:type="spellStart"/>
      <w:r>
        <w:t>gNB</w:t>
      </w:r>
      <w:proofErr w:type="spellEnd"/>
      <w:r>
        <w:t xml:space="preserve"> that passes the information received from its 5GC, i.e. a “native” TMGI and a common MBS service identification to the DU.</w:t>
      </w:r>
    </w:p>
    <w:p w14:paraId="3278CE7F" w14:textId="4020C29D" w:rsidR="007D6A05" w:rsidRDefault="007D6A05" w:rsidP="00DB5364">
      <w:r>
        <w:t xml:space="preserve">The physical implementation of </w:t>
      </w:r>
      <w:r w:rsidR="00DE5DD3">
        <w:t xml:space="preserve">all </w:t>
      </w:r>
      <w:r>
        <w:t xml:space="preserve">the </w:t>
      </w:r>
      <w:r w:rsidR="00DE5DD3">
        <w:t xml:space="preserve">logical </w:t>
      </w:r>
      <w:r>
        <w:t>DU would then need to identify those MBS sessions with identical content and configure MCCH accordingly.</w:t>
      </w:r>
    </w:p>
    <w:p w14:paraId="65BDA9B4" w14:textId="73A92012" w:rsidR="00DE5DD3" w:rsidRDefault="00DE5DD3" w:rsidP="00DE5DD3">
      <w:pPr>
        <w:pStyle w:val="Eyecatcher"/>
      </w:pPr>
      <w:r>
        <w:t xml:space="preserve">Observation </w:t>
      </w:r>
      <w:r w:rsidR="00580162">
        <w:t>11</w:t>
      </w:r>
      <w:r>
        <w:t xml:space="preserve">: The difference between MOCN and RAN sharing with multiple cell-ID broadcast would lie in the CU being aware of the support of multiple cell-ID broadcast and providing information received from the 5GC to the DU (“native” TMGI and common MBS service identifier) so that the physical implementation of all the logical DUs would configure the MCCH accordingly. The difference hence lies in F1 protocol details only. </w:t>
      </w:r>
    </w:p>
    <w:p w14:paraId="677D134F" w14:textId="2A341B9D" w:rsidR="00DE5DD3" w:rsidRDefault="00C3448C" w:rsidP="00DE5DD3">
      <w:pPr>
        <w:pStyle w:val="Eyecatcher"/>
      </w:pPr>
      <w:r>
        <w:t>Proposal</w:t>
      </w:r>
      <w:r w:rsidR="00DE5DD3">
        <w:t xml:space="preserve"> </w:t>
      </w:r>
      <w:r w:rsidR="00580162">
        <w:t>3</w:t>
      </w:r>
      <w:r w:rsidR="00DE5DD3">
        <w:t>:</w:t>
      </w:r>
      <w:r>
        <w:tab/>
        <w:t xml:space="preserve">Agree support of resource efficiency for MBS sessions for RAN sharing with multiple </w:t>
      </w:r>
      <w:r w:rsidR="00DE5DD3">
        <w:t xml:space="preserve"> </w:t>
      </w:r>
      <w:r>
        <w:t xml:space="preserve">Cell-ID broadcast scenarios </w:t>
      </w:r>
      <w:r w:rsidR="00E460DF">
        <w:t>with</w:t>
      </w:r>
      <w:r w:rsidR="00580162">
        <w:t xml:space="preserve">in the scope of the Rel-18 work item </w:t>
      </w:r>
      <w:r>
        <w:t>and work on further details (mainly F1</w:t>
      </w:r>
      <w:r w:rsidR="00875C4C">
        <w:t xml:space="preserve"> and stage 2</w:t>
      </w:r>
      <w:r>
        <w:t>).</w:t>
      </w:r>
      <w:r w:rsidR="00DE5DD3">
        <w:t xml:space="preserve"> </w:t>
      </w:r>
    </w:p>
    <w:p w14:paraId="1C75B7D5" w14:textId="04D3EA91" w:rsidR="00875C4C" w:rsidRDefault="00875C4C" w:rsidP="00875C4C">
      <w:pPr>
        <w:pStyle w:val="Heading2"/>
      </w:pPr>
      <w:r>
        <w:t>2.</w:t>
      </w:r>
      <w:r w:rsidR="00DF2A9F">
        <w:t>4</w:t>
      </w:r>
      <w:r>
        <w:tab/>
        <w:t>Support of resource efficiency for MBS reception for multicast MBS sessions</w:t>
      </w:r>
    </w:p>
    <w:p w14:paraId="21F4AE94" w14:textId="77777777" w:rsidR="00875C4C" w:rsidRDefault="00875C4C" w:rsidP="00875C4C">
      <w:r>
        <w:t xml:space="preserve">For multicast, form an NG-RAN point of view, the same major topic needs to be handled: </w:t>
      </w:r>
    </w:p>
    <w:p w14:paraId="7AE9D4DA" w14:textId="10E7EF74" w:rsidR="00875C4C" w:rsidRPr="00B558B0" w:rsidRDefault="00875C4C" w:rsidP="00875C4C">
      <w:pPr>
        <w:ind w:left="720"/>
        <w:rPr>
          <w:i/>
          <w:iCs/>
        </w:rPr>
      </w:pPr>
      <w:r w:rsidRPr="00B558B0">
        <w:rPr>
          <w:i/>
          <w:iCs/>
        </w:rPr>
        <w:t>How can a</w:t>
      </w:r>
      <w:r>
        <w:rPr>
          <w:i/>
          <w:iCs/>
        </w:rPr>
        <w:t xml:space="preserve"> sharing </w:t>
      </w:r>
      <w:r w:rsidRPr="00B558B0">
        <w:rPr>
          <w:i/>
          <w:iCs/>
        </w:rPr>
        <w:t xml:space="preserve">NG-RAN </w:t>
      </w:r>
      <w:r>
        <w:rPr>
          <w:i/>
          <w:iCs/>
        </w:rPr>
        <w:t xml:space="preserve">node </w:t>
      </w:r>
      <w:r w:rsidRPr="00B558B0">
        <w:rPr>
          <w:i/>
          <w:iCs/>
        </w:rPr>
        <w:t>be informed that</w:t>
      </w:r>
      <w:r>
        <w:rPr>
          <w:i/>
          <w:iCs/>
        </w:rPr>
        <w:t xml:space="preserve"> the per-5GC-</w:t>
      </w:r>
      <w:r w:rsidRPr="00B558B0">
        <w:rPr>
          <w:i/>
          <w:iCs/>
        </w:rPr>
        <w:t>request</w:t>
      </w:r>
      <w:r>
        <w:rPr>
          <w:i/>
          <w:iCs/>
        </w:rPr>
        <w:t xml:space="preserve">s for setting up </w:t>
      </w:r>
      <w:r w:rsidRPr="00B558B0">
        <w:rPr>
          <w:i/>
          <w:iCs/>
        </w:rPr>
        <w:t xml:space="preserve">MBS Session Resources </w:t>
      </w:r>
      <w:r>
        <w:rPr>
          <w:i/>
          <w:iCs/>
        </w:rPr>
        <w:t>(</w:t>
      </w:r>
      <w:r w:rsidRPr="00B558B0">
        <w:rPr>
          <w:i/>
          <w:iCs/>
        </w:rPr>
        <w:t>received from 5GCs of different sharing partners/PLMNs</w:t>
      </w:r>
      <w:r>
        <w:rPr>
          <w:i/>
          <w:iCs/>
        </w:rPr>
        <w:t>)</w:t>
      </w:r>
      <w:r w:rsidRPr="00B558B0">
        <w:rPr>
          <w:i/>
          <w:iCs/>
        </w:rPr>
        <w:t xml:space="preserve"> concern </w:t>
      </w:r>
      <w:r>
        <w:rPr>
          <w:i/>
          <w:iCs/>
        </w:rPr>
        <w:t xml:space="preserve">the delivery of identical </w:t>
      </w:r>
      <w:r w:rsidRPr="00B558B0">
        <w:rPr>
          <w:i/>
          <w:iCs/>
        </w:rPr>
        <w:t>MBS session data?</w:t>
      </w:r>
    </w:p>
    <w:p w14:paraId="44EE095C" w14:textId="730FFD7C" w:rsidR="00875C4C" w:rsidRDefault="00875C4C" w:rsidP="00875C4C">
      <w:r>
        <w:t>Whether the MBS Session Resources concern a broadcast or a multicast session would not change that major topic to be handled, we should rather strive for aligning broadcast and multicast solutions to that respect.</w:t>
      </w:r>
    </w:p>
    <w:p w14:paraId="708628C3" w14:textId="1DAF9F3F" w:rsidR="00875C4C" w:rsidRDefault="00875C4C" w:rsidP="00875C4C">
      <w:pPr>
        <w:pStyle w:val="Eyecatcher"/>
      </w:pPr>
      <w:r>
        <w:t xml:space="preserve">Observation </w:t>
      </w:r>
      <w:r w:rsidR="00EE5A51">
        <w:t>12</w:t>
      </w:r>
      <w:r>
        <w:t>: The</w:t>
      </w:r>
      <w:r w:rsidR="00741D4C">
        <w:t xml:space="preserve">re is no difference between multicast and broadcast sessions </w:t>
      </w:r>
      <w:proofErr w:type="spellStart"/>
      <w:r w:rsidR="00741D4C">
        <w:t>w.r.t.</w:t>
      </w:r>
      <w:proofErr w:type="spellEnd"/>
      <w:r w:rsidR="00741D4C">
        <w:t xml:space="preserve"> identifying MBS Sessions providing identical content. Solutions can be aligned.</w:t>
      </w:r>
    </w:p>
    <w:p w14:paraId="477C7329" w14:textId="7F621D96" w:rsidR="00875C4C" w:rsidRDefault="00875C4C" w:rsidP="00875C4C">
      <w:r>
        <w:t>In case a solution is adopted that fores</w:t>
      </w:r>
      <w:r w:rsidR="00741D4C">
        <w:t>ees</w:t>
      </w:r>
      <w:r>
        <w:t xml:space="preserve"> </w:t>
      </w:r>
      <w:r w:rsidR="00741D4C">
        <w:t xml:space="preserve">that </w:t>
      </w:r>
      <w:r>
        <w:t xml:space="preserve">the 5GCs to provide “native” TMGIs to the </w:t>
      </w:r>
      <w:proofErr w:type="spellStart"/>
      <w:r>
        <w:t>gNBs</w:t>
      </w:r>
      <w:proofErr w:type="spellEnd"/>
      <w:r>
        <w:t xml:space="preserve">, </w:t>
      </w:r>
      <w:r w:rsidR="00741D4C">
        <w:t xml:space="preserve">this “native” TMGI can be used in PDU Session Management signalling. There is no need to provide in SM signalling any “common MBS service ID”/common session reference. This would be only necessary when </w:t>
      </w:r>
      <w:r w:rsidR="000D18A1">
        <w:t>executing</w:t>
      </w:r>
      <w:r w:rsidR="00741D4C">
        <w:t xml:space="preserve"> the (multicast) Distribution Setup procedure on NG.</w:t>
      </w:r>
    </w:p>
    <w:p w14:paraId="619BF164" w14:textId="79A8F76E" w:rsidR="00741D4C" w:rsidRDefault="00741D4C" w:rsidP="00741D4C">
      <w:pPr>
        <w:pStyle w:val="Eyecatcher"/>
      </w:pPr>
      <w:r>
        <w:t xml:space="preserve">Observation </w:t>
      </w:r>
      <w:r w:rsidR="00EE5A51">
        <w:t>13</w:t>
      </w:r>
      <w:r>
        <w:t>: No changes are supposed to be needed for PDU Session Management signalling as long as “native” TMGIs are used. A “Common MBS service identification” will be needed within the NGAP (multicast) Distribution Setup procedure.</w:t>
      </w:r>
    </w:p>
    <w:p w14:paraId="293CFFFC" w14:textId="7C7065B9" w:rsidR="00F53D57" w:rsidRDefault="00431A5C" w:rsidP="00F53D57">
      <w:proofErr w:type="spellStart"/>
      <w:r>
        <w:t>W.r.t.</w:t>
      </w:r>
      <w:proofErr w:type="spellEnd"/>
      <w:r>
        <w:t xml:space="preserve"> minimisation of data loss for multicast sessions, a</w:t>
      </w:r>
      <w:r w:rsidR="00F53D57">
        <w:t xml:space="preserve"> particularity of multicast is that shared NG-U bearers may be setup “on the fly” due to </w:t>
      </w:r>
      <w:r w:rsidR="00EE5A51">
        <w:t xml:space="preserve">UE mobility </w:t>
      </w:r>
      <w:r>
        <w:t>with UEs “entering” a gNB as first UEs that joined a multicast MBS session.</w:t>
      </w:r>
      <w:r w:rsidR="000D18A1">
        <w:t xml:space="preserve"> Whether this requires specific protocol solutions on top of Rel-17 functions needs to be seen.</w:t>
      </w:r>
    </w:p>
    <w:p w14:paraId="24352C3B" w14:textId="121FFA7B" w:rsidR="00F53D57" w:rsidRDefault="00F53D57" w:rsidP="00F53D57">
      <w:pPr>
        <w:pStyle w:val="Eyecatcher"/>
      </w:pPr>
      <w:r>
        <w:t xml:space="preserve">Observation </w:t>
      </w:r>
      <w:r w:rsidR="00EE5A51">
        <w:t>14</w:t>
      </w:r>
      <w:r>
        <w:t xml:space="preserve">: </w:t>
      </w:r>
      <w:r w:rsidR="000D18A1">
        <w:t>For multicast, i</w:t>
      </w:r>
      <w:r>
        <w:t xml:space="preserve">t seems to be </w:t>
      </w:r>
      <w:r w:rsidR="000D18A1">
        <w:t xml:space="preserve">equally </w:t>
      </w:r>
      <w:r w:rsidR="00E460DF">
        <w:t>i</w:t>
      </w:r>
      <w:r>
        <w:t xml:space="preserve">mportant to ensure that MBS data is provided from the same source </w:t>
      </w:r>
      <w:r w:rsidR="000D18A1">
        <w:t>. Whether this requires specific protocol solutions needs to be further looked at.</w:t>
      </w:r>
    </w:p>
    <w:p w14:paraId="2ABD4D35" w14:textId="2A78C2F8" w:rsidR="009621A2" w:rsidRDefault="009621A2" w:rsidP="009621A2">
      <w:r>
        <w:t xml:space="preserve">Looking at further communalities, we can see that </w:t>
      </w:r>
      <w:r w:rsidR="00800AE1">
        <w:t xml:space="preserve">for broadcast, </w:t>
      </w:r>
      <w:r>
        <w:t xml:space="preserve">using “native” TMGIs in MCCH would “translate” to use </w:t>
      </w:r>
      <w:r w:rsidR="00800AE1">
        <w:t xml:space="preserve">for multicast “native” TMGIs </w:t>
      </w:r>
      <w:r>
        <w:t xml:space="preserve">at group paging as well. If the communication from 5GC </w:t>
      </w:r>
      <w:r w:rsidR="00800AE1">
        <w:t xml:space="preserve">to NG-RAN by the various </w:t>
      </w:r>
      <w:r>
        <w:t xml:space="preserve">participating PLMNs is such that each </w:t>
      </w:r>
      <w:r w:rsidR="00800AE1">
        <w:t xml:space="preserve">5GC communicates </w:t>
      </w:r>
      <w:r>
        <w:t xml:space="preserve">its </w:t>
      </w:r>
      <w:r w:rsidR="00800AE1">
        <w:t>“</w:t>
      </w:r>
      <w:r>
        <w:t>own</w:t>
      </w:r>
      <w:r w:rsidR="00800AE1">
        <w:t>”</w:t>
      </w:r>
      <w:r>
        <w:t xml:space="preserve"> PLMN ID within the TMGI </w:t>
      </w:r>
      <w:r w:rsidR="00800AE1">
        <w:t>only, it can be avoided that 5GCs would influence</w:t>
      </w:r>
      <w:r w:rsidR="000878B7">
        <w:t xml:space="preserve"> each other </w:t>
      </w:r>
      <w:proofErr w:type="spellStart"/>
      <w:r w:rsidR="000878B7">
        <w:t>w.r.t.</w:t>
      </w:r>
      <w:proofErr w:type="spellEnd"/>
      <w:r w:rsidR="000878B7">
        <w:t xml:space="preserve"> paging strategies. The POs would be utilised by multiple TMGIs, but that should be no problem. Receiving Group Paging attempts from various AMFs should </w:t>
      </w:r>
      <w:r w:rsidR="00581A63">
        <w:t>be already possible and manageable in Rel-17, at least this aspect is no addition to already existing (Rel-17) functions.</w:t>
      </w:r>
      <w:r w:rsidR="000878B7">
        <w:t xml:space="preserve"> </w:t>
      </w:r>
    </w:p>
    <w:p w14:paraId="3B47A23A" w14:textId="538127C6" w:rsidR="009621A2" w:rsidRDefault="009621A2" w:rsidP="009621A2">
      <w:pPr>
        <w:pStyle w:val="Eyecatcher"/>
      </w:pPr>
      <w:r>
        <w:t>Observation 1</w:t>
      </w:r>
      <w:r w:rsidR="00800AE1">
        <w:t>5</w:t>
      </w:r>
      <w:r>
        <w:t>:</w:t>
      </w:r>
      <w:r w:rsidR="00581A63">
        <w:t xml:space="preserve"> As for group paging, using “native” TMGIs would on the one hand side avoid that AMFs from different 5GCs group-page “foreign” UEs, on the other hand side, a paging record may contain multiple TMGIs.</w:t>
      </w:r>
      <w:r w:rsidR="00903D50">
        <w:t xml:space="preserve"> Overall, using “native” TMGIs appears as a very sound approach.</w:t>
      </w:r>
    </w:p>
    <w:p w14:paraId="70BCACF6" w14:textId="24D07576" w:rsidR="00741D4C" w:rsidRDefault="00741D4C" w:rsidP="00741D4C">
      <w:pPr>
        <w:pStyle w:val="Eyecatcher"/>
      </w:pPr>
      <w:r>
        <w:lastRenderedPageBreak/>
        <w:t xml:space="preserve">Proposal </w:t>
      </w:r>
      <w:r w:rsidR="00EE5A51">
        <w:t>4</w:t>
      </w:r>
      <w:r>
        <w:t>:</w:t>
      </w:r>
      <w:r>
        <w:tab/>
        <w:t xml:space="preserve">We propose to further discuss aspects where commonalities between multicast and broadcast can be envisaged and continue </w:t>
      </w:r>
      <w:r w:rsidR="000D18A1">
        <w:t xml:space="preserve">working on </w:t>
      </w:r>
      <w:r>
        <w:t>impacts to NG-RAN</w:t>
      </w:r>
      <w:r w:rsidR="000D18A1">
        <w:t xml:space="preserve"> for multicast for resource efficiency in RAN sharing scenarios within the scope of the Rel-18 work item</w:t>
      </w:r>
      <w:r>
        <w:t>.</w:t>
      </w:r>
    </w:p>
    <w:p w14:paraId="50FE3A5D" w14:textId="77777777" w:rsidR="00875C4C" w:rsidRDefault="00875C4C" w:rsidP="00875C4C"/>
    <w:p w14:paraId="51612F02" w14:textId="77777777" w:rsidR="007D6A05" w:rsidRPr="00DB5364" w:rsidRDefault="007D6A05" w:rsidP="00DB5364"/>
    <w:p w14:paraId="591324FC" w14:textId="77777777" w:rsidR="00501135" w:rsidRDefault="00501135">
      <w:pPr>
        <w:pStyle w:val="Heading1"/>
        <w:rPr>
          <w:rFonts w:cs="Arial"/>
        </w:rPr>
      </w:pPr>
      <w:bookmarkStart w:id="15" w:name="_Toc527283432"/>
      <w:bookmarkStart w:id="16" w:name="_Toc527283649"/>
      <w:bookmarkStart w:id="17" w:name="_Toc527283678"/>
      <w:bookmarkStart w:id="18" w:name="_Toc527283742"/>
      <w:bookmarkStart w:id="19" w:name="_Toc527283746"/>
      <w:bookmarkStart w:id="20" w:name="_Toc527283908"/>
      <w:bookmarkStart w:id="21" w:name="_Toc527283925"/>
      <w:bookmarkStart w:id="22" w:name="_Hlk16664956"/>
      <w:r>
        <w:rPr>
          <w:rFonts w:cs="Arial"/>
        </w:rPr>
        <w:t>3</w:t>
      </w:r>
      <w:r>
        <w:rPr>
          <w:rFonts w:cs="Arial"/>
        </w:rPr>
        <w:tab/>
      </w:r>
      <w:r w:rsidR="0001024C">
        <w:rPr>
          <w:rFonts w:cs="Arial"/>
        </w:rPr>
        <w:t>Conclusion and Proposals</w:t>
      </w:r>
      <w:bookmarkEnd w:id="15"/>
      <w:bookmarkEnd w:id="16"/>
      <w:bookmarkEnd w:id="17"/>
      <w:bookmarkEnd w:id="18"/>
      <w:bookmarkEnd w:id="19"/>
      <w:bookmarkEnd w:id="20"/>
      <w:bookmarkEnd w:id="21"/>
    </w:p>
    <w:p w14:paraId="4E7EBC40" w14:textId="183CA165" w:rsidR="00D80F19" w:rsidRDefault="000D18A1" w:rsidP="00D80F19">
      <w:pPr>
        <w:rPr>
          <w:lang w:val="en-US"/>
        </w:rPr>
      </w:pPr>
      <w:r>
        <w:t xml:space="preserve">We have discussed NG-RAN aspects for support </w:t>
      </w:r>
      <w:r w:rsidRPr="00795BB0">
        <w:t xml:space="preserve">resource efficiency for </w:t>
      </w:r>
      <w:r>
        <w:rPr>
          <w:rFonts w:hint="eastAsia"/>
          <w:lang w:val="en-US"/>
        </w:rPr>
        <w:t>MBS reception in RAN sharing scenarios</w:t>
      </w:r>
      <w:r>
        <w:rPr>
          <w:lang w:val="en-US"/>
        </w:rPr>
        <w:t xml:space="preserve"> and have observed the following:</w:t>
      </w:r>
    </w:p>
    <w:p w14:paraId="02230B00" w14:textId="77777777" w:rsidR="000D18A1" w:rsidRDefault="000D18A1" w:rsidP="000D18A1">
      <w:pPr>
        <w:pStyle w:val="Eyecatcher"/>
      </w:pPr>
      <w:r>
        <w:t>Observation 1:</w:t>
      </w:r>
      <w:r>
        <w:tab/>
        <w:t>The statement in 23.700-47 that one cannot assume all NG-RAN nodes are shared in an MOCN RAN sharing scenario has to be amended by the statement, that within a single NG-RAN node not all cells may be shared.</w:t>
      </w:r>
    </w:p>
    <w:p w14:paraId="12E54484" w14:textId="77777777" w:rsidR="000D18A1" w:rsidRDefault="000D18A1" w:rsidP="000D18A1">
      <w:pPr>
        <w:pStyle w:val="Eyecatcher"/>
      </w:pPr>
      <w:r>
        <w:t>Observation 2: All solutions in TR 23.700-47 enable shared NG-RAN node to associate MBS Session Resource setup requests from the participating 5GCs and hence are able achieve resource efficiency.</w:t>
      </w:r>
    </w:p>
    <w:p w14:paraId="1DD31803" w14:textId="77777777" w:rsidR="000D18A1" w:rsidRDefault="000D18A1" w:rsidP="000D18A1">
      <w:pPr>
        <w:pStyle w:val="Eyecatcher"/>
      </w:pPr>
      <w:r>
        <w:t xml:space="preserve">Observation 3: Bearing in mind aspects like minimising the potential impact on 5GC and NG-RAN and retaining backwards compatibility to existing protocol functions, a solution that deals with “native” TMGIs, i.e. TMGIs containing a PLMN ID served by the 5GC communicating it to NG-RAN and hence the PLMN ID is also understood by non-sharing RAN nodes. Is preferred. </w:t>
      </w:r>
    </w:p>
    <w:p w14:paraId="44E562FB" w14:textId="77777777" w:rsidR="000D18A1" w:rsidRDefault="000D18A1" w:rsidP="000D18A1">
      <w:pPr>
        <w:pStyle w:val="Eyecatcher"/>
      </w:pPr>
      <w:r>
        <w:t xml:space="preserve">Observation 4: Another aspect is considering long-lasting broadcast sessions with sharing operators leaving or entering the common ongoing session, a solution where the identity providing a reference to the common session does not depend on the momentarily participating operators would be preferred. </w:t>
      </w:r>
    </w:p>
    <w:p w14:paraId="0921AD61" w14:textId="32E0954F" w:rsidR="000D18A1" w:rsidRDefault="000D18A1" w:rsidP="000D18A1">
      <w:pPr>
        <w:pStyle w:val="Eyecatcher"/>
      </w:pPr>
      <w:r>
        <w:t>Observation 5: In order to support minimisation of data loss it seems important to ensure that MBS data is provided from the same source.</w:t>
      </w:r>
    </w:p>
    <w:p w14:paraId="748E68C4" w14:textId="77777777" w:rsidR="000D18A1" w:rsidRDefault="000D18A1" w:rsidP="000D18A1">
      <w:pPr>
        <w:pStyle w:val="Eyecatcher"/>
      </w:pPr>
      <w:r>
        <w:t xml:space="preserve">Observation 6: If the TMGI is not a “native” TMGI, i.e. not containing a PLMN ID broadcast in SIB1, on RRC; the PLMN ID in the signalled TMGI needs to be signalled explicitly and cannot refer to the PLMN index. </w:t>
      </w:r>
    </w:p>
    <w:p w14:paraId="7F91F0C9" w14:textId="77777777" w:rsidR="000D18A1" w:rsidRDefault="000D18A1" w:rsidP="000D18A1">
      <w:pPr>
        <w:pStyle w:val="Eyecatcher"/>
      </w:pPr>
      <w:r>
        <w:t xml:space="preserve">Observation 7: If the TMGI is associated with an SNPN and not a “native” TMGI, i.e. not containing an SNPN ID broadcast in SIB1, RRC cannot support resource optimisation for RAN sharing scenarios with participating SNPNs. </w:t>
      </w:r>
    </w:p>
    <w:p w14:paraId="59E25B13" w14:textId="77777777" w:rsidR="000D18A1" w:rsidRDefault="000D18A1" w:rsidP="000D18A1">
      <w:pPr>
        <w:pStyle w:val="Eyecatcher"/>
      </w:pPr>
      <w:r>
        <w:t xml:space="preserve">Observation 8: 38.331 indeed supports mapping of TMGIs to the same G-RNTI, hence providing “native” TMGIs to the </w:t>
      </w:r>
      <w:proofErr w:type="spellStart"/>
      <w:r>
        <w:t>gNB</w:t>
      </w:r>
      <w:proofErr w:type="spellEnd"/>
      <w:r>
        <w:t xml:space="preserve"> and signalling “native” TMGIs in MCCH is supported. </w:t>
      </w:r>
    </w:p>
    <w:p w14:paraId="59E67F8C" w14:textId="77777777" w:rsidR="000D18A1" w:rsidRDefault="000D18A1" w:rsidP="000D18A1">
      <w:pPr>
        <w:pStyle w:val="Eyecatcher"/>
      </w:pPr>
      <w:r>
        <w:t xml:space="preserve">Observation 9: For support of mobility for broadcast session between shared and non-shared areas, </w:t>
      </w:r>
      <w:proofErr w:type="spellStart"/>
      <w:r>
        <w:t>mtch-NeighbourCell</w:t>
      </w:r>
      <w:proofErr w:type="spellEnd"/>
      <w:r>
        <w:t xml:space="preserve"> information would need to be provided on a per-participating-PLMN/SNPN basis. This is only possible, if “native” TMGIs are signalled in MCCH. </w:t>
      </w:r>
    </w:p>
    <w:p w14:paraId="7CC6ED22" w14:textId="77777777" w:rsidR="000D18A1" w:rsidRDefault="000D18A1" w:rsidP="000D18A1">
      <w:pPr>
        <w:pStyle w:val="Eyecatcher"/>
      </w:pPr>
      <w:r>
        <w:t xml:space="preserve">Observation 10: The size of the </w:t>
      </w:r>
      <w:r w:rsidRPr="007A1EC5">
        <w:rPr>
          <w:i/>
          <w:iCs/>
        </w:rPr>
        <w:t>MBS-</w:t>
      </w:r>
      <w:proofErr w:type="spellStart"/>
      <w:r w:rsidRPr="007A1EC5">
        <w:rPr>
          <w:i/>
          <w:iCs/>
        </w:rPr>
        <w:t>NeighbourCellList</w:t>
      </w:r>
      <w:proofErr w:type="spellEnd"/>
      <w:r>
        <w:t xml:space="preserve"> IE is limited to 8 entries. This does not seem to be fit for RAN sharing scenarios. </w:t>
      </w:r>
    </w:p>
    <w:p w14:paraId="4E10ABBB" w14:textId="77777777" w:rsidR="000D18A1" w:rsidRDefault="000D18A1" w:rsidP="000D18A1">
      <w:pPr>
        <w:pStyle w:val="Eyecatcher"/>
      </w:pPr>
      <w:r>
        <w:t xml:space="preserve">Observation 11: The difference between MOCN and RAN sharing with multiple cell-ID broadcast would lie in the CU being aware of the support of multiple cell-ID broadcast and providing information received from the 5GC to the DU (“native” TMGI and common MBS service identifier) so that the physical implementation of all the logical DUs would configure the MCCH accordingly. The difference hence lies in F1 protocol details only. </w:t>
      </w:r>
    </w:p>
    <w:p w14:paraId="772D46CC" w14:textId="77777777" w:rsidR="000D18A1" w:rsidRDefault="000D18A1" w:rsidP="000D18A1">
      <w:pPr>
        <w:pStyle w:val="Eyecatcher"/>
      </w:pPr>
      <w:r>
        <w:lastRenderedPageBreak/>
        <w:t xml:space="preserve">Observation 12: There is no difference between multicast and broadcast sessions </w:t>
      </w:r>
      <w:proofErr w:type="spellStart"/>
      <w:r>
        <w:t>w.r.t.</w:t>
      </w:r>
      <w:proofErr w:type="spellEnd"/>
      <w:r>
        <w:t xml:space="preserve"> identifying MBS Sessions providing identical content. Solutions can be aligned.</w:t>
      </w:r>
    </w:p>
    <w:p w14:paraId="17ABAA8B" w14:textId="17BDDF9B" w:rsidR="000D18A1" w:rsidRDefault="000D18A1" w:rsidP="000D18A1">
      <w:pPr>
        <w:pStyle w:val="Eyecatcher"/>
      </w:pPr>
      <w:r>
        <w:t>Observation 13: No changes are supposed to be needed for PDU Session Management signalling as long as “native” TMGIs are used. A “Common MBS service identification” will be needed within the NGAP (multicast) Distribution Setup procedure.</w:t>
      </w:r>
    </w:p>
    <w:p w14:paraId="13007043" w14:textId="6FD8F5E1" w:rsidR="00973176" w:rsidRDefault="00973176" w:rsidP="00973176">
      <w:pPr>
        <w:pStyle w:val="Eyecatcher"/>
      </w:pPr>
      <w:r>
        <w:t xml:space="preserve">Observation 14: For multicast, it seems to be equally </w:t>
      </w:r>
      <w:r w:rsidR="00E460DF">
        <w:t>i</w:t>
      </w:r>
      <w:r>
        <w:t>mportant to ensure that MBS data is provided from the same source. Whether this requires specific protocol solutions needs to be further looked at.</w:t>
      </w:r>
    </w:p>
    <w:p w14:paraId="2D4F584C" w14:textId="77777777" w:rsidR="00903D50" w:rsidRDefault="00903D50" w:rsidP="00903D50">
      <w:pPr>
        <w:pStyle w:val="Eyecatcher"/>
      </w:pPr>
      <w:r>
        <w:t>Observation 15: As for group paging, using “native” TMGIs would on the one hand side avoid that AMFs from different 5GCs group-page “foreign” UEs, on the other hand side, a paging record may contain multiple TMGIs. Overall, using “native” TMGIs appears as a very sound approach.</w:t>
      </w:r>
    </w:p>
    <w:p w14:paraId="6908654C" w14:textId="2FBA4DB8" w:rsidR="000D18A1" w:rsidRDefault="000D18A1" w:rsidP="00D80F19">
      <w:pPr>
        <w:rPr>
          <w:lang w:val="en-US"/>
        </w:rPr>
      </w:pPr>
    </w:p>
    <w:p w14:paraId="585DF839" w14:textId="2688670A" w:rsidR="000D18A1" w:rsidRDefault="000D18A1" w:rsidP="00D80F19">
      <w:r>
        <w:rPr>
          <w:lang w:val="en-US"/>
        </w:rPr>
        <w:t>We propose:</w:t>
      </w:r>
    </w:p>
    <w:p w14:paraId="0E5E3C5E" w14:textId="77777777" w:rsidR="000D18A1" w:rsidRDefault="000D18A1" w:rsidP="000D18A1">
      <w:pPr>
        <w:pStyle w:val="Eyecatcher"/>
      </w:pPr>
      <w:r>
        <w:t xml:space="preserve">Proposal 1: </w:t>
      </w:r>
      <w:r>
        <w:tab/>
        <w:t xml:space="preserve">Agree that </w:t>
      </w:r>
      <w:proofErr w:type="spellStart"/>
      <w:r>
        <w:t>gNBs</w:t>
      </w:r>
      <w:proofErr w:type="spellEnd"/>
      <w:r>
        <w:t xml:space="preserve"> not sharing all cells or not sharing at all receive a “native” TMGI, i.e. a TMGI containing a PLMN ID supported by the sending 5GC. </w:t>
      </w:r>
    </w:p>
    <w:p w14:paraId="43C6622E" w14:textId="77777777" w:rsidR="00E460DF" w:rsidRDefault="00E460DF" w:rsidP="00E460DF">
      <w:pPr>
        <w:pStyle w:val="Eyecatcher"/>
      </w:pPr>
      <w:r>
        <w:t>Proposal 2:</w:t>
      </w:r>
      <w:r>
        <w:tab/>
        <w:t xml:space="preserve">Liaise RAN2 whether Rel-17 solutions would be available having in mind support for Rel-17 UEs with an increased size for the </w:t>
      </w:r>
      <w:r w:rsidRPr="007A1EC5">
        <w:rPr>
          <w:i/>
          <w:iCs/>
        </w:rPr>
        <w:t>MBS-</w:t>
      </w:r>
      <w:proofErr w:type="spellStart"/>
      <w:r w:rsidRPr="007A1EC5">
        <w:rPr>
          <w:i/>
          <w:iCs/>
        </w:rPr>
        <w:t>NeighbourCellList</w:t>
      </w:r>
      <w:proofErr w:type="spellEnd"/>
      <w:r w:rsidRPr="00E460DF">
        <w:t xml:space="preserve"> to </w:t>
      </w:r>
      <w:r>
        <w:t xml:space="preserve">allow </w:t>
      </w:r>
      <w:r w:rsidRPr="00E460DF">
        <w:t>cover</w:t>
      </w:r>
      <w:r>
        <w:t>ing</w:t>
      </w:r>
      <w:r w:rsidRPr="00E460DF">
        <w:t xml:space="preserve"> sharing scenarios</w:t>
      </w:r>
      <w:r>
        <w:t xml:space="preserve">. </w:t>
      </w:r>
    </w:p>
    <w:p w14:paraId="702ED3B4" w14:textId="1A1A52B3" w:rsidR="000D18A1" w:rsidRDefault="000D18A1" w:rsidP="000D18A1">
      <w:pPr>
        <w:pStyle w:val="Eyecatcher"/>
      </w:pPr>
      <w:r>
        <w:t>Proposal 3:</w:t>
      </w:r>
      <w:r>
        <w:tab/>
        <w:t xml:space="preserve">Agree support of resource efficiency for MBS sessions for RAN sharing with multiple  Cell-ID broadcast scenarios </w:t>
      </w:r>
      <w:r w:rsidR="00E460DF">
        <w:t>with</w:t>
      </w:r>
      <w:r>
        <w:t xml:space="preserve">in the scope of the Rel-18 work item and work on further details (mainly F1 and stage 2). </w:t>
      </w:r>
    </w:p>
    <w:p w14:paraId="00C7011E" w14:textId="7C224018" w:rsidR="00973176" w:rsidRDefault="00973176" w:rsidP="00973176">
      <w:pPr>
        <w:pStyle w:val="Eyecatcher"/>
      </w:pPr>
      <w:r>
        <w:t>Proposal 4:</w:t>
      </w:r>
      <w:r>
        <w:tab/>
        <w:t>We propose to further discuss aspects where commonalities between multicast and broadcast can be envisaged and continue working on impacts to NG-RAN for multicast for resource efficiency in RAN sharing scenarios within the scope of the Rel-18 work item.</w:t>
      </w:r>
    </w:p>
    <w:p w14:paraId="6F08C1E2" w14:textId="4356AE41" w:rsidR="006A461D" w:rsidRDefault="00E460DF" w:rsidP="00E460DF">
      <w:pPr>
        <w:pStyle w:val="Eyecatcher"/>
      </w:pPr>
      <w:r>
        <w:t>Final proposal:</w:t>
      </w:r>
      <w:r>
        <w:tab/>
        <w:t>Given the discussion above</w:t>
      </w:r>
      <w:r w:rsidR="00DF575E">
        <w:t>,</w:t>
      </w:r>
      <w:r>
        <w:t xml:space="preserve"> we suggest to expand Proposal 1 and agree to support an approach where all participating 5GCs</w:t>
      </w:r>
      <w:r w:rsidR="00DF575E">
        <w:t>,</w:t>
      </w:r>
      <w:r>
        <w:t xml:space="preserve"> supporting resource efficiency improvements for MBS sessions</w:t>
      </w:r>
      <w:r w:rsidR="00DF575E">
        <w:t>,</w:t>
      </w:r>
      <w:r>
        <w:t xml:space="preserve"> continue identifying all MBS sessions on NG with a “native” TMGI, as in Rel-17. MBS sessions providing identical content are further identified by a common MBS service identification.</w:t>
      </w:r>
    </w:p>
    <w:p w14:paraId="3E02E4C0" w14:textId="77777777" w:rsidR="00CD7395" w:rsidRDefault="00CD7395" w:rsidP="00A129B6"/>
    <w:p w14:paraId="100E7817" w14:textId="77777777" w:rsidR="00501135" w:rsidRDefault="00501135" w:rsidP="001601A9">
      <w:pPr>
        <w:pStyle w:val="Heading1"/>
        <w:rPr>
          <w:rFonts w:cs="Arial"/>
          <w:lang w:eastAsia="ja-JP"/>
        </w:rPr>
      </w:pPr>
      <w:bookmarkStart w:id="23" w:name="_Toc527283433"/>
      <w:bookmarkStart w:id="24" w:name="_Toc527283650"/>
      <w:bookmarkStart w:id="25" w:name="_Toc527283679"/>
      <w:bookmarkStart w:id="26" w:name="_Toc527283743"/>
      <w:bookmarkStart w:id="27" w:name="_Toc527283747"/>
      <w:bookmarkStart w:id="28" w:name="_Toc527283909"/>
      <w:bookmarkStart w:id="29" w:name="_Toc527283926"/>
      <w:r>
        <w:rPr>
          <w:rFonts w:cs="Arial"/>
        </w:rPr>
        <w:t>4</w:t>
      </w:r>
      <w:r>
        <w:rPr>
          <w:rFonts w:cs="Arial"/>
        </w:rPr>
        <w:tab/>
        <w:t>References</w:t>
      </w:r>
      <w:bookmarkEnd w:id="23"/>
      <w:bookmarkEnd w:id="24"/>
      <w:bookmarkEnd w:id="25"/>
      <w:bookmarkEnd w:id="26"/>
      <w:bookmarkEnd w:id="27"/>
      <w:bookmarkEnd w:id="28"/>
      <w:bookmarkEnd w:id="29"/>
    </w:p>
    <w:bookmarkEnd w:id="22"/>
    <w:p w14:paraId="7B486271" w14:textId="77777777" w:rsidR="00A17B09" w:rsidRDefault="00A17B09" w:rsidP="00A17B09">
      <w:pPr>
        <w:pStyle w:val="Reference"/>
      </w:pPr>
      <w:r>
        <w:t>[1]</w:t>
      </w:r>
      <w:r>
        <w:tab/>
      </w:r>
      <w:hyperlink r:id="rId11" w:history="1">
        <w:r w:rsidRPr="0078054C">
          <w:rPr>
            <w:rStyle w:val="Hyperlink"/>
          </w:rPr>
          <w:t>RP-213568</w:t>
        </w:r>
      </w:hyperlink>
      <w:r>
        <w:t xml:space="preserve"> </w:t>
      </w:r>
      <w:r w:rsidRPr="00D80F19">
        <w:t>"</w:t>
      </w:r>
      <w:r w:rsidRPr="000A6F8A">
        <w:t>New WID: Enhancements of NR Multicast and Broadcast Services</w:t>
      </w:r>
      <w:r w:rsidRPr="00D80F19">
        <w:t>"</w:t>
      </w:r>
      <w:r>
        <w:t>, approved at RAN#94-e</w:t>
      </w:r>
    </w:p>
    <w:p w14:paraId="1621B1C5" w14:textId="54B05935" w:rsidR="00CD7395" w:rsidRDefault="00FB4C36" w:rsidP="00A17B09">
      <w:pPr>
        <w:pStyle w:val="Reference"/>
      </w:pPr>
      <w:r>
        <w:rPr>
          <w:rFonts w:eastAsia="SimSun"/>
          <w:lang w:eastAsia="zh-CN"/>
        </w:rPr>
        <w:t>[2]</w:t>
      </w:r>
      <w:r>
        <w:rPr>
          <w:rFonts w:eastAsia="SimSun"/>
          <w:lang w:eastAsia="zh-CN"/>
        </w:rPr>
        <w:tab/>
        <w:t xml:space="preserve">R3-225330/RP-222678 </w:t>
      </w:r>
      <w:r w:rsidRPr="00D80F19">
        <w:t>"</w:t>
      </w:r>
      <w:bookmarkStart w:id="30" w:name="OLE_LINK12"/>
      <w:bookmarkStart w:id="31" w:name="OLE_LINK8"/>
      <w:r>
        <w:rPr>
          <w:rFonts w:cs="Arial" w:hint="eastAsia"/>
          <w:lang w:eastAsia="zh-CN"/>
        </w:rPr>
        <w:t xml:space="preserve">Reply </w:t>
      </w:r>
      <w:r>
        <w:rPr>
          <w:rFonts w:cs="Arial"/>
          <w:lang w:eastAsia="zh-CN"/>
        </w:rPr>
        <w:t xml:space="preserve">LS on </w:t>
      </w:r>
      <w:r>
        <w:rPr>
          <w:rFonts w:eastAsia="SimSun" w:cs="Arial"/>
          <w:lang w:eastAsia="zh-CN"/>
        </w:rPr>
        <w:t>the scope of</w:t>
      </w:r>
      <w:r>
        <w:rPr>
          <w:rFonts w:cs="Arial"/>
          <w:lang w:eastAsia="zh-CN"/>
        </w:rPr>
        <w:t xml:space="preserve"> resource efficiency for MBS receptio</w:t>
      </w:r>
      <w:r>
        <w:rPr>
          <w:rFonts w:cs="Arial" w:hint="eastAsia"/>
          <w:lang w:eastAsia="zh-CN"/>
        </w:rPr>
        <w:t>n</w:t>
      </w:r>
      <w:r>
        <w:rPr>
          <w:rFonts w:cs="Arial"/>
          <w:lang w:eastAsia="zh-CN"/>
        </w:rPr>
        <w:t xml:space="preserve"> in RAN sharing scenar</w:t>
      </w:r>
      <w:r>
        <w:rPr>
          <w:rFonts w:eastAsia="SimSun" w:cs="Arial"/>
          <w:lang w:eastAsia="zh-CN"/>
        </w:rPr>
        <w:t>io</w:t>
      </w:r>
      <w:bookmarkEnd w:id="30"/>
      <w:bookmarkEnd w:id="31"/>
      <w:r w:rsidRPr="00D80F19">
        <w:t>"</w:t>
      </w:r>
      <w:r>
        <w:t xml:space="preserve"> LS in, RAN3#117bis</w:t>
      </w:r>
    </w:p>
    <w:p w14:paraId="08DCA6A3" w14:textId="4956B44D" w:rsidR="00B558B0" w:rsidRPr="006763C7" w:rsidRDefault="00B558B0" w:rsidP="00B558B0">
      <w:pPr>
        <w:pStyle w:val="Reference"/>
        <w:rPr>
          <w:rFonts w:eastAsia="SimSun"/>
          <w:lang w:eastAsia="zh-CN"/>
        </w:rPr>
      </w:pPr>
      <w:r>
        <w:t>[3]</w:t>
      </w:r>
      <w:r>
        <w:tab/>
        <w:t xml:space="preserve">3GPP TR 23.700-47 </w:t>
      </w:r>
      <w:r w:rsidRPr="00D80F19">
        <w:t>"</w:t>
      </w:r>
      <w:r w:rsidRPr="002A173A">
        <w:t xml:space="preserve"> </w:t>
      </w:r>
      <w:r w:rsidRPr="00496CB0">
        <w:t>Study on architectural enhancements for</w:t>
      </w:r>
      <w:r w:rsidRPr="00D80F19">
        <w:t xml:space="preserve"> </w:t>
      </w:r>
      <w:r w:rsidRPr="00496CB0">
        <w:t>5G multicast-broadcast services</w:t>
      </w:r>
      <w:r>
        <w:t>; Phase 2</w:t>
      </w:r>
      <w:r w:rsidRPr="00D80F19">
        <w:t>"</w:t>
      </w:r>
      <w:r>
        <w:t>, latest version 1.0.0, as available at RAN3#117bis-e</w:t>
      </w:r>
    </w:p>
    <w:p w14:paraId="0C5B29E9" w14:textId="77777777" w:rsidR="00B558B0" w:rsidRPr="006763C7" w:rsidRDefault="00B558B0" w:rsidP="00A17B09">
      <w:pPr>
        <w:pStyle w:val="Reference"/>
        <w:rPr>
          <w:rFonts w:eastAsia="SimSun"/>
          <w:lang w:eastAsia="zh-CN"/>
        </w:rPr>
      </w:pPr>
    </w:p>
    <w:sectPr w:rsidR="00B558B0" w:rsidRPr="006763C7" w:rsidSect="00E71F43">
      <w:footerReference w:type="even" r:id="rId12"/>
      <w:footerReference w:type="default" r:id="rId13"/>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4E011" w14:textId="77777777" w:rsidR="00AF65C6" w:rsidRDefault="00AF65C6">
      <w:r>
        <w:separator/>
      </w:r>
    </w:p>
  </w:endnote>
  <w:endnote w:type="continuationSeparator" w:id="0">
    <w:p w14:paraId="6B5F6158" w14:textId="77777777" w:rsidR="00AF65C6" w:rsidRDefault="00AF65C6">
      <w:r>
        <w:continuationSeparator/>
      </w:r>
    </w:p>
  </w:endnote>
  <w:endnote w:type="continuationNotice" w:id="1">
    <w:p w14:paraId="6ABECAC4" w14:textId="77777777" w:rsidR="00AF65C6" w:rsidRDefault="00AF65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955FF" w14:textId="77777777" w:rsidR="00AF65C6" w:rsidRDefault="00AF65C6">
      <w:r>
        <w:separator/>
      </w:r>
    </w:p>
  </w:footnote>
  <w:footnote w:type="continuationSeparator" w:id="0">
    <w:p w14:paraId="3584C003" w14:textId="77777777" w:rsidR="00AF65C6" w:rsidRDefault="00AF65C6">
      <w:r>
        <w:continuationSeparator/>
      </w:r>
    </w:p>
  </w:footnote>
  <w:footnote w:type="continuationNotice" w:id="1">
    <w:p w14:paraId="2DB84A1C" w14:textId="77777777" w:rsidR="00AF65C6" w:rsidRDefault="00AF65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4A98"/>
    <w:rsid w:val="0001024C"/>
    <w:rsid w:val="00026DC1"/>
    <w:rsid w:val="000401B6"/>
    <w:rsid w:val="00054144"/>
    <w:rsid w:val="000640DF"/>
    <w:rsid w:val="000878B7"/>
    <w:rsid w:val="000A05B2"/>
    <w:rsid w:val="000A0A38"/>
    <w:rsid w:val="000B318F"/>
    <w:rsid w:val="000C2BFF"/>
    <w:rsid w:val="000D18A1"/>
    <w:rsid w:val="000D4F83"/>
    <w:rsid w:val="000F02C3"/>
    <w:rsid w:val="00117327"/>
    <w:rsid w:val="00122EA7"/>
    <w:rsid w:val="00126984"/>
    <w:rsid w:val="001601A9"/>
    <w:rsid w:val="00162A98"/>
    <w:rsid w:val="00182A22"/>
    <w:rsid w:val="001D1142"/>
    <w:rsid w:val="001D3360"/>
    <w:rsid w:val="00214291"/>
    <w:rsid w:val="002174CA"/>
    <w:rsid w:val="002177A7"/>
    <w:rsid w:val="002300C6"/>
    <w:rsid w:val="00230764"/>
    <w:rsid w:val="002336F5"/>
    <w:rsid w:val="00237F7C"/>
    <w:rsid w:val="00247F22"/>
    <w:rsid w:val="00285DDB"/>
    <w:rsid w:val="00294C24"/>
    <w:rsid w:val="002A739F"/>
    <w:rsid w:val="00305FE0"/>
    <w:rsid w:val="00312F43"/>
    <w:rsid w:val="003229C8"/>
    <w:rsid w:val="0032465A"/>
    <w:rsid w:val="003514CE"/>
    <w:rsid w:val="00362FD6"/>
    <w:rsid w:val="003658DB"/>
    <w:rsid w:val="00383916"/>
    <w:rsid w:val="0039374E"/>
    <w:rsid w:val="003A0811"/>
    <w:rsid w:val="003A72C5"/>
    <w:rsid w:val="003A7669"/>
    <w:rsid w:val="003B1332"/>
    <w:rsid w:val="003B602E"/>
    <w:rsid w:val="003C249F"/>
    <w:rsid w:val="003D108B"/>
    <w:rsid w:val="003D15C1"/>
    <w:rsid w:val="003F04CA"/>
    <w:rsid w:val="003F438B"/>
    <w:rsid w:val="003F49ED"/>
    <w:rsid w:val="00412C70"/>
    <w:rsid w:val="00431125"/>
    <w:rsid w:val="00431A5C"/>
    <w:rsid w:val="00436463"/>
    <w:rsid w:val="00440215"/>
    <w:rsid w:val="00440EB3"/>
    <w:rsid w:val="00452A95"/>
    <w:rsid w:val="00456756"/>
    <w:rsid w:val="00456836"/>
    <w:rsid w:val="00464F3D"/>
    <w:rsid w:val="00474F20"/>
    <w:rsid w:val="0049743E"/>
    <w:rsid w:val="004A605A"/>
    <w:rsid w:val="004C5CB2"/>
    <w:rsid w:val="004E3A07"/>
    <w:rsid w:val="004E3AF3"/>
    <w:rsid w:val="004F4425"/>
    <w:rsid w:val="00501135"/>
    <w:rsid w:val="00503D2A"/>
    <w:rsid w:val="00506D99"/>
    <w:rsid w:val="00507D9D"/>
    <w:rsid w:val="00523AA3"/>
    <w:rsid w:val="00543DB8"/>
    <w:rsid w:val="00544890"/>
    <w:rsid w:val="0054512D"/>
    <w:rsid w:val="005475C5"/>
    <w:rsid w:val="00554B2F"/>
    <w:rsid w:val="005718AB"/>
    <w:rsid w:val="00580121"/>
    <w:rsid w:val="00580162"/>
    <w:rsid w:val="00581A63"/>
    <w:rsid w:val="005855D2"/>
    <w:rsid w:val="005A1D2C"/>
    <w:rsid w:val="005B14C0"/>
    <w:rsid w:val="005C1208"/>
    <w:rsid w:val="005D0EC8"/>
    <w:rsid w:val="005E193E"/>
    <w:rsid w:val="005E51D2"/>
    <w:rsid w:val="005E68AB"/>
    <w:rsid w:val="00604237"/>
    <w:rsid w:val="0060423C"/>
    <w:rsid w:val="006103E2"/>
    <w:rsid w:val="00612679"/>
    <w:rsid w:val="00617344"/>
    <w:rsid w:val="00620E77"/>
    <w:rsid w:val="00621D84"/>
    <w:rsid w:val="006264D8"/>
    <w:rsid w:val="00631729"/>
    <w:rsid w:val="00631954"/>
    <w:rsid w:val="006367F1"/>
    <w:rsid w:val="0064585D"/>
    <w:rsid w:val="00665891"/>
    <w:rsid w:val="00666F38"/>
    <w:rsid w:val="00671A7F"/>
    <w:rsid w:val="00672969"/>
    <w:rsid w:val="006A4516"/>
    <w:rsid w:val="006A461D"/>
    <w:rsid w:val="006A4FF6"/>
    <w:rsid w:val="006A693D"/>
    <w:rsid w:val="006C0235"/>
    <w:rsid w:val="006C7ADE"/>
    <w:rsid w:val="007159BF"/>
    <w:rsid w:val="0073451F"/>
    <w:rsid w:val="007368A1"/>
    <w:rsid w:val="00741D4C"/>
    <w:rsid w:val="007433DE"/>
    <w:rsid w:val="007466BD"/>
    <w:rsid w:val="0079087F"/>
    <w:rsid w:val="0079764C"/>
    <w:rsid w:val="007A1EC5"/>
    <w:rsid w:val="007B42A3"/>
    <w:rsid w:val="007B5F3B"/>
    <w:rsid w:val="007D41E9"/>
    <w:rsid w:val="007D6A05"/>
    <w:rsid w:val="007F669C"/>
    <w:rsid w:val="00800AE1"/>
    <w:rsid w:val="00805AD4"/>
    <w:rsid w:val="00814CC9"/>
    <w:rsid w:val="008201C5"/>
    <w:rsid w:val="00853BBD"/>
    <w:rsid w:val="00860159"/>
    <w:rsid w:val="00873094"/>
    <w:rsid w:val="00875C4C"/>
    <w:rsid w:val="008775B7"/>
    <w:rsid w:val="008925B8"/>
    <w:rsid w:val="008A4C1D"/>
    <w:rsid w:val="008A511A"/>
    <w:rsid w:val="008A647F"/>
    <w:rsid w:val="008B0AF2"/>
    <w:rsid w:val="008B4F57"/>
    <w:rsid w:val="008B5B8E"/>
    <w:rsid w:val="008C5FEE"/>
    <w:rsid w:val="008C7A1B"/>
    <w:rsid w:val="008E19D0"/>
    <w:rsid w:val="008E48CD"/>
    <w:rsid w:val="008F1B11"/>
    <w:rsid w:val="008F40B9"/>
    <w:rsid w:val="00903D50"/>
    <w:rsid w:val="00906401"/>
    <w:rsid w:val="00907CF1"/>
    <w:rsid w:val="009323D5"/>
    <w:rsid w:val="00937DD6"/>
    <w:rsid w:val="00954330"/>
    <w:rsid w:val="00954912"/>
    <w:rsid w:val="009621A2"/>
    <w:rsid w:val="00964DB6"/>
    <w:rsid w:val="00967136"/>
    <w:rsid w:val="00973176"/>
    <w:rsid w:val="009813D8"/>
    <w:rsid w:val="009872F4"/>
    <w:rsid w:val="009928CD"/>
    <w:rsid w:val="00994162"/>
    <w:rsid w:val="009A5F81"/>
    <w:rsid w:val="009A6292"/>
    <w:rsid w:val="009B012E"/>
    <w:rsid w:val="009B0B0E"/>
    <w:rsid w:val="009D6495"/>
    <w:rsid w:val="009E394B"/>
    <w:rsid w:val="009F6EC1"/>
    <w:rsid w:val="00A009DA"/>
    <w:rsid w:val="00A012D0"/>
    <w:rsid w:val="00A06D42"/>
    <w:rsid w:val="00A1281F"/>
    <w:rsid w:val="00A129B6"/>
    <w:rsid w:val="00A17B09"/>
    <w:rsid w:val="00A17E34"/>
    <w:rsid w:val="00A3172D"/>
    <w:rsid w:val="00A57FBC"/>
    <w:rsid w:val="00A71A00"/>
    <w:rsid w:val="00A72A5B"/>
    <w:rsid w:val="00A8073C"/>
    <w:rsid w:val="00A80970"/>
    <w:rsid w:val="00AA22F9"/>
    <w:rsid w:val="00AA3AC6"/>
    <w:rsid w:val="00AB4E41"/>
    <w:rsid w:val="00AC5CBE"/>
    <w:rsid w:val="00AE2347"/>
    <w:rsid w:val="00AF1555"/>
    <w:rsid w:val="00AF1A71"/>
    <w:rsid w:val="00AF65C6"/>
    <w:rsid w:val="00AF780A"/>
    <w:rsid w:val="00B06C16"/>
    <w:rsid w:val="00B117E3"/>
    <w:rsid w:val="00B13580"/>
    <w:rsid w:val="00B15DB4"/>
    <w:rsid w:val="00B17D67"/>
    <w:rsid w:val="00B231F4"/>
    <w:rsid w:val="00B32055"/>
    <w:rsid w:val="00B369D9"/>
    <w:rsid w:val="00B532EB"/>
    <w:rsid w:val="00B558B0"/>
    <w:rsid w:val="00B663DE"/>
    <w:rsid w:val="00B7329F"/>
    <w:rsid w:val="00B85C0E"/>
    <w:rsid w:val="00B868C5"/>
    <w:rsid w:val="00BA0C6E"/>
    <w:rsid w:val="00BA55A5"/>
    <w:rsid w:val="00BB35EA"/>
    <w:rsid w:val="00BB7AD2"/>
    <w:rsid w:val="00BD509A"/>
    <w:rsid w:val="00BD588D"/>
    <w:rsid w:val="00BE4262"/>
    <w:rsid w:val="00BE7132"/>
    <w:rsid w:val="00BF2E54"/>
    <w:rsid w:val="00BF626B"/>
    <w:rsid w:val="00C04DB5"/>
    <w:rsid w:val="00C06704"/>
    <w:rsid w:val="00C17C56"/>
    <w:rsid w:val="00C3448C"/>
    <w:rsid w:val="00C61AA7"/>
    <w:rsid w:val="00C70DF4"/>
    <w:rsid w:val="00C778A5"/>
    <w:rsid w:val="00CA7DAC"/>
    <w:rsid w:val="00CB5951"/>
    <w:rsid w:val="00CB6090"/>
    <w:rsid w:val="00CC1F81"/>
    <w:rsid w:val="00CC4AE3"/>
    <w:rsid w:val="00CD0FFD"/>
    <w:rsid w:val="00CD6923"/>
    <w:rsid w:val="00CD7395"/>
    <w:rsid w:val="00CE153C"/>
    <w:rsid w:val="00CE3935"/>
    <w:rsid w:val="00CE3F90"/>
    <w:rsid w:val="00CF0789"/>
    <w:rsid w:val="00D0317F"/>
    <w:rsid w:val="00D16EDC"/>
    <w:rsid w:val="00D25476"/>
    <w:rsid w:val="00D25967"/>
    <w:rsid w:val="00D371F0"/>
    <w:rsid w:val="00D44854"/>
    <w:rsid w:val="00D53C0D"/>
    <w:rsid w:val="00D67DC3"/>
    <w:rsid w:val="00D74285"/>
    <w:rsid w:val="00D7590A"/>
    <w:rsid w:val="00D75F06"/>
    <w:rsid w:val="00D80F19"/>
    <w:rsid w:val="00D8543C"/>
    <w:rsid w:val="00D91A1D"/>
    <w:rsid w:val="00D9600A"/>
    <w:rsid w:val="00D971BA"/>
    <w:rsid w:val="00DB5364"/>
    <w:rsid w:val="00DB797B"/>
    <w:rsid w:val="00DC3BE7"/>
    <w:rsid w:val="00DC53D2"/>
    <w:rsid w:val="00DD35C8"/>
    <w:rsid w:val="00DE5DD3"/>
    <w:rsid w:val="00DF2A9F"/>
    <w:rsid w:val="00DF575E"/>
    <w:rsid w:val="00E0506D"/>
    <w:rsid w:val="00E26242"/>
    <w:rsid w:val="00E27896"/>
    <w:rsid w:val="00E329B4"/>
    <w:rsid w:val="00E3682D"/>
    <w:rsid w:val="00E40689"/>
    <w:rsid w:val="00E460DF"/>
    <w:rsid w:val="00E712C8"/>
    <w:rsid w:val="00E71F43"/>
    <w:rsid w:val="00E774D6"/>
    <w:rsid w:val="00E774EB"/>
    <w:rsid w:val="00E8005C"/>
    <w:rsid w:val="00E96D47"/>
    <w:rsid w:val="00EA51AA"/>
    <w:rsid w:val="00EA739D"/>
    <w:rsid w:val="00EB30BC"/>
    <w:rsid w:val="00EB7A94"/>
    <w:rsid w:val="00EB7D73"/>
    <w:rsid w:val="00EC0D9B"/>
    <w:rsid w:val="00EC33F2"/>
    <w:rsid w:val="00ED65FE"/>
    <w:rsid w:val="00EE2847"/>
    <w:rsid w:val="00EE5227"/>
    <w:rsid w:val="00EE5A51"/>
    <w:rsid w:val="00EF0D35"/>
    <w:rsid w:val="00EF1C71"/>
    <w:rsid w:val="00EF291A"/>
    <w:rsid w:val="00EF403A"/>
    <w:rsid w:val="00F14B26"/>
    <w:rsid w:val="00F31F35"/>
    <w:rsid w:val="00F53D57"/>
    <w:rsid w:val="00F6139A"/>
    <w:rsid w:val="00F6616C"/>
    <w:rsid w:val="00F812EA"/>
    <w:rsid w:val="00FB4C36"/>
    <w:rsid w:val="00FF50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A4B3EE"/>
  <w15:chartTrackingRefBased/>
  <w15:docId w15:val="{A0BC9AFD-3F49-4EBF-A93D-D0F2D31C9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character" w:styleId="CommentReference">
    <w:name w:val="annotation reference"/>
    <w:basedOn w:val="DefaultParagraphFont"/>
    <w:rsid w:val="00452A95"/>
    <w:rPr>
      <w:sz w:val="16"/>
      <w:szCs w:val="16"/>
    </w:rPr>
  </w:style>
  <w:style w:type="paragraph" w:styleId="CommentText">
    <w:name w:val="annotation text"/>
    <w:basedOn w:val="Normal"/>
    <w:link w:val="CommentTextChar"/>
    <w:rsid w:val="00452A95"/>
  </w:style>
  <w:style w:type="character" w:customStyle="1" w:styleId="CommentTextChar">
    <w:name w:val="Comment Text Char"/>
    <w:basedOn w:val="DefaultParagraphFont"/>
    <w:link w:val="CommentText"/>
    <w:rsid w:val="00452A95"/>
    <w:rPr>
      <w:rFonts w:ascii="Arial" w:eastAsia="MS Mincho" w:hAnsi="Arial"/>
      <w:lang w:eastAsia="en-US"/>
    </w:rPr>
  </w:style>
  <w:style w:type="paragraph" w:styleId="CommentSubject">
    <w:name w:val="annotation subject"/>
    <w:basedOn w:val="CommentText"/>
    <w:next w:val="CommentText"/>
    <w:link w:val="CommentSubjectChar"/>
    <w:rsid w:val="00452A95"/>
    <w:rPr>
      <w:b/>
      <w:bCs/>
    </w:rPr>
  </w:style>
  <w:style w:type="character" w:customStyle="1" w:styleId="CommentSubjectChar">
    <w:name w:val="Comment Subject Char"/>
    <w:basedOn w:val="CommentTextChar"/>
    <w:link w:val="CommentSubject"/>
    <w:rsid w:val="00452A95"/>
    <w:rPr>
      <w:rFonts w:ascii="Arial" w:eastAsia="MS Mincho"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3gpp.org/ftp/tsg_ran/TSG_RAN/TSGR_94e/Docs/RP-213568.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9CDE65-8E88-4274-AAFD-F465B7C126FB}">
  <ds:schemaRefs>
    <ds:schemaRef ds:uri="9b239327-9e80-40e4-b1b7-4394fed77a33"/>
    <ds:schemaRef ds:uri="http://purl.org/dc/elements/1.1/"/>
    <ds:schemaRef ds:uri="http://purl.org/dc/dcmitype/"/>
    <ds:schemaRef ds:uri="http://purl.org/dc/terms/"/>
    <ds:schemaRef ds:uri="d8762117-8292-4133-b1c7-eab5c6487cfd"/>
    <ds:schemaRef ds:uri="http://schemas.microsoft.com/sharepoint/v3"/>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2f282d3b-eb4a-4b09-b61f-b9593442e286"/>
  </ds:schemaRefs>
</ds:datastoreItem>
</file>

<file path=customXml/itemProps2.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3.xml><?xml version="1.0" encoding="utf-8"?>
<ds:datastoreItem xmlns:ds="http://schemas.openxmlformats.org/officeDocument/2006/customXml" ds:itemID="{4F6D6EE0-528B-47A9-B235-FC8E000F8BFE}">
  <ds:schemaRefs>
    <ds:schemaRef ds:uri="http://schemas.microsoft.com/sharepoint/v3/contenttype/forms"/>
  </ds:schemaRefs>
</ds:datastoreItem>
</file>

<file path=customXml/itemProps4.xml><?xml version="1.0" encoding="utf-8"?>
<ds:datastoreItem xmlns:ds="http://schemas.openxmlformats.org/officeDocument/2006/customXml" ds:itemID="{7681B0F3-076E-4506-B75A-8CF576FF2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Pages>
  <Words>3356</Words>
  <Characters>18885</Characters>
  <Application>Microsoft Office Word</Application>
  <DocSecurity>0</DocSecurity>
  <Lines>157</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117bis-e</vt:lpstr>
      <vt:lpstr>3GPP TSG-RAN WG3 Meeting #60</vt:lpstr>
    </vt:vector>
  </TitlesOfParts>
  <Company>Siemens AG</Company>
  <LinksUpToDate>false</LinksUpToDate>
  <CharactersWithSpaces>22197</CharactersWithSpaces>
  <SharedDoc>false</SharedDoc>
  <HLinks>
    <vt:vector size="6" baseType="variant">
      <vt:variant>
        <vt:i4>3473490</vt:i4>
      </vt:variant>
      <vt:variant>
        <vt:i4>0</vt:i4>
      </vt:variant>
      <vt:variant>
        <vt:i4>0</vt:i4>
      </vt:variant>
      <vt:variant>
        <vt:i4>5</vt:i4>
      </vt:variant>
      <vt:variant>
        <vt:lpwstr>http://3gpp.org/ftp/tsg_ran/TSG_RAN/TSGR_94e/Docs/RP-213568.zip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117bis-e</dc:title>
  <dc:subject/>
  <dc:creator>Ericsson</dc:creator>
  <cp:keywords/>
  <cp:lastModifiedBy>Ericsson User</cp:lastModifiedBy>
  <cp:revision>8</cp:revision>
  <dcterms:created xsi:type="dcterms:W3CDTF">2022-09-27T14:59:00Z</dcterms:created>
  <dcterms:modified xsi:type="dcterms:W3CDTF">2022-09-27T18:12:00Z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