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825" w:rsidRPr="003D669F" w:rsidRDefault="00E25825" w:rsidP="00E25825">
      <w:pPr>
        <w:pStyle w:val="TdocHeader2"/>
        <w:tabs>
          <w:tab w:val="clear" w:pos="1701"/>
        </w:tabs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</w:t>
      </w:r>
      <w:r>
        <w:rPr>
          <w:rFonts w:ascii="Calibri" w:eastAsia="SimSun" w:hAnsi="Calibri" w:cs="Calibri"/>
          <w:bCs/>
          <w:noProof/>
          <w:sz w:val="24"/>
          <w:szCs w:val="24"/>
          <w:lang w:val="en-US" w:eastAsia="zh-CN"/>
        </w:rPr>
        <w:t>3</w:t>
      </w:r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WG Meeting #10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9</w:t>
      </w:r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-e</w:t>
      </w:r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</w:t>
      </w:r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      </w:t>
      </w:r>
      <w:r w:rsidR="00825038" w:rsidRPr="00825038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R3-204698</w:t>
      </w:r>
      <w:bookmarkStart w:id="2" w:name="_GoBack"/>
      <w:bookmarkEnd w:id="2"/>
    </w:p>
    <w:p w:rsidR="00E25825" w:rsidRPr="003D669F" w:rsidRDefault="00E25825" w:rsidP="00E25825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Online, 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August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17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 –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August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28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 2020</w:t>
      </w:r>
    </w:p>
    <w:p w:rsidR="00E25825" w:rsidRPr="003D669F" w:rsidRDefault="00E25825" w:rsidP="00E25825">
      <w:pPr>
        <w:pStyle w:val="TdocHeader2"/>
        <w:tabs>
          <w:tab w:val="clear" w:pos="1701"/>
          <w:tab w:val="left" w:pos="1577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E25825" w:rsidRDefault="00A434AF" w:rsidP="00E25825">
      <w:pPr>
        <w:pStyle w:val="TdocHeader2"/>
        <w:tabs>
          <w:tab w:val="clear" w:pos="1701"/>
          <w:tab w:val="left" w:pos="1577"/>
        </w:tabs>
        <w:rPr>
          <w:rFonts w:ascii="Calibri" w:hAnsi="Calibri" w:cs="Calibri"/>
          <w:sz w:val="24"/>
          <w:szCs w:val="24"/>
          <w:lang w:val="en-US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DA1122">
        <w:rPr>
          <w:rFonts w:ascii="Calibri" w:hAnsi="Calibri" w:cs="Calibri"/>
          <w:sz w:val="24"/>
          <w:szCs w:val="24"/>
          <w:lang w:val="en-US"/>
        </w:rPr>
        <w:t xml:space="preserve">Considerations on </w:t>
      </w:r>
      <w:bookmarkEnd w:id="0"/>
      <w:bookmarkEnd w:id="1"/>
      <w:r w:rsidR="00A85FBE" w:rsidRPr="00A85FBE">
        <w:rPr>
          <w:rFonts w:ascii="Calibri" w:hAnsi="Calibri" w:cs="Calibri"/>
          <w:sz w:val="24"/>
          <w:szCs w:val="24"/>
          <w:lang w:val="en-US"/>
        </w:rPr>
        <w:t xml:space="preserve">differentiation </w:t>
      </w:r>
      <w:r w:rsidR="00A85FBE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i</w:t>
      </w:r>
      <w:r w:rsidR="00E25825" w:rsidRPr="00E25825">
        <w:rPr>
          <w:rFonts w:ascii="Calibri" w:hAnsi="Calibri" w:cs="Calibri"/>
          <w:sz w:val="24"/>
          <w:szCs w:val="24"/>
          <w:lang w:val="en-US"/>
        </w:rPr>
        <w:t>nter-donor</w:t>
      </w:r>
      <w:r w:rsidR="00A85FBE">
        <w:rPr>
          <w:rFonts w:ascii="Calibri" w:hAnsi="Calibri" w:cs="Calibri"/>
          <w:sz w:val="24"/>
          <w:szCs w:val="24"/>
          <w:lang w:val="en-US"/>
        </w:rPr>
        <w:t>/intra-donor</w:t>
      </w:r>
      <w:r w:rsidR="00E25825" w:rsidRPr="00E25825">
        <w:rPr>
          <w:rFonts w:ascii="Calibri" w:hAnsi="Calibri" w:cs="Calibri"/>
          <w:sz w:val="24"/>
          <w:szCs w:val="24"/>
          <w:lang w:val="en-US"/>
        </w:rPr>
        <w:t xml:space="preserve"> migration </w:t>
      </w:r>
    </w:p>
    <w:p w:rsidR="00E25825" w:rsidRPr="003D669F" w:rsidRDefault="00E25825" w:rsidP="00E25825">
      <w:pPr>
        <w:pStyle w:val="TdocHeader2"/>
        <w:tabs>
          <w:tab w:val="clear" w:pos="1701"/>
          <w:tab w:val="left" w:pos="1577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E25825" w:rsidRPr="00B44F2F" w:rsidRDefault="00E25825" w:rsidP="00E25825">
      <w:pPr>
        <w:pStyle w:val="TdocHeader2"/>
        <w:tabs>
          <w:tab w:val="clear" w:pos="1701"/>
          <w:tab w:val="left" w:pos="1577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E70630">
        <w:rPr>
          <w:rFonts w:ascii="Calibri" w:hAnsi="Calibri" w:cs="Calibri"/>
          <w:sz w:val="24"/>
          <w:szCs w:val="24"/>
          <w:lang w:val="en-US"/>
        </w:rPr>
        <w:t>13.2.1</w:t>
      </w:r>
      <w:r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7039FB">
        <w:rPr>
          <w:rFonts w:ascii="Calibri" w:hAnsi="Calibri" w:cs="Calibri"/>
          <w:sz w:val="24"/>
          <w:szCs w:val="24"/>
          <w:lang w:val="en-US"/>
        </w:rPr>
        <w:t>Inter-Donor IAB Node Migration</w:t>
      </w:r>
    </w:p>
    <w:p w:rsidR="00E25825" w:rsidRPr="003D669F" w:rsidRDefault="00E25825" w:rsidP="00E25825">
      <w:pPr>
        <w:pStyle w:val="TdocHeader2"/>
        <w:tabs>
          <w:tab w:val="clear" w:pos="1701"/>
          <w:tab w:val="left" w:pos="1577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E25825" w:rsidRPr="003D669F" w:rsidRDefault="00E25825" w:rsidP="00E25825">
      <w:pPr>
        <w:pStyle w:val="TdocHeader2"/>
        <w:tabs>
          <w:tab w:val="clear" w:pos="1701"/>
          <w:tab w:val="left" w:pos="1577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>
        <w:rPr>
          <w:rFonts w:ascii="Calibri" w:eastAsiaTheme="minorEastAsia" w:hAnsi="Calibri" w:cs="Calibri"/>
          <w:sz w:val="24"/>
          <w:szCs w:val="24"/>
          <w:lang w:val="en-US" w:eastAsia="ja-JP"/>
        </w:rPr>
        <w:t>7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266B34" w:rsidRDefault="00B60201" w:rsidP="000E00F6">
      <w:pPr>
        <w:spacing w:after="240" w:line="300" w:lineRule="exact"/>
        <w:rPr>
          <w:lang w:eastAsia="ja-JP"/>
        </w:rPr>
      </w:pPr>
      <w:r w:rsidRPr="00B60201">
        <w:rPr>
          <w:rFonts w:ascii="Calibri" w:hAnsi="Calibri" w:cs="Calibri"/>
          <w:szCs w:val="24"/>
          <w:lang w:val="en-GB" w:eastAsia="ja-JP"/>
        </w:rPr>
        <w:t xml:space="preserve">In this contribution we discuss </w:t>
      </w:r>
      <w:r w:rsidR="00266B34" w:rsidRPr="00266B34">
        <w:rPr>
          <w:rFonts w:ascii="Calibri" w:hAnsi="Calibri" w:cs="Calibri"/>
          <w:szCs w:val="24"/>
          <w:lang w:val="en-GB" w:eastAsia="ja-JP"/>
        </w:rPr>
        <w:t>inter-donor IAB-node migration</w:t>
      </w:r>
      <w:r w:rsidR="00D53772">
        <w:rPr>
          <w:rFonts w:ascii="Calibri" w:hAnsi="Calibri" w:cs="Calibri"/>
          <w:szCs w:val="24"/>
          <w:lang w:val="en-GB" w:eastAsia="ja-JP"/>
        </w:rPr>
        <w:t xml:space="preserve">, the objective </w:t>
      </w:r>
      <w:r w:rsidR="00D53772">
        <w:rPr>
          <w:lang w:eastAsia="ja-JP"/>
        </w:rPr>
        <w:t>is to be specified in Rel-17</w:t>
      </w:r>
      <w:r w:rsidR="00667BD3">
        <w:rPr>
          <w:lang w:eastAsia="ja-JP"/>
        </w:rPr>
        <w:t xml:space="preserve"> [1]</w:t>
      </w:r>
      <w:r w:rsidR="00D53772">
        <w:rPr>
          <w:lang w:eastAsia="ja-JP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78"/>
      </w:tblGrid>
      <w:tr w:rsidR="006327EB" w:rsidTr="006327EB">
        <w:tc>
          <w:tcPr>
            <w:tcW w:w="10278" w:type="dxa"/>
          </w:tcPr>
          <w:p w:rsidR="006327EB" w:rsidRPr="006327EB" w:rsidRDefault="006327EB" w:rsidP="006327E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6327EB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GB"/>
              </w:rPr>
              <w:t>Topology adaptation enhancements [RAN3-led, RAN2]:</w:t>
            </w:r>
          </w:p>
          <w:p w:rsidR="006327EB" w:rsidRPr="006327EB" w:rsidRDefault="006327EB" w:rsidP="006327E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en-GB"/>
              </w:rPr>
            </w:pPr>
            <w:r w:rsidRPr="006327EB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en-GB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:rsidR="006327EB" w:rsidRPr="006327EB" w:rsidRDefault="006327EB" w:rsidP="006327E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</w:pPr>
            <w:r w:rsidRPr="006327EB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Specification of enhancements to reduce service interruption due to IAB-node migration and BH RLF recovery.</w:t>
            </w:r>
          </w:p>
          <w:p w:rsidR="006327EB" w:rsidRPr="006327EB" w:rsidRDefault="006327EB" w:rsidP="006327E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</w:pPr>
            <w:r w:rsidRPr="006327EB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Specification of enhancements to topological redundancy, including support of CP/UP separation.</w:t>
            </w:r>
          </w:p>
        </w:tc>
      </w:tr>
    </w:tbl>
    <w:p w:rsidR="00266B34" w:rsidRPr="00D53772" w:rsidRDefault="00266B34" w:rsidP="000E00F6">
      <w:pPr>
        <w:spacing w:after="240" w:line="300" w:lineRule="exact"/>
        <w:rPr>
          <w:rFonts w:ascii="Calibri" w:hAnsi="Calibri" w:cs="Calibri"/>
          <w:lang w:val="en-GB" w:eastAsia="ja-JP"/>
        </w:rPr>
      </w:pPr>
    </w:p>
    <w:p w:rsidR="007258E6" w:rsidRPr="0084100B" w:rsidRDefault="008F6AA2" w:rsidP="000E00F6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84100B">
        <w:rPr>
          <w:rFonts w:asciiTheme="minorHAnsi" w:eastAsiaTheme="minorEastAsia" w:hAnsiTheme="minorHAnsi" w:cstheme="minorHAnsi"/>
          <w:lang w:val="en-US" w:eastAsia="ja-JP"/>
        </w:rPr>
        <w:t>Discussion</w:t>
      </w:r>
    </w:p>
    <w:p w:rsidR="00DA1FDA" w:rsidRDefault="00D62CFC" w:rsidP="00CC7C15">
      <w:pPr>
        <w:pStyle w:val="a3"/>
        <w:widowControl w:val="0"/>
        <w:spacing w:afterLines="50" w:after="120" w:line="320" w:lineRule="exact"/>
        <w:ind w:left="0" w:firstLineChars="1" w:firstLine="2"/>
        <w:contextualSpacing w:val="0"/>
        <w:rPr>
          <w:lang w:eastAsia="ja-JP"/>
        </w:rPr>
      </w:pPr>
      <w:r>
        <w:rPr>
          <w:lang w:eastAsia="ja-JP"/>
        </w:rPr>
        <w:t xml:space="preserve">In-Rel16, </w:t>
      </w:r>
      <w:r w:rsidR="00DA1FDA">
        <w:rPr>
          <w:rFonts w:hint="eastAsia"/>
          <w:lang w:eastAsia="ja-JP"/>
        </w:rPr>
        <w:t>R</w:t>
      </w:r>
      <w:r w:rsidR="00DA1FDA">
        <w:rPr>
          <w:lang w:eastAsia="ja-JP"/>
        </w:rPr>
        <w:t>AN3 agreed the stage2 statements for intra-CU topology adaptation procedure</w:t>
      </w:r>
      <w:r w:rsidR="00667BD3">
        <w:rPr>
          <w:lang w:eastAsia="ja-JP"/>
        </w:rPr>
        <w:t xml:space="preserve"> [2]</w:t>
      </w:r>
      <w:r w:rsidR="00DA1FDA">
        <w:rPr>
          <w:lang w:eastAsia="ja-JP"/>
        </w:rPr>
        <w:t xml:space="preserve">. </w:t>
      </w:r>
      <w:r w:rsidR="00C07CA6">
        <w:rPr>
          <w:lang w:eastAsia="ja-JP"/>
        </w:rPr>
        <w:t xml:space="preserve">In </w:t>
      </w:r>
      <w:r>
        <w:rPr>
          <w:lang w:eastAsia="ja-JP"/>
        </w:rPr>
        <w:t>this</w:t>
      </w:r>
      <w:r w:rsidR="00C07CA6">
        <w:rPr>
          <w:lang w:eastAsia="ja-JP"/>
        </w:rPr>
        <w:t xml:space="preserve"> int</w:t>
      </w:r>
      <w:r w:rsidR="005F7717">
        <w:rPr>
          <w:lang w:eastAsia="ja-JP"/>
        </w:rPr>
        <w:t>ra</w:t>
      </w:r>
      <w:r w:rsidR="00C07CA6">
        <w:rPr>
          <w:lang w:eastAsia="ja-JP"/>
        </w:rPr>
        <w:t xml:space="preserve">-CU topology adaptation, </w:t>
      </w:r>
      <w:r w:rsidR="0094566B">
        <w:rPr>
          <w:lang w:eastAsia="ja-JP"/>
        </w:rPr>
        <w:t xml:space="preserve">established </w:t>
      </w:r>
      <w:r w:rsidR="00C07CA6">
        <w:rPr>
          <w:lang w:eastAsia="ja-JP"/>
        </w:rPr>
        <w:t>F1 association between the IAB node and the donor-CU is maintained</w:t>
      </w:r>
      <w:r w:rsidR="00DA6D63">
        <w:rPr>
          <w:rFonts w:hint="eastAsia"/>
          <w:lang w:eastAsia="ja-JP"/>
        </w:rPr>
        <w:t xml:space="preserve"> </w:t>
      </w:r>
      <w:r w:rsidR="00DA6D63">
        <w:rPr>
          <w:lang w:eastAsia="ja-JP"/>
        </w:rPr>
        <w:t>after the migration</w:t>
      </w:r>
      <w:r>
        <w:rPr>
          <w:lang w:eastAsia="ja-JP"/>
        </w:rPr>
        <w:t>. O</w:t>
      </w:r>
      <w:r w:rsidR="00C07CA6">
        <w:rPr>
          <w:lang w:eastAsia="ja-JP"/>
        </w:rPr>
        <w:t xml:space="preserve">n the other </w:t>
      </w:r>
      <w:r>
        <w:rPr>
          <w:lang w:eastAsia="ja-JP"/>
        </w:rPr>
        <w:t>hand,</w:t>
      </w:r>
      <w:r w:rsidR="00C07CA6">
        <w:rPr>
          <w:lang w:eastAsia="ja-JP"/>
        </w:rPr>
        <w:t xml:space="preserve"> the inter-CU topology adaptation </w:t>
      </w:r>
      <w:r>
        <w:rPr>
          <w:lang w:eastAsia="ja-JP"/>
        </w:rPr>
        <w:t xml:space="preserve">is to be specified in Rel-17, it </w:t>
      </w:r>
      <w:r w:rsidR="00F25B43">
        <w:rPr>
          <w:lang w:eastAsia="ja-JP"/>
        </w:rPr>
        <w:t xml:space="preserve">requires </w:t>
      </w:r>
      <w:r>
        <w:rPr>
          <w:lang w:eastAsia="ja-JP"/>
        </w:rPr>
        <w:t>a</w:t>
      </w:r>
      <w:r w:rsidR="00EA633E">
        <w:rPr>
          <w:lang w:eastAsia="ja-JP"/>
        </w:rPr>
        <w:t xml:space="preserve"> migrating IAB node </w:t>
      </w:r>
      <w:r w:rsidR="00F25B43">
        <w:rPr>
          <w:lang w:eastAsia="ja-JP"/>
        </w:rPr>
        <w:t>to initiate F1 setup procedure</w:t>
      </w:r>
      <w:r w:rsidR="00EA633E">
        <w:rPr>
          <w:lang w:eastAsia="ja-JP"/>
        </w:rPr>
        <w:t xml:space="preserve"> </w:t>
      </w:r>
      <w:r w:rsidR="002068F7">
        <w:rPr>
          <w:lang w:eastAsia="ja-JP"/>
        </w:rPr>
        <w:t xml:space="preserve">(defined in </w:t>
      </w:r>
      <w:r w:rsidR="002068F7" w:rsidRPr="002068F7">
        <w:rPr>
          <w:lang w:eastAsia="ja-JP"/>
        </w:rPr>
        <w:t>TS38.473</w:t>
      </w:r>
      <w:r w:rsidR="002068F7">
        <w:rPr>
          <w:lang w:eastAsia="ja-JP"/>
        </w:rPr>
        <w:t xml:space="preserve">) </w:t>
      </w:r>
      <w:r w:rsidR="00EA633E">
        <w:rPr>
          <w:lang w:eastAsia="ja-JP"/>
        </w:rPr>
        <w:t xml:space="preserve">with </w:t>
      </w:r>
      <w:r w:rsidR="00630059">
        <w:rPr>
          <w:lang w:eastAsia="ja-JP"/>
        </w:rPr>
        <w:t>a</w:t>
      </w:r>
      <w:r w:rsidR="00EA633E">
        <w:rPr>
          <w:lang w:eastAsia="ja-JP"/>
        </w:rPr>
        <w:t xml:space="preserve"> new donor-CU</w:t>
      </w:r>
      <w:r w:rsidR="00DA6D63">
        <w:rPr>
          <w:lang w:eastAsia="ja-JP"/>
        </w:rPr>
        <w:t>, so that the migrating IAB node can obtain the necessary information from the new IAB donor</w:t>
      </w:r>
      <w:r w:rsidR="00F25B43">
        <w:rPr>
          <w:lang w:eastAsia="ja-JP"/>
        </w:rPr>
        <w:t>.</w:t>
      </w:r>
      <w:r>
        <w:rPr>
          <w:lang w:eastAsia="ja-JP"/>
        </w:rPr>
        <w:t xml:space="preserve"> To initiate </w:t>
      </w:r>
      <w:r w:rsidR="00D20663">
        <w:rPr>
          <w:lang w:eastAsia="ja-JP"/>
        </w:rPr>
        <w:t xml:space="preserve">the </w:t>
      </w:r>
      <w:r>
        <w:rPr>
          <w:lang w:eastAsia="ja-JP"/>
        </w:rPr>
        <w:t xml:space="preserve">F1 setup procedure for </w:t>
      </w:r>
      <w:r w:rsidR="00630059">
        <w:rPr>
          <w:lang w:eastAsia="ja-JP"/>
        </w:rPr>
        <w:t>this</w:t>
      </w:r>
      <w:r>
        <w:rPr>
          <w:lang w:eastAsia="ja-JP"/>
        </w:rPr>
        <w:t xml:space="preserve"> case, a migrating IAB node needs to recognize whether the migration is intra-CU or inter-CU.</w:t>
      </w:r>
    </w:p>
    <w:p w:rsidR="00533E74" w:rsidRDefault="00533E74" w:rsidP="00533E74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  <w:rPr>
          <w:b/>
        </w:rPr>
      </w:pPr>
    </w:p>
    <w:p w:rsidR="00533E74" w:rsidRPr="00443817" w:rsidRDefault="00533E74" w:rsidP="00533E74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  <w:rPr>
          <w:u w:val="single"/>
        </w:rPr>
      </w:pPr>
      <w:r w:rsidRPr="00443817">
        <w:rPr>
          <w:b/>
          <w:u w:val="single"/>
        </w:rPr>
        <w:t>Observation:</w:t>
      </w:r>
      <w:r w:rsidRPr="00443817">
        <w:rPr>
          <w:u w:val="single"/>
        </w:rPr>
        <w:t xml:space="preserve"> </w:t>
      </w:r>
    </w:p>
    <w:p w:rsidR="00D62CFC" w:rsidRDefault="00D62CFC" w:rsidP="00D62CFC">
      <w:pPr>
        <w:pStyle w:val="a3"/>
        <w:widowControl w:val="0"/>
        <w:spacing w:afterLines="50" w:after="120" w:line="320" w:lineRule="exact"/>
        <w:ind w:left="0" w:firstLineChars="1" w:firstLine="2"/>
        <w:contextualSpacing w:val="0"/>
        <w:rPr>
          <w:lang w:eastAsia="ja-JP"/>
        </w:rPr>
      </w:pPr>
      <w:r>
        <w:rPr>
          <w:lang w:eastAsia="ja-JP"/>
        </w:rPr>
        <w:t xml:space="preserve">For inter-CU migration case, a migrating IAB node </w:t>
      </w:r>
      <w:r w:rsidR="00630059">
        <w:rPr>
          <w:lang w:eastAsia="ja-JP"/>
        </w:rPr>
        <w:t xml:space="preserve">needs </w:t>
      </w:r>
      <w:r>
        <w:rPr>
          <w:lang w:eastAsia="ja-JP"/>
        </w:rPr>
        <w:t>to initiate new F1 setup procedure</w:t>
      </w:r>
      <w:r>
        <w:t xml:space="preserve"> with a new donor-CU. </w:t>
      </w:r>
      <w:r>
        <w:rPr>
          <w:lang w:eastAsia="ja-JP"/>
        </w:rPr>
        <w:t xml:space="preserve">To initiate F1 setup procedure, a migrating IAB node needs to recognize whether </w:t>
      </w:r>
      <w:r w:rsidR="00630059">
        <w:rPr>
          <w:lang w:eastAsia="ja-JP"/>
        </w:rPr>
        <w:t>a</w:t>
      </w:r>
      <w:r>
        <w:rPr>
          <w:lang w:eastAsia="ja-JP"/>
        </w:rPr>
        <w:t xml:space="preserve"> migration is intra-CU or inter-CU.</w:t>
      </w:r>
    </w:p>
    <w:p w:rsidR="00533E74" w:rsidRPr="00630059" w:rsidRDefault="00533E74" w:rsidP="00533E74">
      <w:pPr>
        <w:widowControl w:val="0"/>
        <w:spacing w:after="0" w:line="320" w:lineRule="exact"/>
        <w:ind w:leftChars="1" w:left="2"/>
        <w:rPr>
          <w:lang w:eastAsia="ja-JP"/>
        </w:rPr>
      </w:pPr>
    </w:p>
    <w:p w:rsidR="00533E74" w:rsidRPr="00443817" w:rsidRDefault="00533E74" w:rsidP="00533E74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  <w:rPr>
          <w:u w:val="single"/>
        </w:rPr>
      </w:pPr>
      <w:r w:rsidRPr="00443817">
        <w:rPr>
          <w:b/>
          <w:u w:val="single"/>
          <w:lang w:eastAsia="ja-JP"/>
        </w:rPr>
        <w:t>Proposal</w:t>
      </w:r>
      <w:r w:rsidRPr="00443817">
        <w:rPr>
          <w:b/>
          <w:u w:val="single"/>
        </w:rPr>
        <w:t>:</w:t>
      </w:r>
    </w:p>
    <w:p w:rsidR="00533E74" w:rsidRDefault="00533E74" w:rsidP="00D62CFC">
      <w:pPr>
        <w:pStyle w:val="a3"/>
        <w:widowControl w:val="0"/>
        <w:spacing w:after="0" w:line="320" w:lineRule="exact"/>
        <w:ind w:left="0" w:firstLineChars="1" w:firstLine="2"/>
        <w:contextualSpacing w:val="0"/>
        <w:rPr>
          <w:lang w:eastAsia="ja-JP"/>
        </w:rPr>
      </w:pPr>
      <w:r>
        <w:t>RAN</w:t>
      </w:r>
      <w:r w:rsidR="00D62CFC">
        <w:t xml:space="preserve">3 requests RAN2 to develop </w:t>
      </w:r>
      <w:r w:rsidR="00630059">
        <w:t>an</w:t>
      </w:r>
      <w:r>
        <w:t xml:space="preserve"> RRC </w:t>
      </w:r>
      <w:r w:rsidR="00646ED1">
        <w:t>indication</w:t>
      </w:r>
      <w:r w:rsidR="005A1B4A">
        <w:t xml:space="preserve"> which is used</w:t>
      </w:r>
      <w:r>
        <w:t xml:space="preserve"> </w:t>
      </w:r>
      <w:r w:rsidR="00630059">
        <w:t xml:space="preserve">at IAB-DU </w:t>
      </w:r>
      <w:r>
        <w:t xml:space="preserve">to </w:t>
      </w:r>
      <w:r w:rsidR="001E51C0">
        <w:t xml:space="preserve">figure out </w:t>
      </w:r>
      <w:r w:rsidRPr="00533E74">
        <w:rPr>
          <w:lang w:eastAsia="ja-JP"/>
        </w:rPr>
        <w:t xml:space="preserve">which </w:t>
      </w:r>
      <w:r w:rsidR="00630059">
        <w:rPr>
          <w:lang w:eastAsia="ja-JP"/>
        </w:rPr>
        <w:t>migration</w:t>
      </w:r>
      <w:r w:rsidRPr="00533E74">
        <w:rPr>
          <w:lang w:eastAsia="ja-JP"/>
        </w:rPr>
        <w:t xml:space="preserve"> is triggered, intra-CU or inter-CU</w:t>
      </w:r>
      <w:r>
        <w:rPr>
          <w:lang w:eastAsia="ja-JP"/>
        </w:rPr>
        <w:t>.</w:t>
      </w:r>
    </w:p>
    <w:p w:rsidR="00494A1C" w:rsidRPr="001E51C0" w:rsidRDefault="00494A1C" w:rsidP="00C90ED1">
      <w:pPr>
        <w:widowControl w:val="0"/>
        <w:spacing w:after="0" w:line="240" w:lineRule="auto"/>
        <w:rPr>
          <w:lang w:eastAsia="ja-JP"/>
        </w:rPr>
      </w:pPr>
    </w:p>
    <w:p w:rsidR="00443817" w:rsidRDefault="00443817" w:rsidP="00443817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lastRenderedPageBreak/>
        <w:t>Conclusions</w:t>
      </w:r>
    </w:p>
    <w:p w:rsidR="00443817" w:rsidRDefault="00443817" w:rsidP="00443817">
      <w:pPr>
        <w:spacing w:after="240" w:line="300" w:lineRule="exact"/>
        <w:rPr>
          <w:rFonts w:ascii="Calibri" w:hAnsi="Calibri" w:cs="Calibri"/>
          <w:szCs w:val="24"/>
          <w:lang w:val="en-GB" w:eastAsia="ja-JP"/>
        </w:rPr>
      </w:pPr>
      <w:r>
        <w:rPr>
          <w:lang w:eastAsia="ja-JP"/>
        </w:rPr>
        <w:t>In this contribution, the following observation and proposal is made</w:t>
      </w:r>
      <w:r>
        <w:rPr>
          <w:rFonts w:ascii="Calibri" w:hAnsi="Calibri" w:cs="Calibri"/>
          <w:szCs w:val="24"/>
          <w:lang w:val="en-GB" w:eastAsia="ja-JP"/>
        </w:rPr>
        <w:t>:</w:t>
      </w:r>
    </w:p>
    <w:p w:rsidR="00443817" w:rsidRPr="00443817" w:rsidRDefault="00443817" w:rsidP="00443817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  <w:rPr>
          <w:u w:val="single"/>
        </w:rPr>
      </w:pPr>
      <w:r w:rsidRPr="00443817">
        <w:rPr>
          <w:b/>
          <w:u w:val="single"/>
        </w:rPr>
        <w:t>Observation:</w:t>
      </w:r>
      <w:r w:rsidRPr="00443817">
        <w:rPr>
          <w:u w:val="single"/>
        </w:rPr>
        <w:t xml:space="preserve"> </w:t>
      </w:r>
    </w:p>
    <w:p w:rsidR="00443817" w:rsidRDefault="00443817" w:rsidP="00443817">
      <w:pPr>
        <w:pStyle w:val="a3"/>
        <w:widowControl w:val="0"/>
        <w:spacing w:afterLines="50" w:after="120" w:line="320" w:lineRule="exact"/>
        <w:ind w:left="0" w:firstLineChars="1" w:firstLine="2"/>
        <w:contextualSpacing w:val="0"/>
        <w:rPr>
          <w:lang w:eastAsia="ja-JP"/>
        </w:rPr>
      </w:pPr>
      <w:r>
        <w:rPr>
          <w:lang w:eastAsia="ja-JP"/>
        </w:rPr>
        <w:t>For inter-CU migration case, a migrating IAB node needs to initiate new F1 setup procedure</w:t>
      </w:r>
      <w:r>
        <w:t xml:space="preserve"> with a new donor-CU. </w:t>
      </w:r>
      <w:r>
        <w:rPr>
          <w:lang w:eastAsia="ja-JP"/>
        </w:rPr>
        <w:t>To initiate F1 setup procedure, a migrating IAB node needs to recognize whether a migration is intra-CU or inter-CU.</w:t>
      </w:r>
    </w:p>
    <w:p w:rsidR="00443817" w:rsidRPr="00630059" w:rsidRDefault="00443817" w:rsidP="00443817">
      <w:pPr>
        <w:widowControl w:val="0"/>
        <w:spacing w:after="0" w:line="320" w:lineRule="exact"/>
        <w:ind w:leftChars="1" w:left="2"/>
        <w:rPr>
          <w:lang w:eastAsia="ja-JP"/>
        </w:rPr>
      </w:pPr>
    </w:p>
    <w:p w:rsidR="00443817" w:rsidRPr="00443817" w:rsidRDefault="00443817" w:rsidP="00443817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  <w:rPr>
          <w:u w:val="single"/>
        </w:rPr>
      </w:pPr>
      <w:r w:rsidRPr="00443817">
        <w:rPr>
          <w:b/>
          <w:u w:val="single"/>
          <w:lang w:eastAsia="ja-JP"/>
        </w:rPr>
        <w:t>Proposal</w:t>
      </w:r>
      <w:r w:rsidRPr="00443817">
        <w:rPr>
          <w:b/>
          <w:u w:val="single"/>
        </w:rPr>
        <w:t>:</w:t>
      </w:r>
    </w:p>
    <w:p w:rsidR="00443817" w:rsidRDefault="00443817" w:rsidP="00443817">
      <w:pPr>
        <w:pStyle w:val="a3"/>
        <w:widowControl w:val="0"/>
        <w:spacing w:after="0" w:line="320" w:lineRule="exact"/>
        <w:ind w:left="0" w:firstLineChars="1" w:firstLine="2"/>
        <w:contextualSpacing w:val="0"/>
        <w:rPr>
          <w:lang w:eastAsia="ja-JP"/>
        </w:rPr>
      </w:pPr>
      <w:r>
        <w:t xml:space="preserve">RAN3 requests RAN2 to develop an RRC indication which is used at IAB-DU to figure out </w:t>
      </w:r>
      <w:r w:rsidRPr="00533E74">
        <w:rPr>
          <w:lang w:eastAsia="ja-JP"/>
        </w:rPr>
        <w:t xml:space="preserve">which </w:t>
      </w:r>
      <w:r>
        <w:rPr>
          <w:lang w:eastAsia="ja-JP"/>
        </w:rPr>
        <w:t>migration</w:t>
      </w:r>
      <w:r w:rsidRPr="00533E74">
        <w:rPr>
          <w:lang w:eastAsia="ja-JP"/>
        </w:rPr>
        <w:t xml:space="preserve"> is triggered, intra-CU or inter-CU</w:t>
      </w:r>
      <w:r>
        <w:rPr>
          <w:lang w:eastAsia="ja-JP"/>
        </w:rPr>
        <w:t>.</w:t>
      </w:r>
    </w:p>
    <w:p w:rsidR="007634F9" w:rsidRPr="00443817" w:rsidRDefault="007634F9" w:rsidP="00C90ED1">
      <w:pPr>
        <w:widowControl w:val="0"/>
        <w:spacing w:after="0" w:line="240" w:lineRule="auto"/>
        <w:rPr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F55BF4" w:rsidRPr="00770C7E" w:rsidRDefault="00770C7E" w:rsidP="0030126D">
      <w:pPr>
        <w:spacing w:afterLines="25" w:after="60" w:line="240" w:lineRule="atLeast"/>
        <w:rPr>
          <w:sz w:val="23"/>
          <w:szCs w:val="23"/>
          <w:lang w:eastAsia="ja-JP"/>
        </w:rPr>
      </w:pPr>
      <w:r w:rsidRPr="00DF4A31">
        <w:rPr>
          <w:rFonts w:hint="eastAsia"/>
          <w:sz w:val="23"/>
          <w:szCs w:val="23"/>
          <w:lang w:eastAsia="ja-JP"/>
        </w:rPr>
        <w:t>[1]</w:t>
      </w:r>
      <w:r>
        <w:rPr>
          <w:sz w:val="23"/>
          <w:szCs w:val="23"/>
          <w:lang w:eastAsia="ja-JP"/>
        </w:rPr>
        <w:t xml:space="preserve"> </w:t>
      </w:r>
      <w:r w:rsidRPr="00192123">
        <w:rPr>
          <w:sz w:val="23"/>
          <w:szCs w:val="23"/>
          <w:lang w:eastAsia="ja-JP"/>
        </w:rPr>
        <w:t>RP-201293</w:t>
      </w:r>
      <w:r>
        <w:rPr>
          <w:sz w:val="23"/>
          <w:szCs w:val="23"/>
          <w:lang w:eastAsia="ja-JP"/>
        </w:rPr>
        <w:t xml:space="preserve">   </w:t>
      </w:r>
      <w:r>
        <w:rPr>
          <w:sz w:val="23"/>
          <w:szCs w:val="23"/>
          <w:lang w:eastAsia="ja-JP"/>
        </w:rPr>
        <w:tab/>
        <w:t xml:space="preserve">WID </w:t>
      </w:r>
      <w:r w:rsidRPr="00E70630">
        <w:rPr>
          <w:sz w:val="23"/>
          <w:szCs w:val="23"/>
          <w:lang w:eastAsia="ja-JP"/>
        </w:rPr>
        <w:t>Enhancements to Integrated Access and Backhaul for NR</w:t>
      </w:r>
      <w:r w:rsidR="00B20690">
        <w:rPr>
          <w:sz w:val="23"/>
          <w:szCs w:val="23"/>
          <w:lang w:eastAsia="ja-JP"/>
        </w:rPr>
        <w:tab/>
      </w:r>
      <w:r w:rsidR="00B20690">
        <w:rPr>
          <w:sz w:val="23"/>
          <w:szCs w:val="23"/>
          <w:lang w:eastAsia="ja-JP"/>
        </w:rPr>
        <w:tab/>
      </w:r>
      <w:r w:rsidR="00B20690" w:rsidRPr="00B20690">
        <w:rPr>
          <w:sz w:val="23"/>
          <w:szCs w:val="23"/>
          <w:lang w:eastAsia="ja-JP"/>
        </w:rPr>
        <w:t>Qualcomm</w:t>
      </w:r>
    </w:p>
    <w:p w:rsidR="00EB59C6" w:rsidRPr="009049AF" w:rsidRDefault="00DF4A31" w:rsidP="0030126D">
      <w:pPr>
        <w:spacing w:afterLines="25" w:after="60" w:line="240" w:lineRule="atLeast"/>
        <w:rPr>
          <w:sz w:val="23"/>
          <w:szCs w:val="23"/>
          <w:lang w:eastAsia="ja-JP"/>
        </w:rPr>
      </w:pPr>
      <w:r w:rsidRPr="00DF4A31">
        <w:rPr>
          <w:rFonts w:hint="eastAsia"/>
          <w:sz w:val="23"/>
          <w:szCs w:val="23"/>
          <w:lang w:eastAsia="ja-JP"/>
        </w:rPr>
        <w:t>[</w:t>
      </w:r>
      <w:r w:rsidR="00F55BF4">
        <w:rPr>
          <w:sz w:val="23"/>
          <w:szCs w:val="23"/>
          <w:lang w:eastAsia="ja-JP"/>
        </w:rPr>
        <w:t>2</w:t>
      </w:r>
      <w:r w:rsidRPr="00DF4A31">
        <w:rPr>
          <w:rFonts w:hint="eastAsia"/>
          <w:sz w:val="23"/>
          <w:szCs w:val="23"/>
          <w:lang w:eastAsia="ja-JP"/>
        </w:rPr>
        <w:t>]</w:t>
      </w:r>
      <w:r w:rsidR="00EB59C6">
        <w:rPr>
          <w:sz w:val="23"/>
          <w:szCs w:val="23"/>
          <w:lang w:eastAsia="ja-JP"/>
        </w:rPr>
        <w:t xml:space="preserve"> </w:t>
      </w:r>
      <w:r w:rsidR="004069EC" w:rsidRPr="004069EC">
        <w:rPr>
          <w:sz w:val="23"/>
          <w:szCs w:val="23"/>
          <w:lang w:eastAsia="ja-JP"/>
        </w:rPr>
        <w:t>R3-197808</w:t>
      </w:r>
      <w:r w:rsidR="004069EC">
        <w:rPr>
          <w:sz w:val="23"/>
          <w:szCs w:val="23"/>
          <w:lang w:eastAsia="ja-JP"/>
        </w:rPr>
        <w:tab/>
      </w:r>
      <w:r w:rsidR="004069EC">
        <w:rPr>
          <w:sz w:val="23"/>
          <w:szCs w:val="23"/>
          <w:lang w:eastAsia="ja-JP"/>
        </w:rPr>
        <w:tab/>
      </w:r>
      <w:r w:rsidR="004069EC" w:rsidRPr="004069EC">
        <w:rPr>
          <w:sz w:val="23"/>
          <w:szCs w:val="23"/>
          <w:lang w:eastAsia="ja-JP"/>
        </w:rPr>
        <w:t>BL CR to 38.401 Support for IAB</w:t>
      </w:r>
      <w:r w:rsidR="004069EC">
        <w:rPr>
          <w:sz w:val="23"/>
          <w:szCs w:val="23"/>
          <w:lang w:eastAsia="ja-JP"/>
        </w:rPr>
        <w:t xml:space="preserve"> (</w:t>
      </w:r>
      <w:r w:rsidR="004069EC" w:rsidRPr="004069EC">
        <w:rPr>
          <w:sz w:val="23"/>
          <w:szCs w:val="23"/>
          <w:lang w:eastAsia="ja-JP"/>
        </w:rPr>
        <w:t>38.401CR0033rev14</w:t>
      </w:r>
      <w:r w:rsidR="004069EC">
        <w:rPr>
          <w:sz w:val="23"/>
          <w:szCs w:val="23"/>
          <w:lang w:eastAsia="ja-JP"/>
        </w:rPr>
        <w:t>)</w:t>
      </w:r>
      <w:r w:rsidR="004069EC">
        <w:rPr>
          <w:sz w:val="23"/>
          <w:szCs w:val="23"/>
          <w:lang w:eastAsia="ja-JP"/>
        </w:rPr>
        <w:tab/>
      </w:r>
      <w:r w:rsidR="004069EC">
        <w:rPr>
          <w:sz w:val="23"/>
          <w:szCs w:val="23"/>
          <w:lang w:eastAsia="ja-JP"/>
        </w:rPr>
        <w:tab/>
      </w:r>
      <w:r w:rsidR="004069EC" w:rsidRPr="004069EC">
        <w:rPr>
          <w:sz w:val="23"/>
          <w:szCs w:val="23"/>
          <w:lang w:eastAsia="ja-JP"/>
        </w:rPr>
        <w:t>Huawei</w:t>
      </w:r>
    </w:p>
    <w:sectPr w:rsidR="00EB59C6" w:rsidRPr="009049AF" w:rsidSect="00266B34">
      <w:footerReference w:type="default" r:id="rId8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59B2" w:rsidRDefault="009359B2" w:rsidP="000519FA">
      <w:pPr>
        <w:spacing w:after="0" w:line="240" w:lineRule="auto"/>
      </w:pPr>
      <w:r>
        <w:separator/>
      </w:r>
    </w:p>
  </w:endnote>
  <w:endnote w:type="continuationSeparator" w:id="0">
    <w:p w:rsidR="009359B2" w:rsidRDefault="009359B2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3057" w:rsidRDefault="00193057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93057" w:rsidRDefault="0019305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59B2" w:rsidRDefault="009359B2" w:rsidP="000519FA">
      <w:pPr>
        <w:spacing w:after="0" w:line="240" w:lineRule="auto"/>
      </w:pPr>
      <w:r>
        <w:separator/>
      </w:r>
    </w:p>
  </w:footnote>
  <w:footnote w:type="continuationSeparator" w:id="0">
    <w:p w:rsidR="009359B2" w:rsidRDefault="009359B2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66ECB"/>
    <w:multiLevelType w:val="multilevel"/>
    <w:tmpl w:val="49C66ECB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 w15:restartNumberingAfterBreak="0">
    <w:nsid w:val="52A6694C"/>
    <w:multiLevelType w:val="hybridMultilevel"/>
    <w:tmpl w:val="8BDCEC04"/>
    <w:lvl w:ilvl="0" w:tplc="55586B0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35"/>
    <w:rsid w:val="00022CCB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3A"/>
    <w:rsid w:val="00041657"/>
    <w:rsid w:val="00042C03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4F92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4FA"/>
    <w:rsid w:val="000A7CC5"/>
    <w:rsid w:val="000B0330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E00F6"/>
    <w:rsid w:val="000E0D7C"/>
    <w:rsid w:val="000E1BE7"/>
    <w:rsid w:val="000E20D5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C9E"/>
    <w:rsid w:val="0010616A"/>
    <w:rsid w:val="001063BC"/>
    <w:rsid w:val="00107154"/>
    <w:rsid w:val="00107F56"/>
    <w:rsid w:val="00110692"/>
    <w:rsid w:val="00110759"/>
    <w:rsid w:val="0011086B"/>
    <w:rsid w:val="00113A95"/>
    <w:rsid w:val="00114966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98"/>
    <w:rsid w:val="00166CA6"/>
    <w:rsid w:val="00170442"/>
    <w:rsid w:val="001712ED"/>
    <w:rsid w:val="00171DDF"/>
    <w:rsid w:val="00174964"/>
    <w:rsid w:val="001820FF"/>
    <w:rsid w:val="0018472F"/>
    <w:rsid w:val="001857A5"/>
    <w:rsid w:val="0018599D"/>
    <w:rsid w:val="00185D11"/>
    <w:rsid w:val="001862BE"/>
    <w:rsid w:val="00187C6F"/>
    <w:rsid w:val="00191A9B"/>
    <w:rsid w:val="001921EC"/>
    <w:rsid w:val="00192935"/>
    <w:rsid w:val="00192EB1"/>
    <w:rsid w:val="00193057"/>
    <w:rsid w:val="00193810"/>
    <w:rsid w:val="00194ADB"/>
    <w:rsid w:val="0019665C"/>
    <w:rsid w:val="001966F6"/>
    <w:rsid w:val="00197E0B"/>
    <w:rsid w:val="001A0785"/>
    <w:rsid w:val="001A085C"/>
    <w:rsid w:val="001A0B1E"/>
    <w:rsid w:val="001A0FB6"/>
    <w:rsid w:val="001A1FF8"/>
    <w:rsid w:val="001A4BC4"/>
    <w:rsid w:val="001A5D61"/>
    <w:rsid w:val="001A65FA"/>
    <w:rsid w:val="001A6D9F"/>
    <w:rsid w:val="001B0323"/>
    <w:rsid w:val="001B035A"/>
    <w:rsid w:val="001B15D0"/>
    <w:rsid w:val="001B1785"/>
    <w:rsid w:val="001B20D7"/>
    <w:rsid w:val="001B28EA"/>
    <w:rsid w:val="001B30BA"/>
    <w:rsid w:val="001B376A"/>
    <w:rsid w:val="001B474B"/>
    <w:rsid w:val="001B53EC"/>
    <w:rsid w:val="001B7391"/>
    <w:rsid w:val="001C06C3"/>
    <w:rsid w:val="001C0C38"/>
    <w:rsid w:val="001C54C3"/>
    <w:rsid w:val="001C66D9"/>
    <w:rsid w:val="001C6E3E"/>
    <w:rsid w:val="001C7E39"/>
    <w:rsid w:val="001D1BAC"/>
    <w:rsid w:val="001D4857"/>
    <w:rsid w:val="001D5D44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1C0"/>
    <w:rsid w:val="001E57BA"/>
    <w:rsid w:val="001E5AC1"/>
    <w:rsid w:val="001E5FE9"/>
    <w:rsid w:val="001E66B6"/>
    <w:rsid w:val="001E6E6C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8F7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379BA"/>
    <w:rsid w:val="002409ED"/>
    <w:rsid w:val="002414EE"/>
    <w:rsid w:val="00241571"/>
    <w:rsid w:val="00241980"/>
    <w:rsid w:val="00242B5E"/>
    <w:rsid w:val="0024311D"/>
    <w:rsid w:val="0024363B"/>
    <w:rsid w:val="00246B00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B34"/>
    <w:rsid w:val="0027054D"/>
    <w:rsid w:val="00271E21"/>
    <w:rsid w:val="00272A3F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42E2"/>
    <w:rsid w:val="002A5488"/>
    <w:rsid w:val="002A55CE"/>
    <w:rsid w:val="002A60AD"/>
    <w:rsid w:val="002A679B"/>
    <w:rsid w:val="002A77F6"/>
    <w:rsid w:val="002B0B4B"/>
    <w:rsid w:val="002B3F41"/>
    <w:rsid w:val="002B4260"/>
    <w:rsid w:val="002B4623"/>
    <w:rsid w:val="002B4A5B"/>
    <w:rsid w:val="002B50BB"/>
    <w:rsid w:val="002B5306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D12D9"/>
    <w:rsid w:val="002D1E55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4A4E"/>
    <w:rsid w:val="002F51C4"/>
    <w:rsid w:val="002F64BF"/>
    <w:rsid w:val="002F7626"/>
    <w:rsid w:val="002F7864"/>
    <w:rsid w:val="00300ED0"/>
    <w:rsid w:val="0030126D"/>
    <w:rsid w:val="003035B4"/>
    <w:rsid w:val="00303937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69A"/>
    <w:rsid w:val="00314AF9"/>
    <w:rsid w:val="00314F16"/>
    <w:rsid w:val="0031597F"/>
    <w:rsid w:val="00315E0E"/>
    <w:rsid w:val="0031673D"/>
    <w:rsid w:val="0031678A"/>
    <w:rsid w:val="00316B0D"/>
    <w:rsid w:val="00317685"/>
    <w:rsid w:val="003211F2"/>
    <w:rsid w:val="003212D6"/>
    <w:rsid w:val="003215B5"/>
    <w:rsid w:val="00321AFB"/>
    <w:rsid w:val="003222AC"/>
    <w:rsid w:val="003224EC"/>
    <w:rsid w:val="00322B5D"/>
    <w:rsid w:val="00322BFE"/>
    <w:rsid w:val="003247BD"/>
    <w:rsid w:val="00325F8E"/>
    <w:rsid w:val="003278C5"/>
    <w:rsid w:val="00331232"/>
    <w:rsid w:val="00331463"/>
    <w:rsid w:val="003327A4"/>
    <w:rsid w:val="003334C5"/>
    <w:rsid w:val="00334582"/>
    <w:rsid w:val="003348E7"/>
    <w:rsid w:val="00336330"/>
    <w:rsid w:val="003367CA"/>
    <w:rsid w:val="00336803"/>
    <w:rsid w:val="003374F0"/>
    <w:rsid w:val="0033788C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6DBF"/>
    <w:rsid w:val="00360C68"/>
    <w:rsid w:val="00362A33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C74C8"/>
    <w:rsid w:val="003C7BC5"/>
    <w:rsid w:val="003D021B"/>
    <w:rsid w:val="003D1304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6700"/>
    <w:rsid w:val="003E77C6"/>
    <w:rsid w:val="003E7A77"/>
    <w:rsid w:val="003F027B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9EC"/>
    <w:rsid w:val="00406AC0"/>
    <w:rsid w:val="0040786F"/>
    <w:rsid w:val="00407A8A"/>
    <w:rsid w:val="00407BDA"/>
    <w:rsid w:val="00407F17"/>
    <w:rsid w:val="00407FEA"/>
    <w:rsid w:val="00410186"/>
    <w:rsid w:val="0041109B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20E1D"/>
    <w:rsid w:val="00421253"/>
    <w:rsid w:val="00421450"/>
    <w:rsid w:val="004223C0"/>
    <w:rsid w:val="004226D5"/>
    <w:rsid w:val="00422878"/>
    <w:rsid w:val="00423957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B17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381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E5F"/>
    <w:rsid w:val="0046108C"/>
    <w:rsid w:val="004610E8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5F96"/>
    <w:rsid w:val="004775CD"/>
    <w:rsid w:val="00477EA4"/>
    <w:rsid w:val="004801F5"/>
    <w:rsid w:val="00481A78"/>
    <w:rsid w:val="00481A8C"/>
    <w:rsid w:val="004823A8"/>
    <w:rsid w:val="00484AF8"/>
    <w:rsid w:val="00486E80"/>
    <w:rsid w:val="00487001"/>
    <w:rsid w:val="00487F53"/>
    <w:rsid w:val="004910C5"/>
    <w:rsid w:val="00491475"/>
    <w:rsid w:val="00491B2F"/>
    <w:rsid w:val="00492758"/>
    <w:rsid w:val="00492CF5"/>
    <w:rsid w:val="00493C1E"/>
    <w:rsid w:val="00494589"/>
    <w:rsid w:val="004949CD"/>
    <w:rsid w:val="00494A1C"/>
    <w:rsid w:val="00494DC3"/>
    <w:rsid w:val="00495736"/>
    <w:rsid w:val="004958CC"/>
    <w:rsid w:val="004A0E13"/>
    <w:rsid w:val="004A0FC3"/>
    <w:rsid w:val="004A1366"/>
    <w:rsid w:val="004A6126"/>
    <w:rsid w:val="004A7800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E00AD"/>
    <w:rsid w:val="004E168F"/>
    <w:rsid w:val="004E3C13"/>
    <w:rsid w:val="004E4977"/>
    <w:rsid w:val="004E4B50"/>
    <w:rsid w:val="004F0260"/>
    <w:rsid w:val="004F0DA1"/>
    <w:rsid w:val="004F1C4C"/>
    <w:rsid w:val="004F1DBC"/>
    <w:rsid w:val="004F3A6B"/>
    <w:rsid w:val="004F3FB0"/>
    <w:rsid w:val="004F41A0"/>
    <w:rsid w:val="004F4766"/>
    <w:rsid w:val="004F54ED"/>
    <w:rsid w:val="004F5638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0E67"/>
    <w:rsid w:val="00531EE8"/>
    <w:rsid w:val="005326A1"/>
    <w:rsid w:val="00532DE3"/>
    <w:rsid w:val="00533E74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4F8"/>
    <w:rsid w:val="005A1B4A"/>
    <w:rsid w:val="005A2B04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6CB"/>
    <w:rsid w:val="005C472B"/>
    <w:rsid w:val="005C6CEE"/>
    <w:rsid w:val="005C6D9E"/>
    <w:rsid w:val="005C78C1"/>
    <w:rsid w:val="005D0E2E"/>
    <w:rsid w:val="005D1725"/>
    <w:rsid w:val="005D3854"/>
    <w:rsid w:val="005D3C64"/>
    <w:rsid w:val="005D456F"/>
    <w:rsid w:val="005D5B47"/>
    <w:rsid w:val="005D6C91"/>
    <w:rsid w:val="005D72C0"/>
    <w:rsid w:val="005E1F5E"/>
    <w:rsid w:val="005E2C22"/>
    <w:rsid w:val="005E2C70"/>
    <w:rsid w:val="005E2F2B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5F6C5A"/>
    <w:rsid w:val="005F7717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6E43"/>
    <w:rsid w:val="006171A7"/>
    <w:rsid w:val="00617D9B"/>
    <w:rsid w:val="00622C2B"/>
    <w:rsid w:val="00622FF5"/>
    <w:rsid w:val="0062332A"/>
    <w:rsid w:val="006253FE"/>
    <w:rsid w:val="00625E07"/>
    <w:rsid w:val="00626538"/>
    <w:rsid w:val="00630059"/>
    <w:rsid w:val="00630E77"/>
    <w:rsid w:val="0063135A"/>
    <w:rsid w:val="00631DC3"/>
    <w:rsid w:val="006327EB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6289"/>
    <w:rsid w:val="00646ED1"/>
    <w:rsid w:val="006505F9"/>
    <w:rsid w:val="00651485"/>
    <w:rsid w:val="00651701"/>
    <w:rsid w:val="0065210E"/>
    <w:rsid w:val="006525F3"/>
    <w:rsid w:val="0065424F"/>
    <w:rsid w:val="00654FBC"/>
    <w:rsid w:val="00655057"/>
    <w:rsid w:val="00656EBC"/>
    <w:rsid w:val="00660B7E"/>
    <w:rsid w:val="00661A7C"/>
    <w:rsid w:val="00661E65"/>
    <w:rsid w:val="006635C7"/>
    <w:rsid w:val="006636F1"/>
    <w:rsid w:val="00663EDC"/>
    <w:rsid w:val="0066445A"/>
    <w:rsid w:val="00664738"/>
    <w:rsid w:val="00664BA3"/>
    <w:rsid w:val="0066601D"/>
    <w:rsid w:val="006660C3"/>
    <w:rsid w:val="00666C49"/>
    <w:rsid w:val="00667BD3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4890"/>
    <w:rsid w:val="00694A7C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64F0"/>
    <w:rsid w:val="006B7208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41F9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0242"/>
    <w:rsid w:val="006F169C"/>
    <w:rsid w:val="006F1B31"/>
    <w:rsid w:val="006F2707"/>
    <w:rsid w:val="006F4361"/>
    <w:rsid w:val="006F6C94"/>
    <w:rsid w:val="006F7FF5"/>
    <w:rsid w:val="00700139"/>
    <w:rsid w:val="007007C2"/>
    <w:rsid w:val="00700A4C"/>
    <w:rsid w:val="00702366"/>
    <w:rsid w:val="00703982"/>
    <w:rsid w:val="00706101"/>
    <w:rsid w:val="00706472"/>
    <w:rsid w:val="00706536"/>
    <w:rsid w:val="0070797E"/>
    <w:rsid w:val="0071022A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34F9"/>
    <w:rsid w:val="00764B7F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0C7E"/>
    <w:rsid w:val="0077300A"/>
    <w:rsid w:val="007743EF"/>
    <w:rsid w:val="0077521F"/>
    <w:rsid w:val="007759AF"/>
    <w:rsid w:val="00775C28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4DD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CAF"/>
    <w:rsid w:val="007F7F9A"/>
    <w:rsid w:val="008001D2"/>
    <w:rsid w:val="00801844"/>
    <w:rsid w:val="00801920"/>
    <w:rsid w:val="00801F17"/>
    <w:rsid w:val="00802DBE"/>
    <w:rsid w:val="00802F34"/>
    <w:rsid w:val="008032A0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30F0"/>
    <w:rsid w:val="00825038"/>
    <w:rsid w:val="0082543B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3724A"/>
    <w:rsid w:val="0084008D"/>
    <w:rsid w:val="0084100B"/>
    <w:rsid w:val="0084145B"/>
    <w:rsid w:val="008415D9"/>
    <w:rsid w:val="008419A2"/>
    <w:rsid w:val="00843382"/>
    <w:rsid w:val="0084424F"/>
    <w:rsid w:val="00844C69"/>
    <w:rsid w:val="00844EAD"/>
    <w:rsid w:val="0084609F"/>
    <w:rsid w:val="008475D3"/>
    <w:rsid w:val="00851617"/>
    <w:rsid w:val="00851A74"/>
    <w:rsid w:val="00851D50"/>
    <w:rsid w:val="008524C9"/>
    <w:rsid w:val="0085343B"/>
    <w:rsid w:val="00853D40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43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1E8B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2A29"/>
    <w:rsid w:val="008D2C0D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0BCA"/>
    <w:rsid w:val="00931BD8"/>
    <w:rsid w:val="00933237"/>
    <w:rsid w:val="009352EF"/>
    <w:rsid w:val="009359B2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66B"/>
    <w:rsid w:val="00945AF4"/>
    <w:rsid w:val="009463E0"/>
    <w:rsid w:val="00946973"/>
    <w:rsid w:val="009475B3"/>
    <w:rsid w:val="00947F11"/>
    <w:rsid w:val="009502F0"/>
    <w:rsid w:val="009524F5"/>
    <w:rsid w:val="009525BA"/>
    <w:rsid w:val="0095416E"/>
    <w:rsid w:val="00954F72"/>
    <w:rsid w:val="00955E54"/>
    <w:rsid w:val="00956142"/>
    <w:rsid w:val="009563BD"/>
    <w:rsid w:val="009566F2"/>
    <w:rsid w:val="0096122A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1C3"/>
    <w:rsid w:val="00967373"/>
    <w:rsid w:val="00967F85"/>
    <w:rsid w:val="00970EE5"/>
    <w:rsid w:val="00971110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1EE9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32B"/>
    <w:rsid w:val="009B6791"/>
    <w:rsid w:val="009B6B19"/>
    <w:rsid w:val="009B7769"/>
    <w:rsid w:val="009B77FC"/>
    <w:rsid w:val="009C0C25"/>
    <w:rsid w:val="009C11B5"/>
    <w:rsid w:val="009C1965"/>
    <w:rsid w:val="009C1E1D"/>
    <w:rsid w:val="009C5176"/>
    <w:rsid w:val="009C75E7"/>
    <w:rsid w:val="009C7617"/>
    <w:rsid w:val="009C7896"/>
    <w:rsid w:val="009D0A51"/>
    <w:rsid w:val="009D1F95"/>
    <w:rsid w:val="009D27F4"/>
    <w:rsid w:val="009D2DFC"/>
    <w:rsid w:val="009D33BA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4ED9"/>
    <w:rsid w:val="009E5409"/>
    <w:rsid w:val="009E651C"/>
    <w:rsid w:val="009E6EB0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1C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67F"/>
    <w:rsid w:val="00A54F44"/>
    <w:rsid w:val="00A5735A"/>
    <w:rsid w:val="00A57CE0"/>
    <w:rsid w:val="00A57E18"/>
    <w:rsid w:val="00A60B1F"/>
    <w:rsid w:val="00A60D2B"/>
    <w:rsid w:val="00A61E44"/>
    <w:rsid w:val="00A64B8A"/>
    <w:rsid w:val="00A657C7"/>
    <w:rsid w:val="00A66D80"/>
    <w:rsid w:val="00A71933"/>
    <w:rsid w:val="00A7197D"/>
    <w:rsid w:val="00A720AE"/>
    <w:rsid w:val="00A735DF"/>
    <w:rsid w:val="00A735F4"/>
    <w:rsid w:val="00A749D2"/>
    <w:rsid w:val="00A74A4B"/>
    <w:rsid w:val="00A74B7D"/>
    <w:rsid w:val="00A76AA4"/>
    <w:rsid w:val="00A80DE2"/>
    <w:rsid w:val="00A81447"/>
    <w:rsid w:val="00A81987"/>
    <w:rsid w:val="00A81C73"/>
    <w:rsid w:val="00A82468"/>
    <w:rsid w:val="00A82539"/>
    <w:rsid w:val="00A845DC"/>
    <w:rsid w:val="00A85A04"/>
    <w:rsid w:val="00A85FBE"/>
    <w:rsid w:val="00A87D79"/>
    <w:rsid w:val="00A87EDD"/>
    <w:rsid w:val="00A900CC"/>
    <w:rsid w:val="00A900D9"/>
    <w:rsid w:val="00A918E6"/>
    <w:rsid w:val="00A91AF9"/>
    <w:rsid w:val="00A922A5"/>
    <w:rsid w:val="00A9296C"/>
    <w:rsid w:val="00A930C0"/>
    <w:rsid w:val="00A95579"/>
    <w:rsid w:val="00A97122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3010"/>
    <w:rsid w:val="00AC215C"/>
    <w:rsid w:val="00AC384B"/>
    <w:rsid w:val="00AC3F5F"/>
    <w:rsid w:val="00AC5183"/>
    <w:rsid w:val="00AC69B1"/>
    <w:rsid w:val="00AC6ED0"/>
    <w:rsid w:val="00AC7385"/>
    <w:rsid w:val="00AC73F8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AF4C83"/>
    <w:rsid w:val="00B00552"/>
    <w:rsid w:val="00B00C27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0690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A57"/>
    <w:rsid w:val="00B44F2F"/>
    <w:rsid w:val="00B45124"/>
    <w:rsid w:val="00B45ED9"/>
    <w:rsid w:val="00B474B6"/>
    <w:rsid w:val="00B47643"/>
    <w:rsid w:val="00B50510"/>
    <w:rsid w:val="00B518A6"/>
    <w:rsid w:val="00B51B0D"/>
    <w:rsid w:val="00B51F96"/>
    <w:rsid w:val="00B5221A"/>
    <w:rsid w:val="00B5421B"/>
    <w:rsid w:val="00B54B6E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0CD2"/>
    <w:rsid w:val="00B83A26"/>
    <w:rsid w:val="00B84D61"/>
    <w:rsid w:val="00B85800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543F"/>
    <w:rsid w:val="00BB7706"/>
    <w:rsid w:val="00BC01AE"/>
    <w:rsid w:val="00BC109C"/>
    <w:rsid w:val="00BC11C0"/>
    <w:rsid w:val="00BC30F0"/>
    <w:rsid w:val="00BC4710"/>
    <w:rsid w:val="00BC5ACE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BF7A6B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07CA6"/>
    <w:rsid w:val="00C10525"/>
    <w:rsid w:val="00C10ED5"/>
    <w:rsid w:val="00C11467"/>
    <w:rsid w:val="00C114ED"/>
    <w:rsid w:val="00C11EBF"/>
    <w:rsid w:val="00C150D0"/>
    <w:rsid w:val="00C15484"/>
    <w:rsid w:val="00C15DD6"/>
    <w:rsid w:val="00C162AC"/>
    <w:rsid w:val="00C1667A"/>
    <w:rsid w:val="00C17C8A"/>
    <w:rsid w:val="00C20E59"/>
    <w:rsid w:val="00C21BE8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3E91"/>
    <w:rsid w:val="00C34838"/>
    <w:rsid w:val="00C34F99"/>
    <w:rsid w:val="00C35ABC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09B6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6610"/>
    <w:rsid w:val="00C66D7D"/>
    <w:rsid w:val="00C67283"/>
    <w:rsid w:val="00C70C35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0ED1"/>
    <w:rsid w:val="00C9106F"/>
    <w:rsid w:val="00C9190C"/>
    <w:rsid w:val="00C928EE"/>
    <w:rsid w:val="00C9292C"/>
    <w:rsid w:val="00C93D08"/>
    <w:rsid w:val="00C93DF5"/>
    <w:rsid w:val="00C94C6D"/>
    <w:rsid w:val="00C95B9D"/>
    <w:rsid w:val="00C969BD"/>
    <w:rsid w:val="00CA004B"/>
    <w:rsid w:val="00CA1083"/>
    <w:rsid w:val="00CA17F3"/>
    <w:rsid w:val="00CA207B"/>
    <w:rsid w:val="00CA25E3"/>
    <w:rsid w:val="00CA3F3E"/>
    <w:rsid w:val="00CA4599"/>
    <w:rsid w:val="00CA5234"/>
    <w:rsid w:val="00CA576B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11F"/>
    <w:rsid w:val="00CC66D9"/>
    <w:rsid w:val="00CC7C15"/>
    <w:rsid w:val="00CC7E7D"/>
    <w:rsid w:val="00CD04DA"/>
    <w:rsid w:val="00CD08BD"/>
    <w:rsid w:val="00CD0EEB"/>
    <w:rsid w:val="00CD334F"/>
    <w:rsid w:val="00CD35E2"/>
    <w:rsid w:val="00CD3783"/>
    <w:rsid w:val="00CD4117"/>
    <w:rsid w:val="00CD499B"/>
    <w:rsid w:val="00CD6150"/>
    <w:rsid w:val="00CD693B"/>
    <w:rsid w:val="00CD7471"/>
    <w:rsid w:val="00CD78CD"/>
    <w:rsid w:val="00CE0752"/>
    <w:rsid w:val="00CE2C3B"/>
    <w:rsid w:val="00CE345A"/>
    <w:rsid w:val="00CE3BCB"/>
    <w:rsid w:val="00CE3E29"/>
    <w:rsid w:val="00CE413A"/>
    <w:rsid w:val="00CE55E6"/>
    <w:rsid w:val="00CE646B"/>
    <w:rsid w:val="00CE7DA9"/>
    <w:rsid w:val="00CF2A0C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663"/>
    <w:rsid w:val="00D20CF0"/>
    <w:rsid w:val="00D21489"/>
    <w:rsid w:val="00D219DD"/>
    <w:rsid w:val="00D225EC"/>
    <w:rsid w:val="00D235B3"/>
    <w:rsid w:val="00D24E51"/>
    <w:rsid w:val="00D259C1"/>
    <w:rsid w:val="00D26C74"/>
    <w:rsid w:val="00D279A3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72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2718"/>
    <w:rsid w:val="00D62BF1"/>
    <w:rsid w:val="00D62CFC"/>
    <w:rsid w:val="00D63048"/>
    <w:rsid w:val="00D65850"/>
    <w:rsid w:val="00D65DE0"/>
    <w:rsid w:val="00D70B34"/>
    <w:rsid w:val="00D718CD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1122"/>
    <w:rsid w:val="00DA1FDA"/>
    <w:rsid w:val="00DA2225"/>
    <w:rsid w:val="00DA2568"/>
    <w:rsid w:val="00DA27CC"/>
    <w:rsid w:val="00DA2F9E"/>
    <w:rsid w:val="00DA3F93"/>
    <w:rsid w:val="00DA5C3C"/>
    <w:rsid w:val="00DA6609"/>
    <w:rsid w:val="00DA6BBB"/>
    <w:rsid w:val="00DA6D63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433E"/>
    <w:rsid w:val="00DC52E0"/>
    <w:rsid w:val="00DC6290"/>
    <w:rsid w:val="00DC6411"/>
    <w:rsid w:val="00DC6915"/>
    <w:rsid w:val="00DC79DF"/>
    <w:rsid w:val="00DC7B31"/>
    <w:rsid w:val="00DD0860"/>
    <w:rsid w:val="00DD0B7F"/>
    <w:rsid w:val="00DD2ADA"/>
    <w:rsid w:val="00DD3021"/>
    <w:rsid w:val="00DD3ABE"/>
    <w:rsid w:val="00DD3AC5"/>
    <w:rsid w:val="00DD4505"/>
    <w:rsid w:val="00DD50D4"/>
    <w:rsid w:val="00DD62DD"/>
    <w:rsid w:val="00DD7407"/>
    <w:rsid w:val="00DE0934"/>
    <w:rsid w:val="00DE0A55"/>
    <w:rsid w:val="00DE16B2"/>
    <w:rsid w:val="00DE35AB"/>
    <w:rsid w:val="00DE3805"/>
    <w:rsid w:val="00DE501A"/>
    <w:rsid w:val="00DE6082"/>
    <w:rsid w:val="00DE61EA"/>
    <w:rsid w:val="00DE6DEE"/>
    <w:rsid w:val="00DE713F"/>
    <w:rsid w:val="00DE7384"/>
    <w:rsid w:val="00DE74E8"/>
    <w:rsid w:val="00DE7549"/>
    <w:rsid w:val="00DF2100"/>
    <w:rsid w:val="00DF2A07"/>
    <w:rsid w:val="00DF436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0D"/>
    <w:rsid w:val="00E12BE8"/>
    <w:rsid w:val="00E13D43"/>
    <w:rsid w:val="00E14461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5825"/>
    <w:rsid w:val="00E272C6"/>
    <w:rsid w:val="00E27AE1"/>
    <w:rsid w:val="00E301D7"/>
    <w:rsid w:val="00E3035F"/>
    <w:rsid w:val="00E30E9D"/>
    <w:rsid w:val="00E31FEE"/>
    <w:rsid w:val="00E3265A"/>
    <w:rsid w:val="00E33439"/>
    <w:rsid w:val="00E33D59"/>
    <w:rsid w:val="00E34E66"/>
    <w:rsid w:val="00E36AEA"/>
    <w:rsid w:val="00E36C09"/>
    <w:rsid w:val="00E417AB"/>
    <w:rsid w:val="00E447DE"/>
    <w:rsid w:val="00E44FDE"/>
    <w:rsid w:val="00E45F0D"/>
    <w:rsid w:val="00E45F39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3516"/>
    <w:rsid w:val="00E63FD6"/>
    <w:rsid w:val="00E6401C"/>
    <w:rsid w:val="00E64234"/>
    <w:rsid w:val="00E6423D"/>
    <w:rsid w:val="00E65395"/>
    <w:rsid w:val="00E664F4"/>
    <w:rsid w:val="00E66C0F"/>
    <w:rsid w:val="00E717DE"/>
    <w:rsid w:val="00E71E27"/>
    <w:rsid w:val="00E726F6"/>
    <w:rsid w:val="00E74570"/>
    <w:rsid w:val="00E74913"/>
    <w:rsid w:val="00E75E0A"/>
    <w:rsid w:val="00E76964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147B"/>
    <w:rsid w:val="00E92C97"/>
    <w:rsid w:val="00E9665E"/>
    <w:rsid w:val="00E9780D"/>
    <w:rsid w:val="00E97BDD"/>
    <w:rsid w:val="00EA1034"/>
    <w:rsid w:val="00EA18C4"/>
    <w:rsid w:val="00EA2A0C"/>
    <w:rsid w:val="00EA2B89"/>
    <w:rsid w:val="00EA453F"/>
    <w:rsid w:val="00EA4DF6"/>
    <w:rsid w:val="00EA55F9"/>
    <w:rsid w:val="00EA5C35"/>
    <w:rsid w:val="00EA6035"/>
    <w:rsid w:val="00EA633E"/>
    <w:rsid w:val="00EA7EB9"/>
    <w:rsid w:val="00EB062A"/>
    <w:rsid w:val="00EB10BE"/>
    <w:rsid w:val="00EB142C"/>
    <w:rsid w:val="00EB2471"/>
    <w:rsid w:val="00EB250B"/>
    <w:rsid w:val="00EB2EAD"/>
    <w:rsid w:val="00EB2F69"/>
    <w:rsid w:val="00EB59C6"/>
    <w:rsid w:val="00EC0208"/>
    <w:rsid w:val="00EC0444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B43"/>
    <w:rsid w:val="00F25E2A"/>
    <w:rsid w:val="00F271E7"/>
    <w:rsid w:val="00F27638"/>
    <w:rsid w:val="00F27D97"/>
    <w:rsid w:val="00F30885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5BF4"/>
    <w:rsid w:val="00F56571"/>
    <w:rsid w:val="00F56B3C"/>
    <w:rsid w:val="00F618AD"/>
    <w:rsid w:val="00F61EEA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EAA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463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roposal">
    <w:name w:val="Proposal"/>
    <w:basedOn w:val="a"/>
    <w:qFormat/>
    <w:rsid w:val="00174964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Wingdings" w:hAnsi="Arial" w:cs="Times New Roman"/>
      <w:b/>
      <w:bCs/>
      <w:sz w:val="20"/>
      <w:szCs w:val="20"/>
      <w:lang w:val="x-none" w:eastAsia="x-none"/>
    </w:rPr>
  </w:style>
  <w:style w:type="character" w:customStyle="1" w:styleId="NOZchn">
    <w:name w:val="NO Zchn"/>
    <w:locked/>
    <w:rsid w:val="00174964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B51B0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51B0D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B1Char1">
    <w:name w:val="B1 Char1"/>
    <w:qFormat/>
    <w:rsid w:val="00B51B0D"/>
    <w:rPr>
      <w:rFonts w:eastAsia="Times New Roman"/>
    </w:rPr>
  </w:style>
  <w:style w:type="paragraph" w:customStyle="1" w:styleId="TH">
    <w:name w:val="TH"/>
    <w:basedOn w:val="a"/>
    <w:link w:val="THChar"/>
    <w:qFormat/>
    <w:rsid w:val="00B51B0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zh-CN" w:eastAsia="zh-CN"/>
    </w:rPr>
  </w:style>
  <w:style w:type="character" w:customStyle="1" w:styleId="THChar">
    <w:name w:val="TH Char"/>
    <w:link w:val="TH"/>
    <w:qFormat/>
    <w:rsid w:val="00B51B0D"/>
    <w:rPr>
      <w:rFonts w:ascii="Arial" w:eastAsia="Times New Roman" w:hAnsi="Arial" w:cs="Times New Roman"/>
      <w:b/>
      <w:sz w:val="20"/>
      <w:szCs w:val="20"/>
      <w:lang w:val="zh-CN" w:eastAsia="zh-CN"/>
    </w:rPr>
  </w:style>
  <w:style w:type="character" w:customStyle="1" w:styleId="TALCar">
    <w:name w:val="TAL Car"/>
    <w:qFormat/>
    <w:rsid w:val="00B51B0D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B51B0D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2">
    <w:name w:val="B2"/>
    <w:basedOn w:val="21"/>
    <w:link w:val="B2Char"/>
    <w:qFormat/>
    <w:rsid w:val="001B1785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B2Char">
    <w:name w:val="B2 Char"/>
    <w:link w:val="B2"/>
    <w:qFormat/>
    <w:rsid w:val="001B1785"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21">
    <w:name w:val="List 2"/>
    <w:basedOn w:val="a"/>
    <w:uiPriority w:val="99"/>
    <w:semiHidden/>
    <w:unhideWhenUsed/>
    <w:rsid w:val="001B1785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1F784-6B61-4F63-BDFA-80DC2F8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601</cp:revision>
  <cp:lastPrinted>2018-04-02T06:42:00Z</cp:lastPrinted>
  <dcterms:created xsi:type="dcterms:W3CDTF">2018-05-09T13:15:00Z</dcterms:created>
  <dcterms:modified xsi:type="dcterms:W3CDTF">2020-08-04T13:22:00Z</dcterms:modified>
</cp:coreProperties>
</file>