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EEA21" w14:textId="49ECA3AE" w:rsidR="000522FF" w:rsidRPr="00E1378B" w:rsidRDefault="000522FF" w:rsidP="000522FF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776116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4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4167E8">
        <w:rPr>
          <w:rFonts w:ascii="Arial" w:hAnsi="Arial" w:cs="Arial"/>
          <w:b/>
          <w:sz w:val="24"/>
          <w:szCs w:val="24"/>
        </w:rPr>
        <w:t>R3-1924</w:t>
      </w:r>
      <w:r>
        <w:rPr>
          <w:rFonts w:ascii="Arial" w:hAnsi="Arial" w:cs="Arial"/>
          <w:b/>
          <w:sz w:val="24"/>
          <w:szCs w:val="24"/>
        </w:rPr>
        <w:t>94</w:t>
      </w:r>
      <w:bookmarkStart w:id="1" w:name="_GoBack"/>
      <w:bookmarkEnd w:id="1"/>
    </w:p>
    <w:p w14:paraId="49E8CF1A" w14:textId="77777777" w:rsidR="000522FF" w:rsidRDefault="000522FF" w:rsidP="000522FF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4167E8">
        <w:rPr>
          <w:rFonts w:ascii="Arial" w:hAnsi="Arial" w:cs="Arial"/>
          <w:b/>
          <w:sz w:val="24"/>
          <w:szCs w:val="24"/>
        </w:rPr>
        <w:t>Reno, NV, USA, 13-17 May 2019</w:t>
      </w:r>
    </w:p>
    <w:bookmarkEnd w:id="0"/>
    <w:p w14:paraId="456CB478" w14:textId="77777777" w:rsidR="000522FF" w:rsidRDefault="000522F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35DED7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F34E85">
        <w:rPr>
          <w:rFonts w:ascii="Arial" w:hAnsi="Arial" w:cs="Arial"/>
          <w:b/>
          <w:bCs/>
          <w:sz w:val="22"/>
        </w:rPr>
        <w:t>0</w:t>
      </w:r>
      <w:r w:rsidR="006F799E">
        <w:rPr>
          <w:rFonts w:ascii="Arial" w:hAnsi="Arial" w:cs="Arial"/>
          <w:b/>
          <w:bCs/>
          <w:sz w:val="22"/>
        </w:rPr>
        <w:t>5</w:t>
      </w:r>
      <w:r w:rsidR="00955C88">
        <w:rPr>
          <w:rFonts w:ascii="Arial" w:hAnsi="Arial" w:cs="Arial"/>
          <w:b/>
          <w:bCs/>
          <w:sz w:val="22"/>
        </w:rPr>
        <w:t>4</w:t>
      </w:r>
      <w:r w:rsidR="005948A2">
        <w:rPr>
          <w:rFonts w:ascii="Arial" w:hAnsi="Arial" w:cs="Arial"/>
          <w:b/>
          <w:bCs/>
          <w:sz w:val="22"/>
        </w:rPr>
        <w:t>74</w:t>
      </w:r>
    </w:p>
    <w:p w14:paraId="619B785A" w14:textId="5CD675A6" w:rsidR="00463675" w:rsidRDefault="00847CCB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8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</w:t>
      </w:r>
      <w:r w:rsidR="00CB2DDF">
        <w:rPr>
          <w:rFonts w:ascii="Arial" w:hAnsi="Arial" w:cs="Arial"/>
          <w:b/>
          <w:bCs/>
          <w:sz w:val="22"/>
        </w:rPr>
        <w:t>– 12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of</w:t>
      </w:r>
      <w:r w:rsidR="00CB2DDF">
        <w:rPr>
          <w:rFonts w:ascii="Arial" w:hAnsi="Arial" w:cs="Arial"/>
          <w:b/>
          <w:bCs/>
          <w:sz w:val="22"/>
        </w:rPr>
        <w:t xml:space="preserve">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B486C5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847CCB">
        <w:rPr>
          <w:rFonts w:ascii="Arial" w:hAnsi="Arial" w:cs="Arial"/>
          <w:bCs/>
        </w:rPr>
        <w:t xml:space="preserve"> Conditional H</w:t>
      </w:r>
      <w:r w:rsidR="005741D6">
        <w:rPr>
          <w:rFonts w:ascii="Arial" w:hAnsi="Arial" w:cs="Arial"/>
          <w:bCs/>
        </w:rPr>
        <w:t>andover</w:t>
      </w:r>
      <w:r w:rsidR="003527DA">
        <w:rPr>
          <w:rFonts w:ascii="Arial" w:hAnsi="Arial" w:cs="Arial"/>
          <w:bCs/>
        </w:rPr>
        <w:t xml:space="preserve"> in E-UTRAN</w:t>
      </w:r>
      <w:r w:rsidR="006F799E">
        <w:rPr>
          <w:rFonts w:ascii="Arial" w:hAnsi="Arial" w:cs="Arial"/>
          <w:bCs/>
        </w:rPr>
        <w:t xml:space="preserve"> and NR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CF9D5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7CCB">
        <w:rPr>
          <w:rFonts w:ascii="Arial" w:hAnsi="Arial" w:cs="Arial"/>
          <w:bCs/>
        </w:rPr>
        <w:t>6</w:t>
      </w:r>
    </w:p>
    <w:p w14:paraId="6AC83482" w14:textId="48FF7D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47CCB">
        <w:rPr>
          <w:rFonts w:ascii="Arial" w:hAnsi="Arial" w:cs="Arial"/>
          <w:bCs/>
        </w:rPr>
        <w:t>LTE</w:t>
      </w:r>
      <w:r w:rsidR="00505765">
        <w:rPr>
          <w:rFonts w:ascii="Arial" w:hAnsi="Arial" w:cs="Arial"/>
          <w:bCs/>
        </w:rPr>
        <w:t>_</w:t>
      </w:r>
      <w:r w:rsidR="00847CCB">
        <w:rPr>
          <w:rFonts w:ascii="Arial" w:hAnsi="Arial" w:cs="Arial"/>
          <w:bCs/>
        </w:rPr>
        <w:t>feMob-Core</w:t>
      </w:r>
      <w:r w:rsidR="006F799E">
        <w:rPr>
          <w:rFonts w:ascii="Arial" w:hAnsi="Arial" w:cs="Arial"/>
          <w:bCs/>
        </w:rPr>
        <w:t xml:space="preserve">, </w:t>
      </w:r>
      <w:r w:rsidR="006F799E" w:rsidRPr="006F799E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9B133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948A2">
        <w:rPr>
          <w:rFonts w:ascii="Arial" w:hAnsi="Arial" w:cs="Arial"/>
          <w:bCs/>
        </w:rPr>
        <w:t>TSG RAN WG2</w:t>
      </w:r>
    </w:p>
    <w:p w14:paraId="706E9330" w14:textId="38BB717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02130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E02130">
        <w:rPr>
          <w:rFonts w:ascii="Arial" w:hAnsi="Arial" w:cs="Arial"/>
          <w:bCs/>
        </w:rPr>
        <w:t>3</w:t>
      </w:r>
    </w:p>
    <w:p w14:paraId="4EFE95BE" w14:textId="1F4CCE9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E7155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8C4C91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02130">
        <w:rPr>
          <w:rFonts w:cs="Arial"/>
          <w:b w:val="0"/>
          <w:bCs/>
        </w:rPr>
        <w:t>J</w:t>
      </w:r>
      <w:r w:rsidR="00C5522D">
        <w:rPr>
          <w:rFonts w:cs="Arial"/>
          <w:b w:val="0"/>
          <w:bCs/>
        </w:rPr>
        <w:t>e</w:t>
      </w:r>
      <w:r w:rsidR="00E02130">
        <w:rPr>
          <w:rFonts w:cs="Arial"/>
          <w:b w:val="0"/>
          <w:bCs/>
        </w:rPr>
        <w:t>drzej Stanczak</w:t>
      </w:r>
    </w:p>
    <w:p w14:paraId="2748A78E" w14:textId="2CF2FDD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E02130">
        <w:rPr>
          <w:rFonts w:cs="Arial"/>
          <w:b w:val="0"/>
          <w:bCs/>
          <w:lang w:val="fr-FR"/>
        </w:rPr>
        <w:t>jedrzej.</w:t>
      </w:r>
      <w:r w:rsidR="00E7017E" w:rsidRPr="00320C11">
        <w:rPr>
          <w:rFonts w:cs="Arial"/>
          <w:b w:val="0"/>
          <w:bCs/>
          <w:lang w:val="fr-FR"/>
        </w:rPr>
        <w:t>st</w:t>
      </w:r>
      <w:r w:rsidR="00E02130">
        <w:rPr>
          <w:rFonts w:cs="Arial"/>
          <w:b w:val="0"/>
          <w:bCs/>
          <w:lang w:val="fr-FR"/>
        </w:rPr>
        <w:t xml:space="preserve">anczak [at] </w:t>
      </w:r>
      <w:r w:rsidR="00385529" w:rsidRPr="00320C11">
        <w:rPr>
          <w:rFonts w:cs="Arial"/>
          <w:b w:val="0"/>
          <w:bCs/>
          <w:lang w:val="fr-FR"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4E205004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8F18B1" w14:textId="790BAE92" w:rsidR="00DF1BA4" w:rsidRDefault="00116B82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a part of Rel-16 LTE_feMob-Core</w:t>
      </w:r>
      <w:r w:rsidR="006F799E">
        <w:rPr>
          <w:rFonts w:ascii="Arial" w:hAnsi="Arial" w:cs="Arial"/>
          <w:lang w:val="en-US"/>
        </w:rPr>
        <w:t xml:space="preserve"> and </w:t>
      </w:r>
      <w:r w:rsidR="006F799E" w:rsidRPr="006F799E">
        <w:rPr>
          <w:rFonts w:ascii="Arial" w:hAnsi="Arial" w:cs="Arial"/>
          <w:lang w:val="en-US"/>
        </w:rPr>
        <w:t>NR_Mob_enh-Core</w:t>
      </w:r>
      <w:r>
        <w:rPr>
          <w:rFonts w:ascii="Arial" w:hAnsi="Arial" w:cs="Arial"/>
          <w:lang w:val="en-US"/>
        </w:rPr>
        <w:t xml:space="preserve"> work item</w:t>
      </w:r>
      <w:r w:rsidR="006F799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, RAN2 works on the details of Conditional Handover (CHO). CHO is the solution, wherein the UE does not immediately execute the HO command</w:t>
      </w:r>
      <w:r w:rsidR="00E02F9B">
        <w:rPr>
          <w:rFonts w:ascii="Arial" w:hAnsi="Arial" w:cs="Arial"/>
          <w:lang w:val="en-US"/>
        </w:rPr>
        <w:t xml:space="preserve"> </w:t>
      </w:r>
      <w:r w:rsidR="00370D91">
        <w:rPr>
          <w:rFonts w:ascii="Arial" w:hAnsi="Arial" w:cs="Arial"/>
          <w:lang w:val="en-US"/>
        </w:rPr>
        <w:t xml:space="preserve">but stores it until </w:t>
      </w:r>
      <w:r w:rsidR="003957FA">
        <w:rPr>
          <w:rFonts w:ascii="Arial" w:hAnsi="Arial" w:cs="Arial"/>
          <w:lang w:val="en-US"/>
        </w:rPr>
        <w:t xml:space="preserve">a </w:t>
      </w:r>
      <w:r w:rsidR="00370D91">
        <w:rPr>
          <w:rFonts w:ascii="Arial" w:hAnsi="Arial" w:cs="Arial"/>
          <w:lang w:val="en-US"/>
        </w:rPr>
        <w:t>triggering condition</w:t>
      </w:r>
      <w:r w:rsidR="00955C88">
        <w:rPr>
          <w:rFonts w:ascii="Arial" w:hAnsi="Arial" w:cs="Arial"/>
          <w:lang w:val="en-US"/>
        </w:rPr>
        <w:t>,</w:t>
      </w:r>
      <w:r w:rsidR="003957FA">
        <w:rPr>
          <w:rFonts w:ascii="Arial" w:hAnsi="Arial" w:cs="Arial"/>
          <w:lang w:val="en-US"/>
        </w:rPr>
        <w:t xml:space="preserve"> configured along with the HO command</w:t>
      </w:r>
      <w:r w:rsidR="00955C88">
        <w:rPr>
          <w:rFonts w:ascii="Arial" w:hAnsi="Arial" w:cs="Arial"/>
          <w:lang w:val="en-US"/>
        </w:rPr>
        <w:t>, is met</w:t>
      </w:r>
      <w:r w:rsidR="00370D91">
        <w:rPr>
          <w:rFonts w:ascii="Arial" w:hAnsi="Arial" w:cs="Arial"/>
          <w:lang w:val="en-US"/>
        </w:rPr>
        <w:t>. When the condition is met, the UE immediately executes the HO comman</w:t>
      </w:r>
      <w:r w:rsidR="004B10B5">
        <w:rPr>
          <w:rFonts w:ascii="Arial" w:hAnsi="Arial" w:cs="Arial"/>
          <w:lang w:val="en-US"/>
        </w:rPr>
        <w:t>d and accesses the target cell.</w:t>
      </w:r>
      <w:r w:rsidR="006F799E">
        <w:rPr>
          <w:rFonts w:ascii="Arial" w:hAnsi="Arial" w:cs="Arial"/>
          <w:lang w:val="en-US"/>
        </w:rPr>
        <w:t xml:space="preserve"> It </w:t>
      </w:r>
      <w:r w:rsidR="008B43E2">
        <w:rPr>
          <w:rFonts w:ascii="Arial" w:hAnsi="Arial" w:cs="Arial"/>
          <w:lang w:val="en-US"/>
        </w:rPr>
        <w:t>has</w:t>
      </w:r>
      <w:r w:rsidR="006F799E">
        <w:rPr>
          <w:rFonts w:ascii="Arial" w:hAnsi="Arial" w:cs="Arial"/>
          <w:lang w:val="en-US"/>
        </w:rPr>
        <w:t xml:space="preserve"> been</w:t>
      </w:r>
      <w:r w:rsidR="008B43E2">
        <w:rPr>
          <w:rFonts w:ascii="Arial" w:hAnsi="Arial" w:cs="Arial"/>
          <w:lang w:val="en-US"/>
        </w:rPr>
        <w:t xml:space="preserve"> agreed there could be a single or multiple candidate target cells for CHO </w:t>
      </w:r>
      <w:r w:rsidR="00DF1BA4">
        <w:rPr>
          <w:rFonts w:ascii="Arial" w:hAnsi="Arial" w:cs="Arial"/>
          <w:lang w:val="en-US"/>
        </w:rPr>
        <w:t xml:space="preserve">and it is </w:t>
      </w:r>
      <w:r w:rsidR="008B43E2">
        <w:rPr>
          <w:rFonts w:ascii="Arial" w:hAnsi="Arial" w:cs="Arial"/>
          <w:lang w:val="en-US"/>
        </w:rPr>
        <w:t>up to network’s decision</w:t>
      </w:r>
      <w:r w:rsidR="00302127">
        <w:rPr>
          <w:rFonts w:ascii="Arial" w:hAnsi="Arial" w:cs="Arial"/>
          <w:lang w:val="en-US"/>
        </w:rPr>
        <w:t xml:space="preserve"> how many cells to prepare</w:t>
      </w:r>
      <w:r w:rsidR="008B43E2">
        <w:rPr>
          <w:rFonts w:ascii="Arial" w:hAnsi="Arial" w:cs="Arial"/>
          <w:lang w:val="en-US"/>
        </w:rPr>
        <w:t>.</w:t>
      </w:r>
    </w:p>
    <w:p w14:paraId="0AF90167" w14:textId="3F6EE83C" w:rsidR="005A6524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</w:t>
      </w:r>
      <w:r w:rsidRPr="008B43E2">
        <w:rPr>
          <w:rFonts w:ascii="Arial" w:hAnsi="Arial" w:cs="Arial"/>
          <w:lang w:val="en-US"/>
        </w:rPr>
        <w:t>#10</w:t>
      </w:r>
      <w:r>
        <w:rPr>
          <w:rFonts w:ascii="Arial" w:hAnsi="Arial" w:cs="Arial"/>
          <w:lang w:val="en-US"/>
        </w:rPr>
        <w:t>5 has</w:t>
      </w:r>
      <w:r w:rsidR="00290F72">
        <w:rPr>
          <w:rFonts w:ascii="Arial" w:hAnsi="Arial" w:cs="Arial"/>
          <w:lang w:val="en-US"/>
        </w:rPr>
        <w:t xml:space="preserve"> additionally</w:t>
      </w:r>
      <w:r>
        <w:rPr>
          <w:rFonts w:ascii="Arial" w:hAnsi="Arial" w:cs="Arial"/>
          <w:lang w:val="en-US"/>
        </w:rPr>
        <w:t xml:space="preserve"> agreed</w:t>
      </w:r>
      <w:r w:rsidR="00290F72">
        <w:rPr>
          <w:rFonts w:ascii="Arial" w:hAnsi="Arial" w:cs="Arial"/>
          <w:lang w:val="en-US"/>
        </w:rPr>
        <w:t xml:space="preserve"> that</w:t>
      </w:r>
      <w:r>
        <w:rPr>
          <w:rFonts w:ascii="Arial" w:hAnsi="Arial" w:cs="Arial"/>
          <w:lang w:val="en-US"/>
        </w:rPr>
        <w:t xml:space="preserve"> late packet forwarding (i.e. not done immediately when CHO target candidate cells become prepared) could be more suitable for CHO, especially when there are multiple candidate target cells. However</w:t>
      </w:r>
      <w:r w:rsidR="00C5522D">
        <w:rPr>
          <w:rFonts w:ascii="Arial" w:hAnsi="Arial" w:cs="Arial"/>
          <w:lang w:val="en-US"/>
        </w:rPr>
        <w:t>, early packet forwarding c</w:t>
      </w:r>
      <w:r w:rsidR="00290F72">
        <w:rPr>
          <w:rFonts w:ascii="Arial" w:hAnsi="Arial" w:cs="Arial"/>
          <w:lang w:val="en-US"/>
        </w:rPr>
        <w:t>an be</w:t>
      </w:r>
      <w:r w:rsidR="00C5522D">
        <w:rPr>
          <w:rFonts w:ascii="Arial" w:hAnsi="Arial" w:cs="Arial"/>
          <w:lang w:val="en-US"/>
        </w:rPr>
        <w:t xml:space="preserve"> also considered as an option</w:t>
      </w:r>
      <w:r w:rsidR="001A36B3">
        <w:rPr>
          <w:rFonts w:ascii="Arial" w:hAnsi="Arial" w:cs="Arial"/>
          <w:lang w:val="en-US"/>
        </w:rPr>
        <w:t>.</w:t>
      </w:r>
    </w:p>
    <w:p w14:paraId="7A9E92DE" w14:textId="7CEC1571" w:rsidR="002633C1" w:rsidRDefault="009C31ED" w:rsidP="00290F72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still discusse</w:t>
      </w:r>
      <w:r w:rsidR="00290F7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details of HO command and triggering conditions</w:t>
      </w:r>
      <w:r w:rsidR="00290F72">
        <w:rPr>
          <w:rFonts w:ascii="Arial" w:hAnsi="Arial" w:cs="Arial"/>
          <w:lang w:val="en-US"/>
        </w:rPr>
        <w:t xml:space="preserve"> (e.g. whether it is the source eNB</w:t>
      </w:r>
      <w:r w:rsidR="00C4475D">
        <w:rPr>
          <w:rFonts w:ascii="Arial" w:hAnsi="Arial" w:cs="Arial"/>
          <w:lang w:val="en-US"/>
        </w:rPr>
        <w:t>/gNB</w:t>
      </w:r>
      <w:r w:rsidR="00290F72">
        <w:rPr>
          <w:rFonts w:ascii="Arial" w:hAnsi="Arial" w:cs="Arial"/>
          <w:lang w:val="en-US"/>
        </w:rPr>
        <w:t>, target eNB</w:t>
      </w:r>
      <w:r w:rsidR="00C4475D">
        <w:rPr>
          <w:rFonts w:ascii="Arial" w:hAnsi="Arial" w:cs="Arial"/>
          <w:lang w:val="en-US"/>
        </w:rPr>
        <w:t>/gNB</w:t>
      </w:r>
      <w:r w:rsidR="00290F72">
        <w:rPr>
          <w:rFonts w:ascii="Arial" w:hAnsi="Arial" w:cs="Arial"/>
          <w:lang w:val="en-US"/>
        </w:rPr>
        <w:t xml:space="preserve"> or source + target eNB</w:t>
      </w:r>
      <w:r w:rsidR="00C4475D">
        <w:rPr>
          <w:rFonts w:ascii="Arial" w:hAnsi="Arial" w:cs="Arial"/>
          <w:lang w:val="en-US"/>
        </w:rPr>
        <w:t>/gNB</w:t>
      </w:r>
      <w:r w:rsidR="00290F72">
        <w:rPr>
          <w:rFonts w:ascii="Arial" w:hAnsi="Arial" w:cs="Arial"/>
          <w:lang w:val="en-US"/>
        </w:rPr>
        <w:t xml:space="preserve"> that decide on such condition</w:t>
      </w:r>
      <w:r w:rsidR="006D2A1D">
        <w:rPr>
          <w:rFonts w:ascii="Arial" w:hAnsi="Arial" w:cs="Arial"/>
          <w:lang w:val="en-US"/>
        </w:rPr>
        <w:t xml:space="preserve">, and as a result, whether the condition is included in HO command or </w:t>
      </w:r>
      <w:r w:rsidR="00F34EDE">
        <w:rPr>
          <w:rFonts w:ascii="Arial" w:hAnsi="Arial" w:cs="Arial"/>
          <w:lang w:val="en-US"/>
        </w:rPr>
        <w:t xml:space="preserve">included </w:t>
      </w:r>
      <w:r w:rsidR="00EB7585">
        <w:rPr>
          <w:rFonts w:ascii="Arial" w:hAnsi="Arial" w:cs="Arial"/>
          <w:lang w:val="en-US"/>
        </w:rPr>
        <w:t xml:space="preserve">directly </w:t>
      </w:r>
      <w:r w:rsidR="00F34EDE">
        <w:rPr>
          <w:rFonts w:ascii="Arial" w:hAnsi="Arial" w:cs="Arial"/>
          <w:lang w:val="en-US"/>
        </w:rPr>
        <w:t>by the source eNB/gNB in the reconfiguration message</w:t>
      </w:r>
      <w:r w:rsidR="00290F72">
        <w:rPr>
          <w:rFonts w:ascii="Arial" w:hAnsi="Arial" w:cs="Arial"/>
          <w:lang w:val="en-US"/>
        </w:rPr>
        <w:t>)</w:t>
      </w:r>
      <w:r w:rsidR="00C4475D">
        <w:rPr>
          <w:rFonts w:ascii="Arial" w:hAnsi="Arial" w:cs="Arial"/>
          <w:lang w:val="en-US"/>
        </w:rPr>
        <w:t>. This may impact the HO Preparation phase. Additionally</w:t>
      </w:r>
      <w:r w:rsidR="00290F72">
        <w:rPr>
          <w:rFonts w:ascii="Arial" w:hAnsi="Arial" w:cs="Arial"/>
          <w:lang w:val="en-US"/>
        </w:rPr>
        <w:t>,</w:t>
      </w:r>
      <w:r w:rsidR="00C4475D">
        <w:rPr>
          <w:rFonts w:ascii="Arial" w:hAnsi="Arial" w:cs="Arial"/>
          <w:lang w:val="en-US"/>
        </w:rPr>
        <w:t xml:space="preserve"> RAN2</w:t>
      </w:r>
      <w:r w:rsidR="00290F72">
        <w:rPr>
          <w:rFonts w:ascii="Arial" w:hAnsi="Arial" w:cs="Arial"/>
          <w:lang w:val="en-US"/>
        </w:rPr>
        <w:t xml:space="preserve"> already agreed the network can inform the UE to release the CHO configurations</w:t>
      </w:r>
      <w:r w:rsidR="00470987">
        <w:rPr>
          <w:rFonts w:ascii="Arial" w:hAnsi="Arial" w:cs="Arial"/>
          <w:lang w:val="en-US"/>
        </w:rPr>
        <w:t xml:space="preserve"> after CHO command</w:t>
      </w:r>
      <w:r w:rsidR="00100FE3">
        <w:rPr>
          <w:rFonts w:ascii="Arial" w:hAnsi="Arial" w:cs="Arial"/>
          <w:lang w:val="en-US"/>
        </w:rPr>
        <w:t xml:space="preserve">. This may happen </w:t>
      </w:r>
      <w:r w:rsidR="00C4475D">
        <w:rPr>
          <w:rFonts w:ascii="Arial" w:hAnsi="Arial" w:cs="Arial"/>
          <w:lang w:val="en-US"/>
        </w:rPr>
        <w:t xml:space="preserve">also </w:t>
      </w:r>
      <w:r w:rsidR="00100FE3">
        <w:rPr>
          <w:rFonts w:ascii="Arial" w:hAnsi="Arial" w:cs="Arial"/>
          <w:lang w:val="en-US"/>
        </w:rPr>
        <w:t>due</w:t>
      </w:r>
      <w:r w:rsidR="00C4475D">
        <w:rPr>
          <w:rFonts w:ascii="Arial" w:hAnsi="Arial" w:cs="Arial"/>
          <w:lang w:val="en-US"/>
        </w:rPr>
        <w:t xml:space="preserve"> to</w:t>
      </w:r>
      <w:r w:rsidR="00290F72">
        <w:rPr>
          <w:rFonts w:ascii="Arial" w:hAnsi="Arial" w:cs="Arial"/>
          <w:lang w:val="en-US"/>
        </w:rPr>
        <w:t xml:space="preserve"> target </w:t>
      </w:r>
      <w:r w:rsidR="00C4475D">
        <w:rPr>
          <w:rFonts w:ascii="Arial" w:hAnsi="Arial" w:cs="Arial"/>
          <w:lang w:val="en-US"/>
        </w:rPr>
        <w:t>eNB</w:t>
      </w:r>
      <w:r w:rsidR="00290F72">
        <w:rPr>
          <w:rFonts w:ascii="Arial" w:hAnsi="Arial" w:cs="Arial"/>
          <w:lang w:val="en-US"/>
        </w:rPr>
        <w:t>’s</w:t>
      </w:r>
      <w:r w:rsidR="00C4475D">
        <w:rPr>
          <w:rFonts w:ascii="Arial" w:hAnsi="Arial" w:cs="Arial"/>
          <w:lang w:val="en-US"/>
        </w:rPr>
        <w:t>/gNB’s</w:t>
      </w:r>
      <w:r w:rsidR="00290F72">
        <w:rPr>
          <w:rFonts w:ascii="Arial" w:hAnsi="Arial" w:cs="Arial"/>
          <w:lang w:val="en-US"/>
        </w:rPr>
        <w:t xml:space="preserve"> decision to</w:t>
      </w:r>
      <w:r w:rsidR="00100FE3">
        <w:rPr>
          <w:rFonts w:ascii="Arial" w:hAnsi="Arial" w:cs="Arial"/>
          <w:lang w:val="en-US"/>
        </w:rPr>
        <w:t xml:space="preserve"> cancel the preparation.</w:t>
      </w:r>
      <w:r w:rsidR="00290F72">
        <w:rPr>
          <w:rFonts w:ascii="Arial" w:hAnsi="Arial" w:cs="Arial"/>
          <w:lang w:val="en-US"/>
        </w:rPr>
        <w:t xml:space="preserve"> </w:t>
      </w:r>
      <w:r w:rsidR="00AC4DE6">
        <w:rPr>
          <w:rFonts w:ascii="Arial" w:hAnsi="Arial" w:cs="Arial"/>
          <w:lang w:val="en-US"/>
        </w:rPr>
        <w:t>Th</w:t>
      </w:r>
      <w:r w:rsidR="000076C2">
        <w:rPr>
          <w:rFonts w:ascii="Arial" w:hAnsi="Arial" w:cs="Arial"/>
          <w:lang w:val="en-US"/>
        </w:rPr>
        <w:t>u</w:t>
      </w:r>
      <w:r w:rsidR="00AC4DE6">
        <w:rPr>
          <w:rFonts w:ascii="Arial" w:hAnsi="Arial" w:cs="Arial"/>
          <w:lang w:val="en-US"/>
        </w:rPr>
        <w:t>s,</w:t>
      </w:r>
      <w:r w:rsidR="00C4475D">
        <w:rPr>
          <w:rFonts w:ascii="Arial" w:hAnsi="Arial" w:cs="Arial"/>
          <w:lang w:val="en-US"/>
        </w:rPr>
        <w:t xml:space="preserve"> the impact on X2/Xn interface is foreseen.</w:t>
      </w:r>
    </w:p>
    <w:p w14:paraId="2E1B4579" w14:textId="3DC276E0" w:rsidR="00FE7155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CHO details described above, RAN3 is kindly asked to study</w:t>
      </w:r>
      <w:r w:rsidR="007D122D">
        <w:rPr>
          <w:rFonts w:ascii="Arial" w:hAnsi="Arial" w:cs="Arial"/>
          <w:lang w:val="en-US"/>
        </w:rPr>
        <w:t xml:space="preserve"> </w:t>
      </w:r>
      <w:r w:rsidR="00FE7155">
        <w:rPr>
          <w:rFonts w:ascii="Arial" w:hAnsi="Arial" w:cs="Arial"/>
          <w:lang w:val="en-US"/>
        </w:rPr>
        <w:t xml:space="preserve">and potentially define </w:t>
      </w:r>
      <w:r>
        <w:rPr>
          <w:rFonts w:ascii="Arial" w:hAnsi="Arial" w:cs="Arial"/>
          <w:lang w:val="en-US"/>
        </w:rPr>
        <w:t>suitable</w:t>
      </w:r>
      <w:r w:rsidR="00FE7155">
        <w:rPr>
          <w:rFonts w:ascii="Arial" w:hAnsi="Arial" w:cs="Arial"/>
          <w:lang w:val="en-US"/>
        </w:rPr>
        <w:t xml:space="preserve"> mechanisms for </w:t>
      </w:r>
      <w:r w:rsidR="009C31ED">
        <w:rPr>
          <w:rFonts w:ascii="Arial" w:hAnsi="Arial" w:cs="Arial"/>
          <w:lang w:val="en-US"/>
        </w:rPr>
        <w:t>E-UTRAN’s and NR’s CHO</w:t>
      </w:r>
      <w:r w:rsidR="00C4475D">
        <w:rPr>
          <w:rFonts w:ascii="Arial" w:hAnsi="Arial" w:cs="Arial"/>
          <w:lang w:val="en-US"/>
        </w:rPr>
        <w:t>, at least</w:t>
      </w:r>
      <w:r w:rsidR="00FE7155">
        <w:rPr>
          <w:rFonts w:ascii="Arial" w:hAnsi="Arial" w:cs="Arial"/>
          <w:lang w:val="en-US"/>
        </w:rPr>
        <w:t xml:space="preserve"> in the following areas:</w:t>
      </w:r>
      <w:r>
        <w:rPr>
          <w:rFonts w:ascii="Arial" w:hAnsi="Arial" w:cs="Arial"/>
          <w:lang w:val="en-US"/>
        </w:rPr>
        <w:t xml:space="preserve"> </w:t>
      </w:r>
    </w:p>
    <w:p w14:paraId="00F5B922" w14:textId="5F0CAD1C" w:rsidR="00FE7155" w:rsidRDefault="00FE7155" w:rsidP="00FE7155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</w:t>
      </w:r>
      <w:r w:rsidR="00DF1BA4">
        <w:rPr>
          <w:rFonts w:ascii="Arial" w:hAnsi="Arial" w:cs="Arial"/>
          <w:lang w:val="en-US"/>
        </w:rPr>
        <w:t>ata forwarding</w:t>
      </w:r>
    </w:p>
    <w:p w14:paraId="3C0CBEEF" w14:textId="569F0141" w:rsidR="00DF1BA4" w:rsidRPr="00FE7155" w:rsidRDefault="00A129D6" w:rsidP="00E02F9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 preparation</w:t>
      </w:r>
      <w:r w:rsidR="00DF1BA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C570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02130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group.</w:t>
      </w:r>
    </w:p>
    <w:p w14:paraId="3FBE9166" w14:textId="551753E1" w:rsidR="00E57BA2" w:rsidRPr="00E03142" w:rsidRDefault="00463675" w:rsidP="00E0314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02130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</w:t>
      </w:r>
      <w:r w:rsidR="007D122D">
        <w:rPr>
          <w:rFonts w:ascii="Arial" w:hAnsi="Arial" w:cs="Arial"/>
          <w:lang w:val="en-US"/>
        </w:rPr>
        <w:t xml:space="preserve"> study</w:t>
      </w:r>
      <w:r w:rsidR="00E03142">
        <w:rPr>
          <w:rFonts w:ascii="Arial" w:hAnsi="Arial" w:cs="Arial"/>
          <w:lang w:val="en-US"/>
        </w:rPr>
        <w:t xml:space="preserve"> at least</w:t>
      </w:r>
      <w:r w:rsidR="007D122D">
        <w:rPr>
          <w:rFonts w:ascii="Arial" w:hAnsi="Arial" w:cs="Arial"/>
          <w:lang w:val="en-US"/>
        </w:rPr>
        <w:t xml:space="preserve"> data forwarding and HO preparation mechanism</w:t>
      </w:r>
      <w:r w:rsidR="00C67983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 xml:space="preserve"> or enhancements to the existing one</w:t>
      </w:r>
      <w:r w:rsidR="00F34E85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>, suitable fo</w:t>
      </w:r>
      <w:r w:rsidR="009C31ED">
        <w:rPr>
          <w:rFonts w:ascii="Arial" w:hAnsi="Arial" w:cs="Arial"/>
          <w:lang w:val="en-US"/>
        </w:rPr>
        <w:t>r</w:t>
      </w:r>
      <w:r w:rsidR="007D122D">
        <w:rPr>
          <w:rFonts w:ascii="Arial" w:hAnsi="Arial" w:cs="Arial"/>
          <w:lang w:val="en-US"/>
        </w:rPr>
        <w:t xml:space="preserve"> Conditional Handover</w:t>
      </w:r>
      <w:r w:rsidR="009C31ED">
        <w:rPr>
          <w:rFonts w:ascii="Arial" w:hAnsi="Arial" w:cs="Arial"/>
          <w:lang w:val="en-US"/>
        </w:rPr>
        <w:t xml:space="preserve"> in E-UTRAN and NR</w:t>
      </w:r>
      <w:r w:rsidR="007D122D">
        <w:rPr>
          <w:rFonts w:ascii="Arial" w:hAnsi="Arial" w:cs="Arial"/>
          <w:lang w:val="en-US"/>
        </w:rPr>
        <w:t>.</w:t>
      </w:r>
    </w:p>
    <w:p w14:paraId="47F004C7" w14:textId="77777777" w:rsidR="00E02F9B" w:rsidRDefault="00E02F9B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175E8ACD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  <w:r w:rsidR="00E02130">
        <w:rPr>
          <w:rFonts w:ascii="Arial" w:hAnsi="Arial" w:cs="Arial"/>
          <w:bCs/>
        </w:rPr>
        <w:t>, USA</w:t>
      </w:r>
    </w:p>
    <w:p w14:paraId="217E91C9" w14:textId="7E6840BC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  <w:r w:rsidR="00E02130">
        <w:rPr>
          <w:rFonts w:ascii="Arial" w:hAnsi="Arial" w:cs="Arial"/>
          <w:bCs/>
        </w:rPr>
        <w:t>, Czechia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0441A" w14:textId="77777777" w:rsidR="00C828A8" w:rsidRDefault="00C828A8">
      <w:r>
        <w:separator/>
      </w:r>
    </w:p>
  </w:endnote>
  <w:endnote w:type="continuationSeparator" w:id="0">
    <w:p w14:paraId="6604DE32" w14:textId="77777777" w:rsidR="00C828A8" w:rsidRDefault="00C8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35E98" w14:textId="77777777" w:rsidR="00C828A8" w:rsidRDefault="00C828A8">
      <w:r>
        <w:separator/>
      </w:r>
    </w:p>
  </w:footnote>
  <w:footnote w:type="continuationSeparator" w:id="0">
    <w:p w14:paraId="5AEBB142" w14:textId="77777777" w:rsidR="00C828A8" w:rsidRDefault="00C82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445A70"/>
    <w:multiLevelType w:val="hybridMultilevel"/>
    <w:tmpl w:val="7E644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C2"/>
    <w:rsid w:val="0003565A"/>
    <w:rsid w:val="0003719B"/>
    <w:rsid w:val="00045511"/>
    <w:rsid w:val="000522FF"/>
    <w:rsid w:val="000D113A"/>
    <w:rsid w:val="000F12FD"/>
    <w:rsid w:val="00100FE3"/>
    <w:rsid w:val="001063EA"/>
    <w:rsid w:val="00114371"/>
    <w:rsid w:val="00116B82"/>
    <w:rsid w:val="00123B06"/>
    <w:rsid w:val="001576BB"/>
    <w:rsid w:val="00177DA3"/>
    <w:rsid w:val="00193164"/>
    <w:rsid w:val="001A36B3"/>
    <w:rsid w:val="001A7080"/>
    <w:rsid w:val="001B008D"/>
    <w:rsid w:val="001D2108"/>
    <w:rsid w:val="00220708"/>
    <w:rsid w:val="00222A4F"/>
    <w:rsid w:val="00233BD7"/>
    <w:rsid w:val="0024067D"/>
    <w:rsid w:val="00254238"/>
    <w:rsid w:val="00261C7D"/>
    <w:rsid w:val="002633C1"/>
    <w:rsid w:val="00270DF0"/>
    <w:rsid w:val="0027716B"/>
    <w:rsid w:val="00282DA9"/>
    <w:rsid w:val="00283A52"/>
    <w:rsid w:val="00290F72"/>
    <w:rsid w:val="002A0310"/>
    <w:rsid w:val="002A542F"/>
    <w:rsid w:val="002A6E4C"/>
    <w:rsid w:val="002D095E"/>
    <w:rsid w:val="002E75E4"/>
    <w:rsid w:val="0030138D"/>
    <w:rsid w:val="00302127"/>
    <w:rsid w:val="0030356A"/>
    <w:rsid w:val="003100EB"/>
    <w:rsid w:val="00320C11"/>
    <w:rsid w:val="003221D8"/>
    <w:rsid w:val="00324418"/>
    <w:rsid w:val="003277A4"/>
    <w:rsid w:val="003341F9"/>
    <w:rsid w:val="00335FAB"/>
    <w:rsid w:val="00345E67"/>
    <w:rsid w:val="003527DA"/>
    <w:rsid w:val="00354F51"/>
    <w:rsid w:val="003632EE"/>
    <w:rsid w:val="00370D91"/>
    <w:rsid w:val="003807F6"/>
    <w:rsid w:val="00385529"/>
    <w:rsid w:val="00390712"/>
    <w:rsid w:val="003945F8"/>
    <w:rsid w:val="003946BE"/>
    <w:rsid w:val="003957FA"/>
    <w:rsid w:val="003A719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0987"/>
    <w:rsid w:val="00496D50"/>
    <w:rsid w:val="004A03EC"/>
    <w:rsid w:val="004B10B5"/>
    <w:rsid w:val="004C6071"/>
    <w:rsid w:val="004D1605"/>
    <w:rsid w:val="004E2356"/>
    <w:rsid w:val="004F3AA9"/>
    <w:rsid w:val="0050174F"/>
    <w:rsid w:val="00501F64"/>
    <w:rsid w:val="00505765"/>
    <w:rsid w:val="00505F59"/>
    <w:rsid w:val="00533458"/>
    <w:rsid w:val="00557D6F"/>
    <w:rsid w:val="005741D6"/>
    <w:rsid w:val="00591547"/>
    <w:rsid w:val="005921A6"/>
    <w:rsid w:val="00592774"/>
    <w:rsid w:val="005948A2"/>
    <w:rsid w:val="00594DA5"/>
    <w:rsid w:val="005A6524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D2A1D"/>
    <w:rsid w:val="006E507D"/>
    <w:rsid w:val="006F7688"/>
    <w:rsid w:val="006F799E"/>
    <w:rsid w:val="00701A2B"/>
    <w:rsid w:val="0071523B"/>
    <w:rsid w:val="007822EF"/>
    <w:rsid w:val="00787EAC"/>
    <w:rsid w:val="007A4EDE"/>
    <w:rsid w:val="007A671D"/>
    <w:rsid w:val="007D122D"/>
    <w:rsid w:val="00806E3A"/>
    <w:rsid w:val="0084501F"/>
    <w:rsid w:val="00845F63"/>
    <w:rsid w:val="0084604E"/>
    <w:rsid w:val="00847CCB"/>
    <w:rsid w:val="008612CD"/>
    <w:rsid w:val="00865ED7"/>
    <w:rsid w:val="00881F64"/>
    <w:rsid w:val="008831D9"/>
    <w:rsid w:val="00883DB4"/>
    <w:rsid w:val="008B43E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5C88"/>
    <w:rsid w:val="0096221E"/>
    <w:rsid w:val="009778A3"/>
    <w:rsid w:val="009813C9"/>
    <w:rsid w:val="00984727"/>
    <w:rsid w:val="009B2EB9"/>
    <w:rsid w:val="009C31ED"/>
    <w:rsid w:val="009D594E"/>
    <w:rsid w:val="009E27E2"/>
    <w:rsid w:val="009E5C7E"/>
    <w:rsid w:val="00A1282E"/>
    <w:rsid w:val="00A129D6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11B7"/>
    <w:rsid w:val="00A8524C"/>
    <w:rsid w:val="00A87B43"/>
    <w:rsid w:val="00AA637B"/>
    <w:rsid w:val="00AC4DE6"/>
    <w:rsid w:val="00AE4EB1"/>
    <w:rsid w:val="00AE5661"/>
    <w:rsid w:val="00AF3FA4"/>
    <w:rsid w:val="00B255A7"/>
    <w:rsid w:val="00B33A9B"/>
    <w:rsid w:val="00B544D2"/>
    <w:rsid w:val="00B556D7"/>
    <w:rsid w:val="00B5648B"/>
    <w:rsid w:val="00B66CC7"/>
    <w:rsid w:val="00B676CA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4475D"/>
    <w:rsid w:val="00C51C0C"/>
    <w:rsid w:val="00C52AEB"/>
    <w:rsid w:val="00C5522D"/>
    <w:rsid w:val="00C67983"/>
    <w:rsid w:val="00C750D8"/>
    <w:rsid w:val="00C828A8"/>
    <w:rsid w:val="00CA0491"/>
    <w:rsid w:val="00CB2DDF"/>
    <w:rsid w:val="00D24338"/>
    <w:rsid w:val="00D36C10"/>
    <w:rsid w:val="00D40BEF"/>
    <w:rsid w:val="00D42DF3"/>
    <w:rsid w:val="00D50943"/>
    <w:rsid w:val="00D65530"/>
    <w:rsid w:val="00D74A1C"/>
    <w:rsid w:val="00D75660"/>
    <w:rsid w:val="00D876BF"/>
    <w:rsid w:val="00DC6C67"/>
    <w:rsid w:val="00DF1BA4"/>
    <w:rsid w:val="00DF7F04"/>
    <w:rsid w:val="00E02130"/>
    <w:rsid w:val="00E02F9B"/>
    <w:rsid w:val="00E03142"/>
    <w:rsid w:val="00E3072C"/>
    <w:rsid w:val="00E5415D"/>
    <w:rsid w:val="00E57BA2"/>
    <w:rsid w:val="00E7017E"/>
    <w:rsid w:val="00E73827"/>
    <w:rsid w:val="00E83F3C"/>
    <w:rsid w:val="00EB7585"/>
    <w:rsid w:val="00EC2503"/>
    <w:rsid w:val="00ED133C"/>
    <w:rsid w:val="00ED4B16"/>
    <w:rsid w:val="00F11820"/>
    <w:rsid w:val="00F17587"/>
    <w:rsid w:val="00F23FFC"/>
    <w:rsid w:val="00F34E85"/>
    <w:rsid w:val="00F34EDE"/>
    <w:rsid w:val="00F4088C"/>
    <w:rsid w:val="00F54C66"/>
    <w:rsid w:val="00FC4C90"/>
    <w:rsid w:val="00FC666E"/>
    <w:rsid w:val="00FD3596"/>
    <w:rsid w:val="00FE715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7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57F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57F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5AIRPNAIUNRU-859666464-4954</_dlc_DocId>
    <_dlc_DocIdUrl xmlns="71c5aaf6-e6ce-465b-b873-5148d2a4c105">
      <Url>https://nokia.sharepoint.com/sites/c5g/e2earch/_layouts/15/DocIdRedir.aspx?ID=5AIRPNAIUNRU-859666464-4954</Url>
      <Description>5AIRPNAIUNRU-859666464-4954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3</cp:revision>
  <cp:lastPrinted>2002-04-23T00:10:00Z</cp:lastPrinted>
  <dcterms:created xsi:type="dcterms:W3CDTF">2019-04-15T10:59:00Z</dcterms:created>
  <dcterms:modified xsi:type="dcterms:W3CDTF">2019-05-03T05:39:00Z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0072c379-1b07-492d-a974-99f1a7f79dd9</vt:lpwstr>
  </property>
  <property fmtid="{D5CDD505-2E9C-101B-9397-08002B2CF9AE}" pid="4" name="NSCPROP_SA">
    <vt:lpwstr>D:\황준\RAN2#105b\SYNC\related Offlines\LTE CHO draft LS\draftR2-1905322 LS on Conditional Handover in E-UTRAN and NR.docx</vt:lpwstr>
  </property>
</Properties>
</file>