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81059" w14:textId="2D4FE5E5" w:rsidR="00664B97" w:rsidRPr="00895B4F" w:rsidRDefault="00664B97" w:rsidP="00664B97">
      <w:pPr>
        <w:pStyle w:val="NormalWeb"/>
        <w:rPr>
          <w:rFonts w:ascii="Arial" w:hAnsi="Arial" w:cs="Arial"/>
          <w:b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895B4F">
        <w:rPr>
          <w:rFonts w:ascii="Arial" w:hAnsi="Arial" w:cs="Arial"/>
          <w:b/>
        </w:rPr>
        <w:t xml:space="preserve">3GPP TSG RAN WG2 Meeting #AH                                               </w:t>
      </w:r>
      <w:r w:rsidR="00AB64BF">
        <w:rPr>
          <w:rFonts w:ascii="Arial" w:hAnsi="Arial" w:cs="Arial"/>
          <w:b/>
        </w:rPr>
        <w:t xml:space="preserve">             </w:t>
      </w:r>
      <w:r w:rsidRPr="00895B4F">
        <w:rPr>
          <w:rFonts w:ascii="Arial" w:hAnsi="Arial" w:cs="Arial"/>
          <w:b/>
        </w:rPr>
        <w:t>R2- 18</w:t>
      </w:r>
      <w:r w:rsidR="00AB64BF">
        <w:rPr>
          <w:rFonts w:ascii="Arial" w:hAnsi="Arial" w:cs="Arial"/>
          <w:b/>
        </w:rPr>
        <w:t>1</w:t>
      </w:r>
      <w:r w:rsidRPr="00895B4F">
        <w:rPr>
          <w:rFonts w:ascii="Arial" w:hAnsi="Arial" w:cs="Arial"/>
          <w:b/>
        </w:rPr>
        <w:t>0</w:t>
      </w:r>
      <w:r w:rsidR="00AB64BF">
        <w:rPr>
          <w:rFonts w:ascii="Arial" w:hAnsi="Arial" w:cs="Arial"/>
          <w:b/>
        </w:rPr>
        <w:t>410</w:t>
      </w:r>
      <w:r w:rsidRPr="00895B4F">
        <w:rPr>
          <w:rFonts w:ascii="Arial" w:hAnsi="Arial" w:cs="Arial"/>
          <w:b/>
        </w:rPr>
        <w:t xml:space="preserve"> </w:t>
      </w:r>
      <w:r w:rsidR="00AB64BF">
        <w:rPr>
          <w:rFonts w:ascii="Arial" w:hAnsi="Arial" w:cs="Arial"/>
          <w:b/>
        </w:rPr>
        <w:br/>
      </w:r>
      <w:r w:rsidRPr="00895B4F">
        <w:rPr>
          <w:rFonts w:ascii="Arial" w:hAnsi="Arial" w:cs="Arial"/>
          <w:b/>
        </w:rPr>
        <w:t xml:space="preserve">Montreal, Canada, 2nd – 6th July 2018           </w:t>
      </w:r>
    </w:p>
    <w:p w14:paraId="37E8105A" w14:textId="7E62F89E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5D3175" w:rsidRPr="005D3175">
        <w:rPr>
          <w:rFonts w:ascii="Arial" w:hAnsi="Arial" w:cs="Arial"/>
          <w:b/>
          <w:highlight w:val="yellow"/>
        </w:rPr>
        <w:t>(Draft)</w:t>
      </w:r>
      <w:r w:rsidR="001129A4">
        <w:rPr>
          <w:rFonts w:ascii="Arial" w:hAnsi="Arial" w:cs="Arial"/>
          <w:b/>
        </w:rPr>
        <w:t xml:space="preserve"> </w:t>
      </w:r>
      <w:bookmarkStart w:id="6" w:name="_GoBack"/>
      <w:bookmarkEnd w:id="6"/>
      <w:r w:rsidRPr="00F85511">
        <w:rPr>
          <w:rFonts w:ascii="Arial" w:hAnsi="Arial" w:cs="Arial"/>
        </w:rPr>
        <w:t xml:space="preserve">LS on </w:t>
      </w:r>
      <w:r w:rsidR="0089342A">
        <w:rPr>
          <w:rFonts w:ascii="Arial" w:hAnsi="Arial" w:cs="Arial"/>
        </w:rPr>
        <w:t>fallback</w:t>
      </w:r>
      <w:r w:rsidR="00D203F4">
        <w:rPr>
          <w:rFonts w:ascii="Arial" w:hAnsi="Arial" w:cs="Arial"/>
        </w:rPr>
        <w:t xml:space="preserve"> interpretation of </w:t>
      </w:r>
      <w:r w:rsidR="005D3175" w:rsidRPr="005D3175">
        <w:rPr>
          <w:rFonts w:ascii="Arial" w:hAnsi="Arial" w:cs="Arial"/>
        </w:rPr>
        <w:t xml:space="preserve">UE capability </w:t>
      </w:r>
      <w:r w:rsidR="00D203F4">
        <w:rPr>
          <w:rFonts w:ascii="Arial" w:hAnsi="Arial" w:cs="Arial"/>
        </w:rPr>
        <w:t>fields</w:t>
      </w:r>
    </w:p>
    <w:p w14:paraId="37E8105B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37E8105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37E8105D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37E8105E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5D3175">
        <w:rPr>
          <w:rFonts w:ascii="Arial" w:hAnsi="Arial" w:cs="Arial"/>
          <w:bCs/>
        </w:rPr>
        <w:t>Intel Corporation</w:t>
      </w:r>
    </w:p>
    <w:p w14:paraId="37E8105F" w14:textId="77777777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F60AB5">
        <w:rPr>
          <w:rFonts w:ascii="Arial" w:hAnsi="Arial" w:cs="Arial"/>
          <w:bCs/>
        </w:rPr>
        <w:tab/>
      </w:r>
      <w:r w:rsidR="00D203F4">
        <w:rPr>
          <w:rFonts w:ascii="Arial" w:hAnsi="Arial" w:cs="Arial"/>
          <w:bCs/>
        </w:rPr>
        <w:t>RAN1, RAN4</w:t>
      </w:r>
    </w:p>
    <w:p w14:paraId="37E8106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37E81061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37E81062" w14:textId="77777777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14:paraId="37E81063" w14:textId="77777777"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14:paraId="37E81064" w14:textId="77777777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14:paraId="37E81065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37E81066" w14:textId="77777777" w:rsidR="000B3CF8" w:rsidRDefault="00B66839">
      <w:r>
        <w:t xml:space="preserve">RAN2 has </w:t>
      </w:r>
      <w:r w:rsidR="00D203F4">
        <w:t xml:space="preserve">agreed </w:t>
      </w:r>
      <w:r>
        <w:t xml:space="preserve">for NR capability reporting, </w:t>
      </w:r>
      <w:r w:rsidR="00D203F4">
        <w:t xml:space="preserve">the UE is not needed to report lower order CA BCs with the assumption that the UE should support </w:t>
      </w:r>
      <w:r>
        <w:t>t</w:t>
      </w:r>
      <w:r w:rsidR="00D203F4">
        <w:t xml:space="preserve">he fallback configurations of higher order CA BCs. In this aspect, RAN2 would like RAN1/RAN4 to confirm on the below understanding of the fallback for </w:t>
      </w:r>
      <w:r w:rsidR="00BE0F6C">
        <w:t xml:space="preserve">certain </w:t>
      </w:r>
      <w:r w:rsidR="00D203F4">
        <w:t>capability fields.</w:t>
      </w:r>
      <w:r w:rsidR="00EF43B1">
        <w:t xml:space="preserve"> </w:t>
      </w:r>
    </w:p>
    <w:p w14:paraId="37E81067" w14:textId="77777777"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D203F4">
        <w:t>Fallback interpretation of FeatureSetDownlinkPerCC and FeatureSetUplinkPerCC fields</w:t>
      </w:r>
    </w:p>
    <w:p w14:paraId="37E81068" w14:textId="77777777" w:rsidR="00D203F4" w:rsidRDefault="00D203F4" w:rsidP="0072778B">
      <w:r>
        <w:t>The FatureSetDownlinkPerCC and FeatureSetUplinkPerCC structures are linked from FeatureSetDownlinkPerBand and FeatureSetUplinkPerBand (respectively) which are in turn linked from the bands of a band combinations supported by the UE.</w:t>
      </w:r>
    </w:p>
    <w:p w14:paraId="37E81069" w14:textId="77777777" w:rsidR="00D203F4" w:rsidRDefault="00BE0F6C" w:rsidP="0072778B">
      <w:r>
        <w:t>As part of fallback definition, i</w:t>
      </w:r>
      <w:r w:rsidR="00D203F4">
        <w:t>t is RAN2’s understanding that for MIMO layers and modulation order, the UE is expected to support lower layers</w:t>
      </w:r>
      <w:r>
        <w:t xml:space="preserve"> and lower modulation order respectively,</w:t>
      </w:r>
      <w:r w:rsidR="00D203F4">
        <w:t xml:space="preserve"> as allowed by </w:t>
      </w:r>
      <w:r>
        <w:t>the RAN1/RAN4 specifications</w:t>
      </w:r>
      <w:r w:rsidR="00D203F4">
        <w:t xml:space="preserve"> than the advertised value in the capability,.</w:t>
      </w:r>
    </w:p>
    <w:p w14:paraId="37E8106A" w14:textId="77777777" w:rsidR="00D203F4" w:rsidRDefault="00D203F4" w:rsidP="0072778B">
      <w:r>
        <w:t>However,</w:t>
      </w:r>
      <w:r w:rsidR="00B66839">
        <w:t xml:space="preserve"> when MIMO layer and modulation order are combined with</w:t>
      </w:r>
      <w:r>
        <w:t xml:space="preserve"> sub-carrier spacing and bandwidth</w:t>
      </w:r>
      <w:r w:rsidR="00EC3124">
        <w:t xml:space="preserve"> as a UE supported configuration</w:t>
      </w:r>
      <w:r>
        <w:t xml:space="preserve">, </w:t>
      </w:r>
      <w:r w:rsidR="009770F3">
        <w:t xml:space="preserve">RAN2 </w:t>
      </w:r>
      <w:r>
        <w:t xml:space="preserve">is not sure if </w:t>
      </w:r>
      <w:r w:rsidR="00EC3124">
        <w:t>the above fallback</w:t>
      </w:r>
      <w:r>
        <w:t xml:space="preserve"> logic can be applied and requests guidance</w:t>
      </w:r>
      <w:r w:rsidR="009770F3">
        <w:t>.</w:t>
      </w:r>
    </w:p>
    <w:p w14:paraId="37E8106B" w14:textId="77777777" w:rsidR="00D203F4" w:rsidRDefault="009770F3" w:rsidP="00D203F4">
      <w:pPr>
        <w:pStyle w:val="Heading2"/>
      </w:pPr>
      <w:r>
        <w:t xml:space="preserve"> </w:t>
      </w:r>
      <w:r w:rsidR="00D203F4">
        <w:t>1.2</w:t>
      </w:r>
      <w:r w:rsidR="00D203F4">
        <w:tab/>
        <w:t>Fallback interpretation of FeatureSetDownlinkPerBand and FeatureSetUplinkPerBand fields</w:t>
      </w:r>
    </w:p>
    <w:p w14:paraId="37E8106C" w14:textId="77777777" w:rsidR="00EC3124" w:rsidRPr="00871232" w:rsidRDefault="00EC3124" w:rsidP="00EC3124">
      <w:pPr>
        <w:rPr>
          <w:b/>
        </w:rPr>
      </w:pPr>
      <w:r>
        <w:t xml:space="preserve">For the parameters that are signalled for each band, RAN2 sees that most of them indicate the support of sub-features through a boolean, or provide the ‘maximum’ supported quantity of ports or reports or resources,  where the ‘maximum’ implies that the UE is expected to also support a configuration with lower number of reported capability (as allowed by the specification). For these </w:t>
      </w:r>
      <w:r w:rsidRPr="00EC3124">
        <w:t>RAN2 expects the UE to support lower values of the reported maximum capabilities as allowed by the specification.</w:t>
      </w:r>
    </w:p>
    <w:p w14:paraId="37E8106D" w14:textId="77777777" w:rsidR="00EC3124" w:rsidRDefault="00EC3124" w:rsidP="00EC3124"/>
    <w:p w14:paraId="37E8106E" w14:textId="77777777" w:rsidR="00DE0389" w:rsidRDefault="00D203F4" w:rsidP="00D203F4">
      <w:pPr>
        <w:pStyle w:val="Heading2"/>
        <w:ind w:left="0" w:firstLine="0"/>
      </w:pPr>
      <w:r>
        <w:t xml:space="preserve">1.3 </w:t>
      </w:r>
      <w:r w:rsidR="00DE0389">
        <w:t xml:space="preserve">Questions to </w:t>
      </w:r>
      <w:r>
        <w:t>RAN1/RAN4</w:t>
      </w:r>
      <w:r w:rsidR="00DE0389">
        <w:t xml:space="preserve"> </w:t>
      </w:r>
    </w:p>
    <w:p w14:paraId="37E8106F" w14:textId="77777777" w:rsidR="00BE0F6C" w:rsidRDefault="00BE0F6C" w:rsidP="00BE0F6C">
      <w:pPr>
        <w:rPr>
          <w:b/>
        </w:rPr>
      </w:pPr>
      <w:r>
        <w:rPr>
          <w:b/>
        </w:rPr>
        <w:t xml:space="preserve">Q1. </w:t>
      </w:r>
      <w:r w:rsidR="00984AF3" w:rsidRPr="00984AF3">
        <w:rPr>
          <w:b/>
        </w:rPr>
        <w:t xml:space="preserve">RAN2 would like to </w:t>
      </w:r>
      <w:r w:rsidR="00675780">
        <w:rPr>
          <w:b/>
        </w:rPr>
        <w:t>request</w:t>
      </w:r>
      <w:r w:rsidR="00984AF3" w:rsidRPr="00984AF3">
        <w:rPr>
          <w:b/>
        </w:rPr>
        <w:t xml:space="preserve"> </w:t>
      </w:r>
      <w:r>
        <w:rPr>
          <w:b/>
        </w:rPr>
        <w:t>RAN1/RAN4 on whether the UE is expected to support values lower than the UE advertised capability for the following (as allowed by the RAN1/RAN4 specifications):</w:t>
      </w:r>
    </w:p>
    <w:p w14:paraId="37E81070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>MIMO layers</w:t>
      </w:r>
    </w:p>
    <w:p w14:paraId="37E81071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>Modulation order</w:t>
      </w:r>
    </w:p>
    <w:p w14:paraId="37E81072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>Bandwidth</w:t>
      </w:r>
    </w:p>
    <w:p w14:paraId="37E81073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>Subcarrier spacing</w:t>
      </w:r>
    </w:p>
    <w:p w14:paraId="37E81074" w14:textId="77777777" w:rsidR="00BE0F6C" w:rsidRDefault="00BE0F6C" w:rsidP="00BE0F6C">
      <w:pPr>
        <w:spacing w:after="160"/>
        <w:rPr>
          <w:b/>
        </w:rPr>
      </w:pPr>
      <w:r>
        <w:rPr>
          <w:b/>
        </w:rPr>
        <w:lastRenderedPageBreak/>
        <w:t>As an example, if the UE advertises in a particular FeatureSetDownlinkPerCC a capability configuration :{ 4 layer MIMO, 256 QAM, 100 MHz, 30 KHz }, is the UE expected to also support all the configurations where any of the fields contain lower values than advertised:</w:t>
      </w:r>
    </w:p>
    <w:p w14:paraId="37E81075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 xml:space="preserve">{ 4 layer MIMO, 64 QAM, 100 MHz, 30 KHz }  </w:t>
      </w:r>
      <w:r w:rsidRPr="00BE0F6C">
        <w:t>(</w:t>
      </w:r>
      <w:r>
        <w:t>Modulation order has lower value</w:t>
      </w:r>
      <w:r w:rsidRPr="00BE0F6C">
        <w:t>)</w:t>
      </w:r>
    </w:p>
    <w:p w14:paraId="37E81076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 xml:space="preserve">{ 2 layer MIMO, 256 QAM, 100 MHz, 30 KHz }  </w:t>
      </w:r>
      <w:r w:rsidRPr="00BE0F6C">
        <w:t>(</w:t>
      </w:r>
      <w:r>
        <w:t>MIMO layers has lower value</w:t>
      </w:r>
      <w:r w:rsidRPr="00BE0F6C">
        <w:t>)</w:t>
      </w:r>
    </w:p>
    <w:p w14:paraId="37E81077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 xml:space="preserve">{ 4 layer MIMO, 256 QAM, 80 MHz, 30 KHz }  </w:t>
      </w:r>
      <w:r w:rsidRPr="00BE0F6C">
        <w:t>(</w:t>
      </w:r>
      <w:r>
        <w:t>BW has lower value</w:t>
      </w:r>
      <w:r w:rsidRPr="00BE0F6C">
        <w:t>)</w:t>
      </w:r>
    </w:p>
    <w:p w14:paraId="37E81078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 xml:space="preserve">{ 4 layer MIMO, 256 QAM, 100 MHz, 15 KHz }  </w:t>
      </w:r>
      <w:r w:rsidRPr="00BE0F6C">
        <w:t>(</w:t>
      </w:r>
      <w:r>
        <w:t>SCS has lower value</w:t>
      </w:r>
      <w:r w:rsidRPr="00BE0F6C">
        <w:t>)</w:t>
      </w:r>
    </w:p>
    <w:p w14:paraId="37E81079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 xml:space="preserve">{ 2 layer MIMO, 64 QAM, 100 MHz, 15 KHz }   </w:t>
      </w:r>
      <w:r w:rsidRPr="00BE0F6C">
        <w:t>(</w:t>
      </w:r>
      <w:r>
        <w:t>MIMO layers, modulation order and SCS are of lower value</w:t>
      </w:r>
      <w:r w:rsidRPr="00BE0F6C">
        <w:t>)</w:t>
      </w:r>
    </w:p>
    <w:p w14:paraId="37E8107A" w14:textId="77777777" w:rsidR="00BE0F6C" w:rsidRDefault="00BE0F6C" w:rsidP="00BE0F6C">
      <w:pPr>
        <w:pStyle w:val="ListParagraph"/>
        <w:numPr>
          <w:ilvl w:val="0"/>
          <w:numId w:val="24"/>
        </w:numPr>
        <w:spacing w:after="160"/>
        <w:rPr>
          <w:b/>
        </w:rPr>
      </w:pPr>
      <w:r>
        <w:rPr>
          <w:b/>
        </w:rPr>
        <w:t>Etc…</w:t>
      </w:r>
    </w:p>
    <w:p w14:paraId="37E8107B" w14:textId="77777777" w:rsidR="00BE0F6C" w:rsidRPr="00BE0F6C" w:rsidRDefault="00BE0F6C" w:rsidP="00BE0F6C">
      <w:pPr>
        <w:pStyle w:val="ListParagraph"/>
        <w:spacing w:after="160"/>
        <w:rPr>
          <w:b/>
        </w:rPr>
      </w:pPr>
    </w:p>
    <w:p w14:paraId="37E8107C" w14:textId="77777777" w:rsidR="00675780" w:rsidRDefault="00675780" w:rsidP="00FE79DF">
      <w:pPr>
        <w:pStyle w:val="ListParagraph"/>
        <w:numPr>
          <w:ilvl w:val="0"/>
          <w:numId w:val="14"/>
        </w:numPr>
        <w:rPr>
          <w:b/>
        </w:rPr>
      </w:pPr>
      <w:r>
        <w:rPr>
          <w:b/>
        </w:rPr>
        <w:t xml:space="preserve"> </w:t>
      </w:r>
      <w:r w:rsidR="00BE0F6C">
        <w:rPr>
          <w:b/>
        </w:rPr>
        <w:t xml:space="preserve">RAN2 considers that the </w:t>
      </w:r>
      <w:r w:rsidR="00FE79DF">
        <w:rPr>
          <w:b/>
        </w:rPr>
        <w:t xml:space="preserve">following </w:t>
      </w:r>
      <w:r w:rsidR="00BE0F6C">
        <w:rPr>
          <w:b/>
        </w:rPr>
        <w:t xml:space="preserve">parameters </w:t>
      </w:r>
      <w:r w:rsidR="00FE79DF">
        <w:rPr>
          <w:b/>
        </w:rPr>
        <w:t xml:space="preserve">reported </w:t>
      </w:r>
      <w:r w:rsidR="00BE0F6C">
        <w:rPr>
          <w:b/>
        </w:rPr>
        <w:t>from FeatureSetDownlinkPerBand and</w:t>
      </w:r>
      <w:r w:rsidR="00FE79DF">
        <w:rPr>
          <w:b/>
        </w:rPr>
        <w:t xml:space="preserve"> FeatureSetUplinkPerBand are consider as the maximum supported values by the UE and that the UE can support a configuration where the values are lower than the UE reported values (as allowed by the RAN1/RAN4 specifications). RAN2 requests RAN1/RAN4 to take this into consideration and to report if the RAN2 interpretation on any of the parameters below is incorrect.</w:t>
      </w:r>
    </w:p>
    <w:p w14:paraId="37E8107D" w14:textId="77777777" w:rsidR="00FE79DF" w:rsidRDefault="00FE79DF" w:rsidP="00FE79DF">
      <w:pPr>
        <w:pStyle w:val="ListParagraph"/>
        <w:ind w:left="360"/>
        <w:rPr>
          <w:b/>
        </w:rPr>
      </w:pPr>
    </w:p>
    <w:tbl>
      <w:tblPr>
        <w:tblW w:w="5720" w:type="dxa"/>
        <w:tblLook w:val="04A0" w:firstRow="1" w:lastRow="0" w:firstColumn="1" w:lastColumn="0" w:noHBand="0" w:noVBand="1"/>
      </w:tblPr>
      <w:tblGrid>
        <w:gridCol w:w="5720"/>
      </w:tblGrid>
      <w:tr w:rsidR="00B66839" w:rsidRPr="00B66839" w14:paraId="37E8107F" w14:textId="77777777" w:rsidTr="00B66839">
        <w:trPr>
          <w:trHeight w:val="300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7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UL</w:t>
            </w:r>
          </w:p>
        </w:tc>
      </w:tr>
      <w:tr w:rsidR="00B66839" w:rsidRPr="00B66839" w14:paraId="37E8108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CSI-ReportFramework </w:t>
            </w:r>
          </w:p>
        </w:tc>
      </w:tr>
      <w:tr w:rsidR="00B66839" w:rsidRPr="00B66839" w14:paraId="37E8108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maxNumberPeriodicCSI-ReportPerBWP          </w:t>
            </w:r>
          </w:p>
        </w:tc>
      </w:tr>
      <w:tr w:rsidR="00B66839" w:rsidRPr="00B66839" w14:paraId="37E8108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maxNumberAperiodicCSI-ReportPerBWP         </w:t>
            </w:r>
          </w:p>
        </w:tc>
      </w:tr>
      <w:tr w:rsidR="00B66839" w:rsidRPr="00B66839" w14:paraId="37E8108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maxNumberSemiPersistentCSI-ReportPerBWP    </w:t>
            </w:r>
          </w:p>
        </w:tc>
      </w:tr>
      <w:tr w:rsidR="00B66839" w:rsidRPr="00B66839" w14:paraId="37E8108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simultaneousCSI-ReportsAllCC               </w:t>
            </w:r>
          </w:p>
        </w:tc>
      </w:tr>
      <w:tr w:rsidR="00B66839" w:rsidRPr="00B66839" w14:paraId="37E8108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8D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C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SRS-Resources </w:t>
            </w:r>
          </w:p>
        </w:tc>
      </w:tr>
      <w:tr w:rsidR="00B66839" w:rsidRPr="00B66839" w14:paraId="37E8108F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8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maxNumberAperiodicSRS-PerBWP-PerSlot       </w:t>
            </w:r>
          </w:p>
        </w:tc>
      </w:tr>
      <w:tr w:rsidR="00B66839" w:rsidRPr="00B66839" w14:paraId="37E8109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maxNumberPeriodicSRS-PerBWP                   </w:t>
            </w:r>
          </w:p>
        </w:tc>
      </w:tr>
      <w:tr w:rsidR="00B66839" w:rsidRPr="00B66839" w14:paraId="37E8109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maxNumberPeriodicSRS-PerBWP-PerSlot           </w:t>
            </w:r>
          </w:p>
        </w:tc>
      </w:tr>
      <w:tr w:rsidR="00B66839" w:rsidRPr="00B66839" w14:paraId="37E8109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maxNumberSemiPersitentSRS-PerBWP           </w:t>
            </w:r>
          </w:p>
        </w:tc>
      </w:tr>
      <w:tr w:rsidR="00B66839" w:rsidRPr="00B66839" w14:paraId="37E8109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maxNumberSP-SRS-PerBWP-PerSlot                </w:t>
            </w:r>
          </w:p>
        </w:tc>
      </w:tr>
      <w:tr w:rsidR="00B66839" w:rsidRPr="00B66839" w14:paraId="37E8109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maxNumberSRS-Ports-PerResource                </w:t>
            </w:r>
          </w:p>
        </w:tc>
      </w:tr>
      <w:tr w:rsidR="00B66839" w:rsidRPr="00B66839" w14:paraId="37E8109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9D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C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9F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9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DL</w:t>
            </w:r>
          </w:p>
        </w:tc>
      </w:tr>
      <w:tr w:rsidR="00B66839" w:rsidRPr="00B66839" w14:paraId="37E810A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CSI-RS-IM-ReceptionForFeedback</w:t>
            </w:r>
          </w:p>
        </w:tc>
      </w:tr>
      <w:tr w:rsidR="00B66839" w:rsidRPr="00B66839" w14:paraId="37E810A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maxNumberNZP-CSI-RS-PerCC           </w:t>
            </w:r>
          </w:p>
        </w:tc>
      </w:tr>
      <w:tr w:rsidR="00B66839" w:rsidRPr="00B66839" w14:paraId="37E810A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maxNumberPortsAcrossNZP-CSI-RS-PerCC       </w:t>
            </w:r>
          </w:p>
        </w:tc>
      </w:tr>
      <w:tr w:rsidR="00B66839" w:rsidRPr="00B66839" w14:paraId="37E810A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maxNumberCS-IM-PerCC                       </w:t>
            </w:r>
          </w:p>
        </w:tc>
      </w:tr>
      <w:tr w:rsidR="00B66839" w:rsidRPr="00B66839" w14:paraId="37E810A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maxNumberSimultaneousCSI-RS-ActBWP-AllCC   </w:t>
            </w:r>
          </w:p>
        </w:tc>
      </w:tr>
      <w:tr w:rsidR="00B66839" w:rsidRPr="00B66839" w14:paraId="37E810A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totalNumberPortsSimultaneousCSI-RS-ActBWP-AllCC</w:t>
            </w:r>
          </w:p>
        </w:tc>
      </w:tr>
      <w:tr w:rsidR="00B66839" w:rsidRPr="00B66839" w14:paraId="37E810AD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C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AF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A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TypeI-SinglePanelCodebook </w:t>
            </w:r>
          </w:p>
        </w:tc>
      </w:tr>
      <w:tr w:rsidR="00B66839" w:rsidRPr="00B66839" w14:paraId="37E810B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maxNumberTxPortsPerResource          </w:t>
            </w:r>
          </w:p>
        </w:tc>
      </w:tr>
      <w:tr w:rsidR="00B66839" w:rsidRPr="00B66839" w14:paraId="37E810B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maxNumberResources               </w:t>
            </w:r>
          </w:p>
        </w:tc>
      </w:tr>
      <w:tr w:rsidR="00B66839" w:rsidRPr="00B66839" w14:paraId="37E810B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totalNumberTxPorts               </w:t>
            </w:r>
          </w:p>
        </w:tc>
      </w:tr>
      <w:tr w:rsidR="00B66839" w:rsidRPr="00B66839" w14:paraId="37E810B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maxNumberCSI-RS-PerResourceSet      </w:t>
            </w:r>
          </w:p>
        </w:tc>
      </w:tr>
      <w:tr w:rsidR="00B66839" w:rsidRPr="00B66839" w14:paraId="37E810B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B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TypeI-MultiPanelCodebook </w:t>
            </w:r>
          </w:p>
        </w:tc>
      </w:tr>
      <w:tr w:rsidR="00B66839" w:rsidRPr="00B66839" w14:paraId="37E810BD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C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 xml:space="preserve">maxNumberTxPortsPerResource          </w:t>
            </w:r>
          </w:p>
        </w:tc>
      </w:tr>
      <w:tr w:rsidR="00B66839" w:rsidRPr="00B66839" w14:paraId="37E810BF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B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maxNumberResources               </w:t>
            </w:r>
          </w:p>
        </w:tc>
      </w:tr>
      <w:tr w:rsidR="00B66839" w:rsidRPr="00B66839" w14:paraId="37E810C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totalNumberTxPorts               </w:t>
            </w:r>
          </w:p>
        </w:tc>
      </w:tr>
      <w:tr w:rsidR="00B66839" w:rsidRPr="00B66839" w14:paraId="37E810C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maxNumberCSI-RS-PerResourceSet      </w:t>
            </w:r>
          </w:p>
        </w:tc>
      </w:tr>
      <w:tr w:rsidR="00B66839" w:rsidRPr="00B66839" w14:paraId="37E810C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C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TypeII-Codebook </w:t>
            </w:r>
          </w:p>
        </w:tc>
      </w:tr>
      <w:tr w:rsidR="00B66839" w:rsidRPr="00B66839" w14:paraId="37E810C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maxNumberTxPortsPerResource          </w:t>
            </w:r>
          </w:p>
        </w:tc>
      </w:tr>
      <w:tr w:rsidR="00B66839" w:rsidRPr="00B66839" w14:paraId="37E810C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maxNumberResources               </w:t>
            </w:r>
          </w:p>
        </w:tc>
      </w:tr>
      <w:tr w:rsidR="00B66839" w:rsidRPr="00B66839" w14:paraId="37E810CD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C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totalNumberTxPorts               </w:t>
            </w:r>
          </w:p>
        </w:tc>
      </w:tr>
      <w:tr w:rsidR="00B66839" w:rsidRPr="00B66839" w14:paraId="37E810CF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CE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maxNumberCSI-RS-PerResourceSet      </w:t>
            </w:r>
          </w:p>
        </w:tc>
      </w:tr>
      <w:tr w:rsidR="00B66839" w:rsidRPr="00B66839" w14:paraId="37E810D1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0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66839" w:rsidRPr="00B66839" w14:paraId="37E810D3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2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TypeII-CodebookPortSelection</w:t>
            </w:r>
          </w:p>
        </w:tc>
      </w:tr>
      <w:tr w:rsidR="00B66839" w:rsidRPr="00B66839" w14:paraId="37E810D5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4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maxNumberTxPortsPerResource          </w:t>
            </w:r>
          </w:p>
        </w:tc>
      </w:tr>
      <w:tr w:rsidR="00B66839" w:rsidRPr="00B66839" w14:paraId="37E810D7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6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maxNumberResources               </w:t>
            </w:r>
          </w:p>
        </w:tc>
      </w:tr>
      <w:tr w:rsidR="00B66839" w:rsidRPr="00B66839" w14:paraId="37E810D9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8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totalNumberTxPorts               </w:t>
            </w:r>
          </w:p>
        </w:tc>
      </w:tr>
      <w:tr w:rsidR="00B66839" w:rsidRPr="00B66839" w14:paraId="37E810DB" w14:textId="77777777" w:rsidTr="00B66839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0DA" w14:textId="77777777" w:rsidR="00B66839" w:rsidRPr="00B66839" w:rsidRDefault="00B66839" w:rsidP="00B66839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68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maxNumberCSI-RS-PerResourceSet      </w:t>
            </w:r>
          </w:p>
        </w:tc>
      </w:tr>
    </w:tbl>
    <w:p w14:paraId="37E810DC" w14:textId="77777777" w:rsidR="007E1DEF" w:rsidRDefault="007E1DEF" w:rsidP="007E1DEF">
      <w:pPr>
        <w:pStyle w:val="ListParagraph"/>
        <w:rPr>
          <w:b/>
        </w:rPr>
      </w:pPr>
    </w:p>
    <w:p w14:paraId="37E810DD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7E810DE" w14:textId="77777777"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 w:rsidR="00E72B70">
        <w:rPr>
          <w:b/>
          <w:u w:val="single"/>
        </w:rPr>
        <w:t>RAN1 and RAN4</w:t>
      </w:r>
      <w:r w:rsidRPr="001852E7">
        <w:rPr>
          <w:b/>
        </w:rPr>
        <w:t>:</w:t>
      </w:r>
    </w:p>
    <w:p w14:paraId="37E810DF" w14:textId="77777777"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E72B70">
        <w:rPr>
          <w:b/>
        </w:rPr>
        <w:t xml:space="preserve"> and Q2.</w:t>
      </w:r>
      <w:r w:rsidR="00782497">
        <w:rPr>
          <w:b/>
        </w:rPr>
        <w:t xml:space="preserve"> </w:t>
      </w:r>
    </w:p>
    <w:p w14:paraId="37E810E0" w14:textId="77777777" w:rsidR="008022BE" w:rsidRPr="001852E7" w:rsidRDefault="008022BE" w:rsidP="008022BE">
      <w:pPr>
        <w:rPr>
          <w:b/>
        </w:rPr>
      </w:pPr>
    </w:p>
    <w:p w14:paraId="37E810E1" w14:textId="77777777"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14:paraId="37E810E2" w14:textId="77777777" w:rsidR="008022BE" w:rsidRDefault="008022BE" w:rsidP="008022BE">
      <w:r>
        <w:t>RAN2#10</w:t>
      </w:r>
      <w:r w:rsidR="00423B97">
        <w:t>3</w:t>
      </w:r>
      <w:r w:rsidR="00707E86">
        <w:tab/>
      </w:r>
      <w:r w:rsidR="00423B97">
        <w:tab/>
      </w:r>
      <w:r w:rsidR="00423B97">
        <w:tab/>
      </w:r>
      <w:r w:rsidR="00423B97">
        <w:rPr>
          <w:rFonts w:ascii="Arial" w:hAnsi="Arial" w:cs="Arial"/>
          <w:color w:val="000000"/>
          <w:sz w:val="16"/>
          <w:szCs w:val="16"/>
        </w:rPr>
        <w:t>20 - 24 Aug 2018 </w:t>
      </w:r>
      <w:r>
        <w:tab/>
      </w:r>
      <w:r w:rsidR="00423B97">
        <w:rPr>
          <w:rFonts w:ascii="Arial" w:hAnsi="Arial" w:cs="Arial"/>
          <w:color w:val="000000"/>
          <w:sz w:val="16"/>
          <w:szCs w:val="16"/>
        </w:rPr>
        <w:t>Gothenburg, Sweden</w:t>
      </w:r>
    </w:p>
    <w:p w14:paraId="37E810E3" w14:textId="77777777" w:rsidR="00707E86" w:rsidRDefault="00423B97" w:rsidP="008022BE">
      <w:r>
        <w:t>RAN2#103bis</w:t>
      </w:r>
      <w:r w:rsidR="00707E86">
        <w:tab/>
      </w:r>
      <w:r w:rsidR="00707E86">
        <w:tab/>
      </w:r>
      <w:r>
        <w:rPr>
          <w:rFonts w:ascii="Arial" w:hAnsi="Arial" w:cs="Arial"/>
          <w:color w:val="000000"/>
          <w:sz w:val="16"/>
          <w:szCs w:val="16"/>
        </w:rPr>
        <w:t>8 - 12 Oct 2018   Chengdu</w:t>
      </w:r>
      <w:r w:rsidR="00707E86">
        <w:t xml:space="preserve">, </w:t>
      </w:r>
      <w:r>
        <w:t>China</w:t>
      </w:r>
    </w:p>
    <w:bookmarkEnd w:id="0"/>
    <w:bookmarkEnd w:id="1"/>
    <w:bookmarkEnd w:id="2"/>
    <w:bookmarkEnd w:id="3"/>
    <w:bookmarkEnd w:id="4"/>
    <w:bookmarkEnd w:id="5"/>
    <w:p w14:paraId="37E810E4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2D4A2" w14:textId="77777777" w:rsidR="00B06B1A" w:rsidRDefault="00B06B1A" w:rsidP="007846FF">
      <w:pPr>
        <w:spacing w:after="0" w:line="240" w:lineRule="auto"/>
      </w:pPr>
      <w:r>
        <w:separator/>
      </w:r>
    </w:p>
  </w:endnote>
  <w:endnote w:type="continuationSeparator" w:id="0">
    <w:p w14:paraId="176C9980" w14:textId="77777777" w:rsidR="00B06B1A" w:rsidRDefault="00B06B1A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0ACC4" w14:textId="77777777" w:rsidR="00B06B1A" w:rsidRDefault="00B06B1A" w:rsidP="007846FF">
      <w:pPr>
        <w:spacing w:after="0" w:line="240" w:lineRule="auto"/>
      </w:pPr>
      <w:r>
        <w:separator/>
      </w:r>
    </w:p>
  </w:footnote>
  <w:footnote w:type="continuationSeparator" w:id="0">
    <w:p w14:paraId="555EE6B5" w14:textId="77777777" w:rsidR="00B06B1A" w:rsidRDefault="00B06B1A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76414"/>
    <w:multiLevelType w:val="hybridMultilevel"/>
    <w:tmpl w:val="E4983A8C"/>
    <w:lvl w:ilvl="0" w:tplc="8E68C73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537BF"/>
    <w:multiLevelType w:val="multilevel"/>
    <w:tmpl w:val="9DF8C3C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04AA5136"/>
    <w:lvl w:ilvl="0" w:tplc="1DC8E7EC">
      <w:start w:val="2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52FE9"/>
    <w:multiLevelType w:val="hybridMultilevel"/>
    <w:tmpl w:val="6A4A058A"/>
    <w:lvl w:ilvl="0" w:tplc="8E68C73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9247B"/>
    <w:multiLevelType w:val="hybridMultilevel"/>
    <w:tmpl w:val="9806A1D8"/>
    <w:lvl w:ilvl="0" w:tplc="279A90C6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F1087"/>
    <w:multiLevelType w:val="hybridMultilevel"/>
    <w:tmpl w:val="E3722750"/>
    <w:lvl w:ilvl="0" w:tplc="2CAAE2A2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3"/>
  </w:num>
  <w:num w:numId="5">
    <w:abstractNumId w:val="6"/>
  </w:num>
  <w:num w:numId="6">
    <w:abstractNumId w:val="13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1"/>
  </w:num>
  <w:num w:numId="13">
    <w:abstractNumId w:val="11"/>
  </w:num>
  <w:num w:numId="14">
    <w:abstractNumId w:val="12"/>
  </w:num>
  <w:num w:numId="15">
    <w:abstractNumId w:val="5"/>
  </w:num>
  <w:num w:numId="16">
    <w:abstractNumId w:val="16"/>
  </w:num>
  <w:num w:numId="17">
    <w:abstractNumId w:val="12"/>
  </w:num>
  <w:num w:numId="18">
    <w:abstractNumId w:val="19"/>
  </w:num>
  <w:num w:numId="19">
    <w:abstractNumId w:val="20"/>
  </w:num>
  <w:num w:numId="20">
    <w:abstractNumId w:val="8"/>
  </w:num>
  <w:num w:numId="21">
    <w:abstractNumId w:val="14"/>
  </w:num>
  <w:num w:numId="22">
    <w:abstractNumId w:val="17"/>
  </w:num>
  <w:num w:numId="23">
    <w:abstractNumId w:val="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39E1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07DAE"/>
    <w:rsid w:val="0011084F"/>
    <w:rsid w:val="00110E69"/>
    <w:rsid w:val="001129A4"/>
    <w:rsid w:val="0011358A"/>
    <w:rsid w:val="00113FED"/>
    <w:rsid w:val="00114E60"/>
    <w:rsid w:val="00115F71"/>
    <w:rsid w:val="00116356"/>
    <w:rsid w:val="00121EE7"/>
    <w:rsid w:val="001220F1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12B"/>
    <w:rsid w:val="001D28AA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9E0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2E02"/>
    <w:rsid w:val="002434F4"/>
    <w:rsid w:val="00243F0C"/>
    <w:rsid w:val="00244DBC"/>
    <w:rsid w:val="00245933"/>
    <w:rsid w:val="00245E72"/>
    <w:rsid w:val="002463DB"/>
    <w:rsid w:val="00247A68"/>
    <w:rsid w:val="00247B71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3FC8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6DF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3FD8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431E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C93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1F4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6636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1D7"/>
    <w:rsid w:val="004163AF"/>
    <w:rsid w:val="004165FF"/>
    <w:rsid w:val="004178DA"/>
    <w:rsid w:val="004209FD"/>
    <w:rsid w:val="00420BAA"/>
    <w:rsid w:val="00420C0A"/>
    <w:rsid w:val="00423012"/>
    <w:rsid w:val="004238AA"/>
    <w:rsid w:val="00423B97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40F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151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6E90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1AC3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0CBF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175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4B97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5780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E86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85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0E52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1DEF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E88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42A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153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F8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45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0F3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4AF3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4FD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8A8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64BF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06B1A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5972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6839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0F6C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54C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7C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3F4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3252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27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57F5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2B70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999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5EAC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124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4AD0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EF6925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9A6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39CD"/>
    <w:rsid w:val="00F54431"/>
    <w:rsid w:val="00F54F25"/>
    <w:rsid w:val="00F5678F"/>
    <w:rsid w:val="00F577D2"/>
    <w:rsid w:val="00F60AB5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1A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9DF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81059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列出段落"/>
    <w:basedOn w:val="Normal"/>
    <w:uiPriority w:val="34"/>
    <w:qFormat/>
    <w:rsid w:val="00F52B0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B97"/>
    <w:pPr>
      <w:spacing w:before="100" w:beforeAutospacing="1" w:after="100" w:afterAutospacing="1" w:line="240" w:lineRule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41CAA-B272-40E4-ADBA-839FB11F9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F1ACF-FF41-4220-960E-02A17A5ED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A930071-10A3-4864-BE43-DED92B29A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9E57B49-9BCE-4E33-B709-46E5327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919</TotalTime>
  <Pages>3</Pages>
  <Words>639</Words>
  <Characters>4123</Characters>
  <Application>Microsoft Office Word</Application>
  <DocSecurity>0</DocSecurity>
  <Lines>114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Intel Corp - Naveen Palle</cp:lastModifiedBy>
  <cp:revision>20</cp:revision>
  <cp:lastPrinted>2017-05-08T11:55:00Z</cp:lastPrinted>
  <dcterms:created xsi:type="dcterms:W3CDTF">2018-02-27T15:26:00Z</dcterms:created>
  <dcterms:modified xsi:type="dcterms:W3CDTF">2018-06-22T03:21:00Z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91b219fd-c0b9-41bc-970c-79dd9e9af821</vt:lpwstr>
  </property>
  <property fmtid="{D5CDD505-2E9C-101B-9397-08002B2CF9AE}" pid="5" name="CTP_TimeStamp">
    <vt:lpwstr>2018-06-22 03:21:06Z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ontentTypeId">
    <vt:lpwstr>0x0101001A6C2134160B1A4083A3FDA85C8A909E</vt:lpwstr>
  </property>
  <property fmtid="{D5CDD505-2E9C-101B-9397-08002B2CF9AE}" pid="12" name="CTPClassification">
    <vt:lpwstr>CTP_NT</vt:lpwstr>
  </property>
</Properties>
</file>