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96BAD" w14:textId="62937AAA" w:rsidR="00780E68" w:rsidRPr="00667A21" w:rsidRDefault="00780E68" w:rsidP="00780E68">
      <w:pPr>
        <w:tabs>
          <w:tab w:val="right" w:pos="9639"/>
        </w:tabs>
        <w:spacing w:after="0"/>
        <w:rPr>
          <w:rFonts w:ascii="Arial" w:eastAsia="Times New Roman" w:hAnsi="Arial"/>
          <w:b/>
          <w:bCs/>
          <w:sz w:val="24"/>
          <w:lang w:val="en-US"/>
        </w:rPr>
      </w:pPr>
      <w:bookmarkStart w:id="0" w:name="_Hlk510640333"/>
      <w:bookmarkStart w:id="1" w:name="OLE_LINK6"/>
      <w:bookmarkStart w:id="2" w:name="OLE_LINK7"/>
      <w:r w:rsidRPr="00667A21">
        <w:rPr>
          <w:rFonts w:ascii="Arial" w:eastAsia="Times New Roman" w:hAnsi="Arial"/>
          <w:b/>
          <w:bCs/>
          <w:sz w:val="24"/>
          <w:lang w:val="en-US"/>
        </w:rPr>
        <mc:AlternateContent>
          <mc:Choice Requires="wps">
            <w:drawing>
              <wp:anchor distT="0" distB="0" distL="114300" distR="114300" simplePos="0" relativeHeight="251659264" behindDoc="0" locked="1" layoutInCell="1" allowOverlap="1" wp14:anchorId="092CFA75" wp14:editId="1D9105BD">
                <wp:simplePos x="0" y="0"/>
                <wp:positionH relativeFrom="column">
                  <wp:posOffset>0</wp:posOffset>
                </wp:positionH>
                <wp:positionV relativeFrom="paragraph">
                  <wp:posOffset>0</wp:posOffset>
                </wp:positionV>
                <wp:extent cx="635" cy="635"/>
                <wp:effectExtent l="9525" t="9525" r="8890" b="8890"/>
                <wp:wrapNone/>
                <wp:docPr id="4"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318125" id="Freeform: Shape 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UhBjQUAAFUWAAAOAAAAZHJzL2Uyb0RvYy54bWzsWN1zozYQf+9M/wcdD/fQuZ6RAAl8cY7Y&#10;+ejN3GfP6bQP7VQG2TAHiAMcJ/fXdyWBA4md5Dp96IM9EyKkn3a1v10tKx29vs4zdCWqOpXFxMIv&#10;bQuJIpJxWqwm1uX8/GffQnXDi5hnshAT60bU1uvjH3842pRjQWQis1hUCIQU9XhTTqykacrxaFRH&#10;ich5/VKWooDBpaxy3sBrtRrFFd+A9DwbEdumo42s4rKSkahr6D01g9axlr9ciqj5sFzWokHZxIK1&#10;NfpZ6edCPUfHR3y8qniZpFG7DP4vVpHztAClW1GnvOFoXaX3ROVpVMlaLpuXkcxHcrlMI6FtAGuw&#10;fceazwkvhbYFyKnLLU31fyc2en/1sUJpPLFcCxU8BxedV0IowsdI60cwEIs6AtJYSGzHm1J7RkPv&#10;jIbhNGSegx3qzRjFNLR95/zkwveeZ82rcfTWpR7xnunf9M0vH8I/s16P6sYYn2KQRwOMp5+dF9i/&#10;gd+zaSHXdRI166SQLy7j7Gv+9zr+i7GRKBZG3K6nT3zKfHJycfnrb6cv3oWfLt9/wrZR/IUS7Dhq&#10;FizZcXwHY9udum4If7N+e5fgx/pA8ez5qnkFuqf0dxczRs0Uo/t62xOyCxu7BPR5TuiHro3P+u3H&#10;9Owa94niOuDmv//uDxd7hIUaatTf6B7VodTbDgOV5Iw4LJzN3H57l/hD34GBAwMHBg4MHBg4MPD/&#10;ZwA/wxZK0jgWqhhXxe2mrMdQ430uP1aqPK3LtzL6UqNCzhJerMRJVclNIngMJaXGjwYT1EsNU9Fi&#10;807GUBvydSN1nXu9rHIlECpYdK3L6ZttOS2uGxRBJ3U8C0XQrxqwlhEfd9Oidd1cCKlF8Ku3dWPq&#10;8BhauoqO21p0DjX7Ms+gJP9phGy0QQRTu6vatyAwugdKdoPIALRHkjMA7ZEEBXFP3R5JYPoWhNEe&#10;SbQH2msdG4D2SIJj1q06RgOXERsBVTY8Pc+h7UFnS1nQx2MWUNd/EI/7jvD8wCfuw/ihTx5YCe47&#10;xrMdd6+X+84hhAX7WMV9B2HqUbpX5MBLDmVuXybE66qLSJ50QRpdF22UQgvBJppYc1/viVLWai+o&#10;mIWgn5v9xMcAUzF9iw4GaDBfoZ12h9xDA/NqeiccbFPwbkPdh+MBHCJMwVlfOtgF01ojKjgiq8Px&#10;XPkBjsdzDDTDWW+uWIQj8hxrVbAA3igO9FqgiTYTy2xGlHQtNZbLKzGXGtUoNrDtU0MIwX63jFtQ&#10;tF6k0VR8G05xPQgfWDdmbhu5pRYWeAQCVw3Y2Dch3Q7YsEw1wBydHZSJA8nDNzOJ+dRMgjNTXxil&#10;vulvE41Be3CQ0iqergBOfjsVkCAw/R6M68xnVOCAwmZX5jn21sGPmoGxNyQYfKXZUtKVNIeQgX3E&#10;NTHnEvJ0W4wKIGFASicKNtmgv1PNvKDz+dADWTH0+G2QtPkdPNhhuv/GKmJ37PWEd5ChknYChtym&#10;ibi7yjZ+gaJ7dm3nfBdJcLZvg+Qe57YLZCtvdNug8xI43TH++D6v+x3Hd4OIuWRn1GFK2oB4utch&#10;tCAS1bIH7sUOU9926L6zdTBhLf57NiImmJlEdXdfY0w8k/HupoKdeWXo/iiTtTB1h0peugDZZjGd&#10;IW6LkFpmaXyeZpnKXHW1WsyyCl1xSIzn+tfmzwEsK1QShJzk6ZQ7GBuIUJ9hU7WA1gEsTxu4/szS&#10;fGL5WxAfq4rsrIh1amh4mpm23hJgRVeVmepuIeMbqNAqae424S4WGomsvlloA/eaE6v+uuaVsFD2&#10;poAqL8CuC4HY6BfXgzIB0n1/ZNEf4UUEoiZWY8GXTjVnDbzBlHVZpasENJnPTSFPoDJcpqqO0+sz&#10;q2pf4O5Sk9/es6rL0f67Rt3eBh//Aw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BcNUhBjQUAAFUWAAAOAAAAAAAAAAAAAAAAAC4CAABk&#10;cnMvZTJvRG9jLnhtbFBLAQItABQABgAIAAAAIQAI2zNv1gAAAP8AAAAPAAAAAAAAAAAAAAAAAOcH&#10;AABkcnMvZG93bnJldi54bWxQSwUGAAAAAAQABADzAAAA6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A21">
        <w:rPr>
          <w:rFonts w:ascii="Arial" w:eastAsia="Times New Roman" w:hAnsi="Arial"/>
          <w:b/>
          <w:bCs/>
          <w:sz w:val="24"/>
          <w:lang w:val="en-US"/>
        </w:rPr>
        <w:t>3GPP TSG-RAN2 NR AH#0218</w:t>
      </w:r>
      <w:r w:rsidRPr="00667A21">
        <w:rPr>
          <w:rFonts w:ascii="Arial" w:eastAsia="Times New Roman" w:hAnsi="Arial"/>
          <w:b/>
          <w:bCs/>
          <w:sz w:val="24"/>
          <w:lang w:val="en-US"/>
        </w:rPr>
        <w:tab/>
      </w:r>
      <w:bookmarkStart w:id="3" w:name="_GoBack"/>
      <w:r w:rsidRPr="00C83F21">
        <w:rPr>
          <w:rFonts w:ascii="Arial" w:eastAsia="Times New Roman" w:hAnsi="Arial"/>
          <w:b/>
          <w:bCs/>
          <w:sz w:val="24"/>
        </w:rPr>
        <w:t>R2-181032</w:t>
      </w:r>
      <w:r>
        <w:rPr>
          <w:rFonts w:ascii="Arial" w:eastAsia="Times New Roman" w:hAnsi="Arial"/>
          <w:b/>
          <w:bCs/>
          <w:sz w:val="24"/>
        </w:rPr>
        <w:t>5</w:t>
      </w:r>
      <w:bookmarkEnd w:id="3"/>
    </w:p>
    <w:p w14:paraId="52E4A0AA" w14:textId="170E55FA" w:rsidR="00780E68" w:rsidRDefault="00780E68" w:rsidP="00780E68">
      <w:pPr>
        <w:tabs>
          <w:tab w:val="right" w:pos="9639"/>
        </w:tabs>
        <w:spacing w:after="0"/>
        <w:rPr>
          <w:rFonts w:ascii="Arial" w:eastAsia="Times New Roman" w:hAnsi="Arial"/>
          <w:b/>
          <w:bCs/>
          <w:sz w:val="24"/>
        </w:rPr>
      </w:pPr>
      <w:r w:rsidRPr="00667A21">
        <w:rPr>
          <w:rFonts w:ascii="Arial" w:eastAsia="Times New Roman" w:hAnsi="Arial"/>
          <w:b/>
          <w:bCs/>
          <w:sz w:val="24"/>
        </w:rPr>
        <w:t>Montreal, Canada, July 2-6, 2018</w:t>
      </w:r>
      <w:r>
        <w:rPr>
          <w:rFonts w:ascii="Arial" w:eastAsia="Times New Roman" w:hAnsi="Arial"/>
          <w:b/>
          <w:bCs/>
          <w:sz w:val="24"/>
        </w:rPr>
        <w:tab/>
      </w:r>
      <w:r w:rsidRPr="00865C56">
        <w:rPr>
          <w:rFonts w:ascii="Arial" w:eastAsia="Times New Roman" w:hAnsi="Arial"/>
          <w:b/>
          <w:bCs/>
          <w:sz w:val="18"/>
          <w:szCs w:val="18"/>
        </w:rPr>
        <w:t xml:space="preserve">(resubmission of </w:t>
      </w:r>
      <w:r w:rsidRPr="00667A21">
        <w:rPr>
          <w:rFonts w:ascii="Arial" w:eastAsia="Times New Roman" w:hAnsi="Arial"/>
          <w:b/>
          <w:bCs/>
          <w:sz w:val="18"/>
          <w:szCs w:val="18"/>
        </w:rPr>
        <w:t>R2-180689</w:t>
      </w:r>
      <w:r>
        <w:rPr>
          <w:rFonts w:ascii="Arial" w:eastAsia="Times New Roman" w:hAnsi="Arial"/>
          <w:b/>
          <w:bCs/>
          <w:sz w:val="18"/>
          <w:szCs w:val="18"/>
        </w:rPr>
        <w:t>0</w:t>
      </w:r>
      <w:r w:rsidRPr="00865C56">
        <w:rPr>
          <w:rFonts w:ascii="Arial" w:eastAsia="Times New Roman" w:hAnsi="Arial"/>
          <w:b/>
          <w:bCs/>
          <w:sz w:val="18"/>
          <w:szCs w:val="18"/>
        </w:rPr>
        <w:t>)</w:t>
      </w:r>
    </w:p>
    <w:p w14:paraId="27F48B47" w14:textId="77777777" w:rsidR="00780E68" w:rsidRPr="00A70B8C" w:rsidRDefault="00780E68" w:rsidP="00780E68">
      <w:pPr>
        <w:pStyle w:val="CRCoverPage"/>
        <w:tabs>
          <w:tab w:val="left" w:pos="7110"/>
        </w:tabs>
        <w:spacing w:after="0"/>
        <w:ind w:right="641"/>
        <w:rPr>
          <w:b/>
          <w:noProof/>
          <w:sz w:val="16"/>
          <w:lang w:val="pt-PT"/>
        </w:rPr>
      </w:pPr>
      <w:r>
        <w:rPr>
          <w:rFonts w:cs="Arial"/>
          <w:b/>
          <w:sz w:val="24"/>
          <w:szCs w:val="28"/>
        </w:rPr>
        <w:tab/>
      </w:r>
    </w:p>
    <w:p w14:paraId="6B8FDD62" w14:textId="77777777" w:rsidR="00780E68" w:rsidRDefault="00780E68" w:rsidP="00780E68">
      <w:pPr>
        <w:tabs>
          <w:tab w:val="left" w:pos="1985"/>
        </w:tabs>
        <w:rPr>
          <w:rFonts w:ascii="Arial" w:eastAsia="Times New Roman" w:hAnsi="Arial"/>
          <w:b/>
          <w:bCs/>
          <w:sz w:val="24"/>
        </w:rPr>
      </w:pPr>
    </w:p>
    <w:p w14:paraId="59CB1E83" w14:textId="5480AD87" w:rsidR="005429A1" w:rsidRPr="00B25B11" w:rsidRDefault="005429A1" w:rsidP="00796053">
      <w:pPr>
        <w:tabs>
          <w:tab w:val="left" w:pos="1985"/>
        </w:tabs>
        <w:rPr>
          <w:rFonts w:ascii="Arial" w:eastAsia="MS Mincho" w:hAnsi="Arial" w:cs="Arial"/>
          <w:bCs/>
          <w:sz w:val="24"/>
        </w:rPr>
      </w:pPr>
      <w:bookmarkStart w:id="4" w:name="_Hlk510640317"/>
      <w:bookmarkEnd w:id="0"/>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Cs/>
          <w:sz w:val="24"/>
        </w:rPr>
        <w:t>11.2</w:t>
      </w:r>
    </w:p>
    <w:p w14:paraId="605E60FA" w14:textId="58AD1E24" w:rsidR="005429A1" w:rsidRPr="00213A26" w:rsidRDefault="005429A1" w:rsidP="00796053">
      <w:pPr>
        <w:tabs>
          <w:tab w:val="left" w:pos="1985"/>
        </w:tabs>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Cs/>
          <w:sz w:val="24"/>
        </w:rPr>
        <w:t xml:space="preserve">Qualcomm </w:t>
      </w:r>
      <w:r w:rsidRPr="007E7E42">
        <w:rPr>
          <w:rFonts w:ascii="Arial" w:hAnsi="Arial"/>
          <w:bCs/>
          <w:sz w:val="24"/>
        </w:rPr>
        <w:t>Incorporated</w:t>
      </w:r>
    </w:p>
    <w:p w14:paraId="1FBB4B69" w14:textId="12BC29F1" w:rsidR="005429A1" w:rsidRPr="00915C58" w:rsidRDefault="005429A1" w:rsidP="00796053">
      <w:pPr>
        <w:tabs>
          <w:tab w:val="left" w:pos="1985"/>
        </w:tabs>
        <w:ind w:left="1980" w:hanging="1980"/>
        <w:rPr>
          <w:rFonts w:ascii="Arial" w:hAnsi="Arial"/>
          <w:sz w:val="24"/>
          <w:lang w:val="en-US"/>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AF2B81">
        <w:rPr>
          <w:rFonts w:ascii="Arial" w:hAnsi="Arial"/>
          <w:sz w:val="24"/>
        </w:rPr>
        <w:t>M</w:t>
      </w:r>
      <w:r w:rsidR="00AF2B81" w:rsidRPr="00AF2B81">
        <w:rPr>
          <w:rFonts w:ascii="Arial" w:hAnsi="Arial"/>
          <w:sz w:val="24"/>
        </w:rPr>
        <w:t>obility and RLM for NR unlicensed</w:t>
      </w:r>
    </w:p>
    <w:p w14:paraId="6F48C6E5" w14:textId="77777777" w:rsidR="005429A1" w:rsidRDefault="005429A1" w:rsidP="00796053">
      <w:pPr>
        <w:tabs>
          <w:tab w:val="left" w:pos="1985"/>
        </w:tabs>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Discussion and Decision</w:t>
      </w:r>
    </w:p>
    <w:bookmarkEnd w:id="4"/>
    <w:p w14:paraId="7AB7E55C" w14:textId="2EC5310B" w:rsidR="00E80D0C" w:rsidRDefault="00E80D0C" w:rsidP="00FA110D">
      <w:pPr>
        <w:pStyle w:val="Heading1"/>
      </w:pPr>
      <w:r w:rsidRPr="00392E7D">
        <w:t>Introduction</w:t>
      </w:r>
    </w:p>
    <w:bookmarkEnd w:id="1"/>
    <w:bookmarkEnd w:id="2"/>
    <w:p w14:paraId="0D181CF8" w14:textId="77777777" w:rsidR="00AF2B81" w:rsidRDefault="00AF2B81" w:rsidP="00AF2B81">
      <w:r>
        <w:t xml:space="preserve">The SID for NR-unlicensed includes the following objectives </w:t>
      </w:r>
    </w:p>
    <w:p w14:paraId="711C0D03" w14:textId="77777777" w:rsidR="00AF2B81" w:rsidRPr="0015088F" w:rsidRDefault="00AF2B81" w:rsidP="00AF2B81">
      <w:pPr>
        <w:numPr>
          <w:ilvl w:val="0"/>
          <w:numId w:val="18"/>
        </w:numPr>
        <w:rPr>
          <w:bCs/>
          <w:lang w:val="en-US"/>
        </w:rPr>
      </w:pPr>
      <w:r w:rsidRPr="0015088F">
        <w:rPr>
          <w:bCs/>
          <w:lang w:val="en-US"/>
        </w:rPr>
        <w:t>Study NR-based operation in unlicensed spectrum (RAN1, RAN2, RAN4) including</w:t>
      </w:r>
    </w:p>
    <w:p w14:paraId="5C2C31C3" w14:textId="77777777" w:rsidR="00AF2B81" w:rsidRPr="0015088F" w:rsidRDefault="00AF2B81" w:rsidP="00AF2B81">
      <w:pPr>
        <w:numPr>
          <w:ilvl w:val="1"/>
          <w:numId w:val="19"/>
        </w:numPr>
        <w:rPr>
          <w:bCs/>
          <w:lang w:val="en-US"/>
        </w:rPr>
      </w:pPr>
      <w:r w:rsidRPr="0015088F">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267DE17B" w14:textId="77777777" w:rsidR="00AF2B81" w:rsidRPr="0015088F" w:rsidRDefault="00AF2B81" w:rsidP="00AF2B81">
      <w:pPr>
        <w:numPr>
          <w:ilvl w:val="2"/>
          <w:numId w:val="19"/>
        </w:numPr>
        <w:rPr>
          <w:bCs/>
          <w:lang w:val="en-US"/>
        </w:rPr>
      </w:pPr>
      <w:r w:rsidRPr="0015088F">
        <w:rPr>
          <w:bCs/>
          <w:lang w:val="en-US"/>
        </w:rPr>
        <w:t>Consider unlicensed bands both below and above 6GHz, up to 52.6GHz</w:t>
      </w:r>
    </w:p>
    <w:p w14:paraId="463FE4C7" w14:textId="77777777" w:rsidR="00AF2B81" w:rsidRPr="0015088F" w:rsidRDefault="00AF2B81" w:rsidP="00AF2B81">
      <w:pPr>
        <w:numPr>
          <w:ilvl w:val="2"/>
          <w:numId w:val="19"/>
        </w:numPr>
        <w:rPr>
          <w:bCs/>
          <w:lang w:val="en-US"/>
        </w:rPr>
      </w:pPr>
      <w:r w:rsidRPr="0015088F">
        <w:rPr>
          <w:bCs/>
          <w:lang w:val="en-US"/>
        </w:rPr>
        <w:t xml:space="preserve">Consider unlicensed bands above 52.6GHz to the extent that waveform design principles remain unchanged with respect to below 52.6GHz bands </w:t>
      </w:r>
    </w:p>
    <w:p w14:paraId="1C388FDF" w14:textId="77777777" w:rsidR="00AF2B81" w:rsidRPr="0015088F" w:rsidRDefault="00AF2B81" w:rsidP="00AF2B81">
      <w:pPr>
        <w:numPr>
          <w:ilvl w:val="2"/>
          <w:numId w:val="19"/>
        </w:numPr>
        <w:rPr>
          <w:bCs/>
          <w:lang w:val="en-US"/>
        </w:rPr>
      </w:pPr>
      <w:r w:rsidRPr="0015088F">
        <w:rPr>
          <w:bCs/>
          <w:lang w:val="en-US"/>
        </w:rPr>
        <w:t xml:space="preserve">Consider similar forward compatibility principles made in the NR WI </w:t>
      </w:r>
    </w:p>
    <w:p w14:paraId="40F40EDE" w14:textId="77777777" w:rsidR="00AF2B81" w:rsidRPr="00A223EE" w:rsidRDefault="00AF2B81" w:rsidP="00AF2B81">
      <w:pPr>
        <w:numPr>
          <w:ilvl w:val="1"/>
          <w:numId w:val="19"/>
        </w:numPr>
        <w:rPr>
          <w:bCs/>
          <w:highlight w:val="yellow"/>
        </w:rPr>
      </w:pPr>
      <w:r w:rsidRPr="00A223EE">
        <w:rPr>
          <w:bCs/>
          <w:highlight w:val="yellow"/>
        </w:rPr>
        <w:t>Initial access, channel access. Scheduling/HARQ, and mobility including connected/inactive/idle mode operation and radio-link monitoring/failure</w:t>
      </w:r>
    </w:p>
    <w:p w14:paraId="6DEB1E9B" w14:textId="77777777" w:rsidR="00AF2B81" w:rsidRPr="0015088F" w:rsidRDefault="00AF2B81" w:rsidP="00AF2B81">
      <w:pPr>
        <w:numPr>
          <w:ilvl w:val="1"/>
          <w:numId w:val="19"/>
        </w:numPr>
        <w:rPr>
          <w:bCs/>
          <w:lang w:val="en-US"/>
        </w:rPr>
      </w:pPr>
      <w:r w:rsidRPr="0015088F">
        <w:rPr>
          <w:bCs/>
          <w:lang w:val="en-US"/>
        </w:rPr>
        <w:t xml:space="preserve">Coexistence methods within NR-based and between NR-based operation in unlicensed and LTE-based LAA and with other incumbent RATs in accordance with regulatory requirements in e.g., 5GHz , 37GHz, 60GHz bands </w:t>
      </w:r>
    </w:p>
    <w:p w14:paraId="700216D8" w14:textId="77777777" w:rsidR="00AF2B81" w:rsidRPr="0015088F" w:rsidRDefault="00AF2B81" w:rsidP="00AF2B81">
      <w:pPr>
        <w:numPr>
          <w:ilvl w:val="2"/>
          <w:numId w:val="19"/>
        </w:numPr>
        <w:rPr>
          <w:bCs/>
          <w:lang w:val="en-US"/>
        </w:rPr>
      </w:pPr>
      <w:r w:rsidRPr="0015088F">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1B334419" w14:textId="77777777" w:rsidR="00AF2B81" w:rsidRPr="00525F0E" w:rsidRDefault="00AF2B81" w:rsidP="00AF2B81">
      <w:pPr>
        <w:ind w:right="1035"/>
        <w:rPr>
          <w:lang w:val="en-US"/>
        </w:rPr>
      </w:pPr>
      <w:r w:rsidRPr="00525F0E">
        <w:rPr>
          <w:lang w:val="en-US"/>
        </w:rPr>
        <w:t xml:space="preserve">The above study will address the following architectural scenarios (RAN2): </w:t>
      </w:r>
    </w:p>
    <w:p w14:paraId="18C82EA7" w14:textId="77777777" w:rsidR="00AF2B81" w:rsidRPr="00525F0E" w:rsidRDefault="00AF2B81" w:rsidP="00AF2B81">
      <w:pPr>
        <w:widowControl/>
        <w:numPr>
          <w:ilvl w:val="1"/>
          <w:numId w:val="19"/>
        </w:numPr>
        <w:kinsoku/>
        <w:adjustRightInd w:val="0"/>
        <w:spacing w:after="180"/>
        <w:ind w:right="1035"/>
        <w:textAlignment w:val="baseline"/>
        <w:rPr>
          <w:lang w:val="en-US"/>
        </w:rPr>
      </w:pPr>
      <w:r w:rsidRPr="00525F0E">
        <w:rPr>
          <w:lang w:val="en-US"/>
        </w:rPr>
        <w:t>An NR-based LAA cell(s) connects with an LTE or NR anchor cell operating in licensed spectrum</w:t>
      </w:r>
    </w:p>
    <w:p w14:paraId="52B27FA7" w14:textId="77777777" w:rsidR="00AF2B81" w:rsidRPr="00525F0E" w:rsidRDefault="00AF2B81" w:rsidP="00AF2B81">
      <w:pPr>
        <w:widowControl/>
        <w:numPr>
          <w:ilvl w:val="2"/>
          <w:numId w:val="19"/>
        </w:numPr>
        <w:kinsoku/>
        <w:adjustRightInd w:val="0"/>
        <w:spacing w:after="180"/>
        <w:ind w:right="1035"/>
        <w:textAlignment w:val="baseline"/>
        <w:rPr>
          <w:lang w:val="en-US"/>
        </w:rPr>
      </w:pPr>
      <w:r w:rsidRPr="00525F0E">
        <w:rPr>
          <w:lang w:val="en-US"/>
        </w:rPr>
        <w:t xml:space="preserve">The study assumes the techniques for linking between </w:t>
      </w:r>
      <w:proofErr w:type="spellStart"/>
      <w:r w:rsidRPr="00525F0E">
        <w:rPr>
          <w:lang w:val="en-US"/>
        </w:rPr>
        <w:t>Pcell</w:t>
      </w:r>
      <w:proofErr w:type="spellEnd"/>
      <w:r w:rsidRPr="00525F0E">
        <w:rPr>
          <w:lang w:val="en-US"/>
        </w:rPr>
        <w:t xml:space="preserve"> (LTE or NR licensed CC) and </w:t>
      </w:r>
      <w:proofErr w:type="spellStart"/>
      <w:r w:rsidRPr="00525F0E">
        <w:rPr>
          <w:lang w:val="en-US"/>
        </w:rPr>
        <w:t>Scell</w:t>
      </w:r>
      <w:proofErr w:type="spellEnd"/>
      <w:r w:rsidRPr="00525F0E">
        <w:rPr>
          <w:lang w:val="en-US"/>
        </w:rPr>
        <w:t xml:space="preserve"> (NR unlicensed CCs) according to the NR WI</w:t>
      </w:r>
    </w:p>
    <w:p w14:paraId="24D81258" w14:textId="77777777" w:rsidR="00AF2B81" w:rsidRPr="00525F0E" w:rsidRDefault="00AF2B81" w:rsidP="00AF2B81">
      <w:pPr>
        <w:widowControl/>
        <w:numPr>
          <w:ilvl w:val="1"/>
          <w:numId w:val="19"/>
        </w:numPr>
        <w:kinsoku/>
        <w:adjustRightInd w:val="0"/>
        <w:spacing w:after="180"/>
        <w:ind w:right="1035"/>
        <w:textAlignment w:val="baseline"/>
        <w:rPr>
          <w:lang w:val="en-US"/>
        </w:rPr>
      </w:pPr>
      <w:r w:rsidRPr="00525F0E">
        <w:rPr>
          <w:lang w:val="en-US"/>
        </w:rPr>
        <w:t xml:space="preserve">An NR-based cell operating standalone in unlicensed spectrum, connected to a 5G-CN network with priority on frequency bands above 6GHz, e.g., for private network deployments; </w:t>
      </w:r>
    </w:p>
    <w:p w14:paraId="10448A4C" w14:textId="77777777" w:rsidR="00AF2B81" w:rsidRPr="00525F0E" w:rsidRDefault="00AF2B81" w:rsidP="00AF2B81">
      <w:pPr>
        <w:widowControl/>
        <w:numPr>
          <w:ilvl w:val="1"/>
          <w:numId w:val="19"/>
        </w:numPr>
        <w:kinsoku/>
        <w:adjustRightInd w:val="0"/>
        <w:spacing w:after="180"/>
        <w:ind w:right="1035"/>
        <w:textAlignment w:val="baseline"/>
        <w:rPr>
          <w:lang w:val="en-US"/>
        </w:rPr>
      </w:pPr>
      <w:r w:rsidRPr="00525F0E">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307A2E4C" w14:textId="3076B588" w:rsidR="00AF2B81" w:rsidRDefault="00AF2B81" w:rsidP="00AF2B81">
      <w:pPr>
        <w:rPr>
          <w:lang w:val="en-US"/>
        </w:rPr>
      </w:pPr>
      <w:r>
        <w:rPr>
          <w:lang w:val="en-US"/>
        </w:rPr>
        <w:t xml:space="preserve">Following the objectives, the NR licensed design will be the baseline for NR-unlicensed </w:t>
      </w:r>
      <w:r w:rsidR="00333ACF">
        <w:rPr>
          <w:lang w:val="en-US"/>
        </w:rPr>
        <w:t xml:space="preserve">(NR-U) </w:t>
      </w:r>
      <w:r>
        <w:rPr>
          <w:lang w:val="en-US"/>
        </w:rPr>
        <w:t xml:space="preserve">design. Only changes that are essential for unlicensed operation will be introduced. </w:t>
      </w:r>
    </w:p>
    <w:p w14:paraId="5A4EE549" w14:textId="4B517097" w:rsidR="00AF2B81" w:rsidRDefault="00AF2B81" w:rsidP="00AF2B81">
      <w:pPr>
        <w:rPr>
          <w:lang w:val="en-US"/>
        </w:rPr>
      </w:pPr>
      <w:r>
        <w:rPr>
          <w:lang w:val="en-US"/>
        </w:rPr>
        <w:t xml:space="preserve">In this paper, we focus on the </w:t>
      </w:r>
      <w:r w:rsidR="00C94F63">
        <w:rPr>
          <w:lang w:val="en-US"/>
        </w:rPr>
        <w:t>I</w:t>
      </w:r>
      <w:r>
        <w:rPr>
          <w:lang w:val="en-US"/>
        </w:rPr>
        <w:t xml:space="preserve">dle and </w:t>
      </w:r>
      <w:r w:rsidR="00C94F63">
        <w:rPr>
          <w:lang w:val="en-US"/>
        </w:rPr>
        <w:t>C</w:t>
      </w:r>
      <w:r>
        <w:rPr>
          <w:lang w:val="en-US"/>
        </w:rPr>
        <w:t xml:space="preserve">onnected mobility, RRM and RLM. </w:t>
      </w:r>
      <w:r w:rsidR="00C94F63">
        <w:rPr>
          <w:lang w:val="en-US"/>
        </w:rPr>
        <w:t>The related channel access aspects are covered in a companion paper [1].</w:t>
      </w:r>
    </w:p>
    <w:p w14:paraId="1FBF0CE5" w14:textId="77777777" w:rsidR="00AF2B81" w:rsidRDefault="00AF2B81" w:rsidP="00AF2B81">
      <w:pPr>
        <w:pStyle w:val="Heading1"/>
      </w:pPr>
      <w:r>
        <w:lastRenderedPageBreak/>
        <w:t>Discussions</w:t>
      </w:r>
    </w:p>
    <w:p w14:paraId="7F5E6BD4" w14:textId="77777777" w:rsidR="00AF2B81" w:rsidRDefault="00AF2B81" w:rsidP="00AF2B81">
      <w:r>
        <w:t>A robust protection mechanism should not make fundamental assumptions on inter-cell synchronizations. While synchronous NR networks in contention environments can be considered for optimization, the robust signalling of protected DL and UL channel resources shall allow asynchronous deployments for both intra and inter-operator neighbour cells.</w:t>
      </w:r>
    </w:p>
    <w:p w14:paraId="645B9E86" w14:textId="77777777" w:rsidR="00AF2B81" w:rsidRDefault="00AF2B81" w:rsidP="00AF2B81">
      <w:pPr>
        <w:rPr>
          <w:b/>
        </w:rPr>
      </w:pPr>
      <w:r w:rsidRPr="002218C5">
        <w:rPr>
          <w:b/>
        </w:rPr>
        <w:t xml:space="preserve">Proposal </w:t>
      </w:r>
      <w:r>
        <w:rPr>
          <w:b/>
        </w:rPr>
        <w:t>0</w:t>
      </w:r>
      <w:r w:rsidRPr="002218C5">
        <w:rPr>
          <w:b/>
        </w:rPr>
        <w:t xml:space="preserve">: </w:t>
      </w:r>
      <w:r>
        <w:rPr>
          <w:b/>
        </w:rPr>
        <w:t xml:space="preserve">Robust mobility involving NR-U cells shall be possible for </w:t>
      </w:r>
      <w:r w:rsidRPr="002218C5">
        <w:rPr>
          <w:b/>
        </w:rPr>
        <w:t xml:space="preserve">asynchronous </w:t>
      </w:r>
      <w:r>
        <w:rPr>
          <w:b/>
        </w:rPr>
        <w:t xml:space="preserve">(intra-operator and inter-operator) </w:t>
      </w:r>
      <w:r w:rsidRPr="002218C5">
        <w:rPr>
          <w:b/>
        </w:rPr>
        <w:t>cell deployments.</w:t>
      </w:r>
    </w:p>
    <w:p w14:paraId="29DD53EC" w14:textId="46468215" w:rsidR="00AF2B81" w:rsidRDefault="00AF2B81" w:rsidP="00AF2B81">
      <w:pPr>
        <w:rPr>
          <w:b/>
        </w:rPr>
      </w:pPr>
      <w:r>
        <w:rPr>
          <w:lang w:eastAsia="ko-KR"/>
        </w:rPr>
        <w:t>As outlined [1], cell discovery signals (including SSB and essential SI) should benefit from robust medium access protection. Such protection ensures that UE can seamlessly support various mobility scenarios, as well as is able to reliably monitor the serving/camping cell quality.</w:t>
      </w:r>
    </w:p>
    <w:p w14:paraId="2AE94506" w14:textId="77777777" w:rsidR="00AF2B81" w:rsidRDefault="00AF2B81" w:rsidP="00AF2B81">
      <w:pPr>
        <w:pStyle w:val="Heading2"/>
      </w:pPr>
      <w:r>
        <w:t>2.1</w:t>
      </w:r>
      <w:r>
        <w:tab/>
        <w:t>Idle and Inactive Mobility</w:t>
      </w:r>
    </w:p>
    <w:p w14:paraId="5209CB2C" w14:textId="144A39EA" w:rsidR="00AF2B81" w:rsidRDefault="00AF2B81" w:rsidP="00AF2B81">
      <w:r>
        <w:t>As confirmed in RAN1#92 [2], the standalone deployment scenario</w:t>
      </w:r>
      <w:r w:rsidR="002F3210">
        <w:t xml:space="preserve"> will be part of the Study Item evaluation</w:t>
      </w:r>
      <w:r>
        <w:t xml:space="preserve">. </w:t>
      </w:r>
      <w:r w:rsidR="002F3210">
        <w:t>As in NR licensed system</w:t>
      </w:r>
      <w:r>
        <w:t xml:space="preserve">, </w:t>
      </w:r>
      <w:r w:rsidR="002F3210">
        <w:t xml:space="preserve">in NR-U SA, the </w:t>
      </w:r>
      <w:r>
        <w:t xml:space="preserve">UE </w:t>
      </w:r>
      <w:r w:rsidR="002F3210">
        <w:t xml:space="preserve">needs to </w:t>
      </w:r>
      <w:r>
        <w:t>acquire the target cell information after reselection, to determine post-reselection camping behaviour (e.g. necessity for tracking area registration)</w:t>
      </w:r>
    </w:p>
    <w:p w14:paraId="5CC44893" w14:textId="77777777" w:rsidR="00AF2B81" w:rsidRDefault="00AF2B81" w:rsidP="00AF2B81">
      <w:pPr>
        <w:rPr>
          <w:b/>
        </w:rPr>
      </w:pPr>
      <w:r>
        <w:rPr>
          <w:b/>
        </w:rPr>
        <w:t>Observation</w:t>
      </w:r>
      <w:r w:rsidRPr="00A16490">
        <w:rPr>
          <w:b/>
        </w:rPr>
        <w:t xml:space="preserve"> 1.1: </w:t>
      </w:r>
      <w:r>
        <w:rPr>
          <w:b/>
        </w:rPr>
        <w:t>After a reselection target is chosen, e</w:t>
      </w:r>
      <w:r w:rsidRPr="00A16490">
        <w:rPr>
          <w:b/>
        </w:rPr>
        <w:t xml:space="preserve">ssential </w:t>
      </w:r>
      <w:r>
        <w:rPr>
          <w:b/>
        </w:rPr>
        <w:t>System I</w:t>
      </w:r>
      <w:r w:rsidRPr="00A16490">
        <w:rPr>
          <w:b/>
        </w:rPr>
        <w:t xml:space="preserve">nformation </w:t>
      </w:r>
      <w:r>
        <w:rPr>
          <w:b/>
        </w:rPr>
        <w:t>(e.g.</w:t>
      </w:r>
      <w:r w:rsidRPr="00A16490">
        <w:rPr>
          <w:b/>
        </w:rPr>
        <w:t xml:space="preserve"> PLMN-Id</w:t>
      </w:r>
      <w:r>
        <w:rPr>
          <w:b/>
        </w:rPr>
        <w:t xml:space="preserve">, registration area, </w:t>
      </w:r>
      <w:r w:rsidRPr="00A16490">
        <w:rPr>
          <w:b/>
        </w:rPr>
        <w:t>and – where necessary slice information</w:t>
      </w:r>
      <w:r>
        <w:rPr>
          <w:b/>
        </w:rPr>
        <w:t xml:space="preserve">) </w:t>
      </w:r>
      <w:r w:rsidRPr="00A16490">
        <w:rPr>
          <w:b/>
        </w:rPr>
        <w:t>allow UE to determine cell suitability and should.</w:t>
      </w:r>
    </w:p>
    <w:p w14:paraId="71211753" w14:textId="1C8BE3AB" w:rsidR="00AF2B81" w:rsidRPr="00364C76" w:rsidRDefault="00AF2B81" w:rsidP="00AF2B81">
      <w:r w:rsidRPr="00364C76">
        <w:t>A camping cell broadcasts reselection-assisting information to</w:t>
      </w:r>
      <w:r>
        <w:t xml:space="preserve"> help the UE make correct and reasonable next-target decision (e.g. frequency priorities, cell quality offsets and thresholds, etc), largely based on physical layer measurements. In a</w:t>
      </w:r>
      <w:r w:rsidR="00BE5004">
        <w:t xml:space="preserve"> </w:t>
      </w:r>
      <w:r>
        <w:t>multi-operator environment, it is unclear whether L1 reselection configuration (e.g. RS whitelists/blacklists) are adequate or robust for deciding reselection targets, or whether additional/alternative metrics need consideration.</w:t>
      </w:r>
    </w:p>
    <w:p w14:paraId="1D88C8E2" w14:textId="2C4BA01C" w:rsidR="00AF2B81" w:rsidRDefault="00AF2B81" w:rsidP="00AF2B81">
      <w:pPr>
        <w:rPr>
          <w:b/>
        </w:rPr>
      </w:pPr>
      <w:r>
        <w:rPr>
          <w:b/>
        </w:rPr>
        <w:t xml:space="preserve">Proposal 1.1: RAN2 </w:t>
      </w:r>
      <w:r w:rsidR="002F3210">
        <w:rPr>
          <w:b/>
        </w:rPr>
        <w:t xml:space="preserve">should </w:t>
      </w:r>
      <w:r>
        <w:rPr>
          <w:b/>
        </w:rPr>
        <w:t xml:space="preserve">study robust and mechanisms in assisting UE </w:t>
      </w:r>
      <w:r w:rsidR="002F3210">
        <w:rPr>
          <w:b/>
        </w:rPr>
        <w:t xml:space="preserve">for cell reselection within </w:t>
      </w:r>
      <w:r>
        <w:rPr>
          <w:b/>
        </w:rPr>
        <w:t>the same operator</w:t>
      </w:r>
      <w:r w:rsidR="002F3210">
        <w:rPr>
          <w:b/>
        </w:rPr>
        <w:t xml:space="preserve"> network</w:t>
      </w:r>
      <w:r>
        <w:rPr>
          <w:b/>
        </w:rPr>
        <w:t>.</w:t>
      </w:r>
    </w:p>
    <w:p w14:paraId="238F5826" w14:textId="1890BABE" w:rsidR="00AF2B81" w:rsidRPr="00061440" w:rsidRDefault="00AF2B81" w:rsidP="00AF2B81">
      <w:r>
        <w:t xml:space="preserve">The ability to limit power consumption is a </w:t>
      </w:r>
      <w:r w:rsidRPr="00061440">
        <w:t>crucial feature of Idle and Inactive UEs</w:t>
      </w:r>
      <w:r w:rsidR="002F3210">
        <w:t>. T</w:t>
      </w:r>
      <w:r>
        <w:t>his is achieved by limiting RS monitoring needs (idle DRX)</w:t>
      </w:r>
      <w:r w:rsidRPr="00061440">
        <w:t>.</w:t>
      </w:r>
      <w:r>
        <w:t xml:space="preserve"> An important role in this ability in licensed deployments is the ability of UEs to predict the occurrence of camping cell RS (e.g. SSB) and of essential information (e.g. paging). As proposed in [1], these RS and essential information should robustly occur in a periodic SMTC-U (unlicensed access SMTC) interval. Idle and Inactive UEs should be able to acquire SMTC-U configuration from SI.</w:t>
      </w:r>
    </w:p>
    <w:p w14:paraId="4D357FAC" w14:textId="6FFA886C" w:rsidR="00AF2B81" w:rsidRDefault="00AF2B81" w:rsidP="00AF2B81">
      <w:pPr>
        <w:rPr>
          <w:b/>
        </w:rPr>
      </w:pPr>
      <w:r w:rsidRPr="00A16490">
        <w:rPr>
          <w:b/>
        </w:rPr>
        <w:t>Proposal 1.2: SMTC</w:t>
      </w:r>
      <w:r>
        <w:rPr>
          <w:b/>
        </w:rPr>
        <w:t>-U</w:t>
      </w:r>
      <w:r w:rsidRPr="00A16490">
        <w:rPr>
          <w:b/>
        </w:rPr>
        <w:t xml:space="preserve"> information</w:t>
      </w:r>
      <w:r>
        <w:rPr>
          <w:b/>
        </w:rPr>
        <w:t xml:space="preserve"> for monitoring camping cell RS</w:t>
      </w:r>
      <w:r w:rsidRPr="00A16490">
        <w:rPr>
          <w:b/>
        </w:rPr>
        <w:t xml:space="preserve">, needed for robust channel access, </w:t>
      </w:r>
      <w:r w:rsidR="002F3210">
        <w:rPr>
          <w:b/>
        </w:rPr>
        <w:t>should</w:t>
      </w:r>
      <w:r w:rsidRPr="00A16490">
        <w:rPr>
          <w:b/>
        </w:rPr>
        <w:t xml:space="preserve"> be </w:t>
      </w:r>
      <w:r>
        <w:rPr>
          <w:b/>
        </w:rPr>
        <w:t>broadcast</w:t>
      </w:r>
      <w:r w:rsidR="002F3210">
        <w:rPr>
          <w:b/>
        </w:rPr>
        <w:t>ed</w:t>
      </w:r>
      <w:r>
        <w:rPr>
          <w:b/>
        </w:rPr>
        <w:t xml:space="preserve"> to assist reselecting </w:t>
      </w:r>
      <w:r w:rsidRPr="00A16490">
        <w:rPr>
          <w:b/>
        </w:rPr>
        <w:t>UEs.</w:t>
      </w:r>
    </w:p>
    <w:p w14:paraId="186FC978" w14:textId="18382E25" w:rsidR="00AF2B81" w:rsidRDefault="002F3210" w:rsidP="00AF2B81">
      <w:r>
        <w:t xml:space="preserve">A </w:t>
      </w:r>
      <w:r w:rsidR="00AF2B81">
        <w:t>UE</w:t>
      </w:r>
      <w:r>
        <w:t xml:space="preserve"> at </w:t>
      </w:r>
      <w:r w:rsidR="00AF2B81">
        <w:t>cell edge</w:t>
      </w:r>
      <w:r>
        <w:t xml:space="preserve"> also needs to monitor</w:t>
      </w:r>
      <w:r w:rsidR="00AF2B81">
        <w:t xml:space="preserve"> neighbour cell RS</w:t>
      </w:r>
      <w:r>
        <w:t xml:space="preserve"> based on the information provided by the current camped or serving cell</w:t>
      </w:r>
      <w:r w:rsidR="00AF2B81">
        <w:t xml:space="preserve">. </w:t>
      </w:r>
      <w:r>
        <w:t>It</w:t>
      </w:r>
      <w:r w:rsidR="00AF2B81">
        <w:t xml:space="preserve"> is crucial to the UE’s power saving ability to limit the amount of time UEs need to take such neighbour cell measurements. In licensed deployments, this is achieved by ensuring such RS occur at predictable intervals (and preferably away from RS of other operators’ cells). </w:t>
      </w:r>
    </w:p>
    <w:p w14:paraId="1390CE39" w14:textId="3803F84D" w:rsidR="00AF2B81" w:rsidRPr="00B8508D" w:rsidRDefault="00AF2B81" w:rsidP="00AF2B81">
      <w:r>
        <w:t>Those neighbour cells anyways need to confine their RS to predictable SMTC-U intervals, for their own camping UEs’ benefit. To the exten</w:t>
      </w:r>
      <w:r w:rsidR="00EA725F">
        <w:t>t</w:t>
      </w:r>
      <w:r>
        <w:t xml:space="preserve"> which those neighbour cells’ SMTC-Us can be controlled inside a deployment, it would benefit to use this knowledge to limit camping UEs neighbour cell measurements.</w:t>
      </w:r>
    </w:p>
    <w:p w14:paraId="35441B14" w14:textId="37D588B8" w:rsidR="00AF2B81" w:rsidRDefault="00AF2B81" w:rsidP="00AF2B81">
      <w:pPr>
        <w:rPr>
          <w:b/>
        </w:rPr>
      </w:pPr>
      <w:r w:rsidRPr="00A16490">
        <w:rPr>
          <w:b/>
        </w:rPr>
        <w:t>Proposal 1.3: RAN2 should study the broadcast</w:t>
      </w:r>
      <w:r w:rsidR="00EA725F">
        <w:rPr>
          <w:b/>
        </w:rPr>
        <w:t>ing</w:t>
      </w:r>
      <w:r w:rsidRPr="00A16490">
        <w:rPr>
          <w:b/>
        </w:rPr>
        <w:t xml:space="preserve"> of </w:t>
      </w:r>
      <w:r>
        <w:rPr>
          <w:b/>
        </w:rPr>
        <w:t xml:space="preserve">neighbour </w:t>
      </w:r>
      <w:r w:rsidRPr="00A16490">
        <w:rPr>
          <w:b/>
        </w:rPr>
        <w:t>SMTC</w:t>
      </w:r>
      <w:r>
        <w:rPr>
          <w:b/>
        </w:rPr>
        <w:t>-U</w:t>
      </w:r>
      <w:r w:rsidRPr="00A16490">
        <w:rPr>
          <w:b/>
        </w:rPr>
        <w:t xml:space="preserve"> information for discovering same-operator neighbour cells </w:t>
      </w:r>
    </w:p>
    <w:p w14:paraId="10CF94DA" w14:textId="77777777" w:rsidR="00AF2B81" w:rsidRPr="00B8508D" w:rsidRDefault="00AF2B81" w:rsidP="00AF2B81">
      <w:r w:rsidRPr="00B8508D">
        <w:t xml:space="preserve">As </w:t>
      </w:r>
      <w:r>
        <w:t>a carrier becomes loaded, or a particular camping cell is impacted by contention with an aggressor node, UEs would be better served on a less contended carrier or neighbour cell, even if less preferable from an RS perspective.</w:t>
      </w:r>
    </w:p>
    <w:p w14:paraId="068E26B9" w14:textId="5BC810AB" w:rsidR="00AF2B81" w:rsidRDefault="00AF2B81" w:rsidP="00AF2B81">
      <w:pPr>
        <w:rPr>
          <w:b/>
        </w:rPr>
      </w:pPr>
      <w:r>
        <w:rPr>
          <w:b/>
        </w:rPr>
        <w:t xml:space="preserve">Proposal 1.4: Medium contention (at the cell or carrier level) should be </w:t>
      </w:r>
      <w:r w:rsidR="00E14578">
        <w:rPr>
          <w:b/>
        </w:rPr>
        <w:t xml:space="preserve">considered as part of </w:t>
      </w:r>
      <w:r>
        <w:rPr>
          <w:b/>
        </w:rPr>
        <w:t xml:space="preserve">cell reselection </w:t>
      </w:r>
      <w:r w:rsidR="00E14578">
        <w:rPr>
          <w:b/>
        </w:rPr>
        <w:t>mechanism</w:t>
      </w:r>
      <w:r>
        <w:rPr>
          <w:b/>
        </w:rPr>
        <w:t>.</w:t>
      </w:r>
    </w:p>
    <w:p w14:paraId="16702B2D" w14:textId="77777777" w:rsidR="00AF2B81" w:rsidRDefault="00AF2B81" w:rsidP="00AF2B81">
      <w:pPr>
        <w:pStyle w:val="Heading2"/>
      </w:pPr>
      <w:r>
        <w:t>2.2</w:t>
      </w:r>
      <w:r>
        <w:tab/>
        <w:t>Connected Mobility</w:t>
      </w:r>
    </w:p>
    <w:p w14:paraId="68351804" w14:textId="77777777" w:rsidR="00AF2B81" w:rsidRPr="00B8508D" w:rsidRDefault="00AF2B81" w:rsidP="00AF2B81">
      <w:r>
        <w:t>RRM events that depend on serving cell quality would benefit from limiting UE measurements (for power consumption reasons, especially for UEs configured with connected-mode DRX), to windows of time where RS is expected to be robustly available.</w:t>
      </w:r>
    </w:p>
    <w:p w14:paraId="57E733E8" w14:textId="77777777" w:rsidR="00AF2B81" w:rsidRDefault="00AF2B81" w:rsidP="00AF2B81">
      <w:pPr>
        <w:rPr>
          <w:b/>
        </w:rPr>
      </w:pPr>
      <w:r w:rsidRPr="00A16490">
        <w:rPr>
          <w:b/>
        </w:rPr>
        <w:t xml:space="preserve">Proposal 2.1: SMTC-U configuration should be </w:t>
      </w:r>
      <w:r>
        <w:rPr>
          <w:b/>
        </w:rPr>
        <w:t>provisioned</w:t>
      </w:r>
      <w:r w:rsidRPr="00A16490">
        <w:rPr>
          <w:b/>
        </w:rPr>
        <w:t xml:space="preserve"> for UEs to use in </w:t>
      </w:r>
      <w:r>
        <w:rPr>
          <w:b/>
        </w:rPr>
        <w:t>facilitating</w:t>
      </w:r>
      <w:r w:rsidRPr="00A16490">
        <w:rPr>
          <w:b/>
        </w:rPr>
        <w:t xml:space="preserve"> serving cell measurements.</w:t>
      </w:r>
    </w:p>
    <w:p w14:paraId="5BBF3F0B" w14:textId="77777777" w:rsidR="00AF2B81" w:rsidRPr="00A2264B" w:rsidRDefault="00AF2B81" w:rsidP="00AF2B81">
      <w:r w:rsidRPr="00A2264B">
        <w:lastRenderedPageBreak/>
        <w:t>A similar observation applies to UEs measurements of neighbour cell RS, in connected mode:</w:t>
      </w:r>
    </w:p>
    <w:p w14:paraId="52E27B30" w14:textId="77777777" w:rsidR="00AF2B81" w:rsidRDefault="00AF2B81" w:rsidP="00AF2B81">
      <w:pPr>
        <w:rPr>
          <w:b/>
        </w:rPr>
      </w:pPr>
      <w:r w:rsidRPr="00A16490">
        <w:rPr>
          <w:b/>
        </w:rPr>
        <w:t>Proposal 2.</w:t>
      </w:r>
      <w:r>
        <w:rPr>
          <w:b/>
        </w:rPr>
        <w:t>2</w:t>
      </w:r>
      <w:r w:rsidRPr="00A16490">
        <w:rPr>
          <w:b/>
        </w:rPr>
        <w:t xml:space="preserve">: SMTC-U configuration should be </w:t>
      </w:r>
      <w:r>
        <w:rPr>
          <w:b/>
        </w:rPr>
        <w:t>provisioned</w:t>
      </w:r>
      <w:r w:rsidRPr="00A16490">
        <w:rPr>
          <w:b/>
        </w:rPr>
        <w:t xml:space="preserve"> for UEs to use in </w:t>
      </w:r>
      <w:r>
        <w:rPr>
          <w:b/>
        </w:rPr>
        <w:t>facilitating</w:t>
      </w:r>
      <w:r w:rsidRPr="00A16490">
        <w:rPr>
          <w:b/>
        </w:rPr>
        <w:t xml:space="preserve"> neighbour cell measurements.</w:t>
      </w:r>
      <w:r>
        <w:rPr>
          <w:b/>
        </w:rPr>
        <w:t xml:space="preserve"> This may or may not be the same as the SMTC-U configuration for serving cell measurements.</w:t>
      </w:r>
    </w:p>
    <w:p w14:paraId="559CB362" w14:textId="77777777" w:rsidR="00AF2B81" w:rsidRPr="00A2264B" w:rsidRDefault="00AF2B81" w:rsidP="00AF2B81">
      <w:r>
        <w:t>By the nature of a shared medium, deployments can – at most – expect control only over the configuration of cells in the deployment itself. The presence of other deployments’ cells is useful, yet uncontrolled, information. One main benefit of acquiring neighbour cell information is to determine whether a measured RS belongs to the same deployment. Another is to assist the deployment’s own ANR and SON functionality.</w:t>
      </w:r>
    </w:p>
    <w:p w14:paraId="779A935C" w14:textId="77777777" w:rsidR="00AF2B81" w:rsidRDefault="00AF2B81" w:rsidP="00AF2B81">
      <w:pPr>
        <w:rPr>
          <w:b/>
        </w:rPr>
      </w:pPr>
      <w:r w:rsidRPr="00A16490">
        <w:rPr>
          <w:b/>
        </w:rPr>
        <w:t>Proposal 2.</w:t>
      </w:r>
      <w:r>
        <w:rPr>
          <w:b/>
        </w:rPr>
        <w:t>3</w:t>
      </w:r>
      <w:r w:rsidRPr="00A16490">
        <w:rPr>
          <w:b/>
        </w:rPr>
        <w:t xml:space="preserve">: </w:t>
      </w:r>
      <w:r>
        <w:rPr>
          <w:b/>
        </w:rPr>
        <w:t>ANR reports shall be possible for NR Unlicensed, to report – at least  – PLMN, ECGI, registration area and cell access information for NR-Unlicensed neighbours.</w:t>
      </w:r>
    </w:p>
    <w:p w14:paraId="00142BAF" w14:textId="77777777" w:rsidR="00AF2B81" w:rsidRPr="00A2264B" w:rsidRDefault="00AF2B81" w:rsidP="00AF2B81">
      <w:r w:rsidRPr="00A2264B">
        <w:t xml:space="preserve">Just like for idle mode mobility, carrier load information is important to both determine the quality of a handover target, as well as to help the deployment determine good carriers for </w:t>
      </w:r>
      <w:proofErr w:type="spellStart"/>
      <w:r w:rsidRPr="00A2264B">
        <w:t>gNB</w:t>
      </w:r>
      <w:proofErr w:type="spellEnd"/>
      <w:r w:rsidRPr="00A2264B">
        <w:t xml:space="preserve"> cells.</w:t>
      </w:r>
    </w:p>
    <w:p w14:paraId="20DC8469" w14:textId="77777777" w:rsidR="00AF2B81" w:rsidRDefault="00AF2B81" w:rsidP="00AF2B81">
      <w:pPr>
        <w:rPr>
          <w:b/>
        </w:rPr>
      </w:pPr>
      <w:r>
        <w:rPr>
          <w:b/>
        </w:rPr>
        <w:t>Proposal 2.4: RAN2 should study reporting carrier load measurements (and their nature), for NR-Unlicensed, to allow cell channel selection and handover target selection.</w:t>
      </w:r>
    </w:p>
    <w:p w14:paraId="46D06D96" w14:textId="77777777" w:rsidR="00AF2B81" w:rsidRDefault="00AF2B81" w:rsidP="00AF2B81">
      <w:pPr>
        <w:pStyle w:val="Heading2"/>
      </w:pPr>
      <w:r>
        <w:t>2.3</w:t>
      </w:r>
      <w:r>
        <w:tab/>
        <w:t>RLM</w:t>
      </w:r>
    </w:p>
    <w:p w14:paraId="4508F8DF" w14:textId="78C0E300" w:rsidR="00AF2B81" w:rsidRDefault="00AF2B81" w:rsidP="00AF2B81">
      <w:r>
        <w:t>As proposed in [1], RS needed for mobility and cell monitoring should be available in a robustly predictable SMTC-U interval. Nevertheless, unlike in licensed deployments, RS – which the RLM function relies on – may not be always available at fixed slot (or slot burst) location. When monitoring the radio link quality of a serving cell, the RLM function should be robust to occasional erasures of RLM RS.</w:t>
      </w:r>
    </w:p>
    <w:p w14:paraId="044053A3" w14:textId="77777777" w:rsidR="00AF2B81" w:rsidRPr="007911E0" w:rsidRDefault="00AF2B81" w:rsidP="00AF2B81">
      <w:r>
        <w:t>Furthermore, cell signal strength is not a sufficient serving cell quality indicator for of a cells deployed in a multi-operator contention carrier. A contention metric is additionally preferable to ensure UEs camp on cells that achieve a good performance between signal strength and signal availability at the UE location.</w:t>
      </w:r>
    </w:p>
    <w:p w14:paraId="32D558C6" w14:textId="77777777" w:rsidR="00AF2B81" w:rsidRDefault="00AF2B81" w:rsidP="00AF2B81">
      <w:pPr>
        <w:rPr>
          <w:b/>
        </w:rPr>
      </w:pPr>
      <w:r w:rsidRPr="00D456F5">
        <w:rPr>
          <w:b/>
        </w:rPr>
        <w:t xml:space="preserve">Proposal 3.1: RAN2 should study separating radio link strength </w:t>
      </w:r>
      <w:r>
        <w:rPr>
          <w:b/>
        </w:rPr>
        <w:t xml:space="preserve">from medium load, for </w:t>
      </w:r>
      <w:r w:rsidRPr="00D456F5">
        <w:rPr>
          <w:b/>
        </w:rPr>
        <w:t xml:space="preserve">Radio Link Monitoring </w:t>
      </w:r>
      <w:r>
        <w:rPr>
          <w:b/>
        </w:rPr>
        <w:t>purposes. In particular, RLM should be resilient to occasional erasure of robust RS in good channel conditions.</w:t>
      </w:r>
    </w:p>
    <w:p w14:paraId="3DBB857D" w14:textId="77777777" w:rsidR="00AF2B81" w:rsidRDefault="00AF2B81" w:rsidP="00AF2B81">
      <w:r>
        <w:t>Connected DRX UEs can achieve significant power savings by monitoring RS at DRX-ON occasions (regardless of whether the UE is scheduled occurs at those occasions). For capacity needs, licensed deployments randomly offset these DRX ON occasions. In unlicensed environments, transmissions – even if short – at multiple random offsets results in strongly undesirable medium pollution; this limits the overall medium capacity.</w:t>
      </w:r>
    </w:p>
    <w:p w14:paraId="5DFCD2EB" w14:textId="77777777" w:rsidR="00AF2B81" w:rsidRPr="007911E0" w:rsidRDefault="00AF2B81" w:rsidP="00AF2B81">
      <w:r>
        <w:t>Excessive power consumption would result from requiring NR Unlicensed UEs to rely on separate intervals for RLM and scheduling. Instead, it is preferable to study simple DRX changes to permit UEs to preserve DRX power savings benefits, without unduly trading off the ability to serve a large number of DRX UEs.</w:t>
      </w:r>
    </w:p>
    <w:p w14:paraId="4734584A" w14:textId="77777777" w:rsidR="00AF2B81" w:rsidRPr="00D456F5" w:rsidRDefault="00AF2B81" w:rsidP="00AF2B81">
      <w:pPr>
        <w:rPr>
          <w:b/>
        </w:rPr>
      </w:pPr>
      <w:r>
        <w:rPr>
          <w:b/>
        </w:rPr>
        <w:t>Proposal 3.2: RLM for UEs configured with DRX should be able to rely on robust SSB transmission, with no or minimal impact on power consumption.</w:t>
      </w:r>
    </w:p>
    <w:p w14:paraId="3E2BDD55" w14:textId="77777777" w:rsidR="00AF2B81" w:rsidRPr="00A16490" w:rsidRDefault="00AF2B81" w:rsidP="00AF2B81">
      <w:pPr>
        <w:rPr>
          <w:b/>
        </w:rPr>
      </w:pPr>
    </w:p>
    <w:p w14:paraId="33D6E68A" w14:textId="77777777" w:rsidR="00AF2B81" w:rsidRDefault="00AF2B81" w:rsidP="00AF2B81">
      <w:pPr>
        <w:pStyle w:val="Heading1"/>
      </w:pPr>
      <w:r>
        <w:t>Summary</w:t>
      </w:r>
    </w:p>
    <w:p w14:paraId="5656FBBF" w14:textId="77777777" w:rsidR="00AF2B81" w:rsidRPr="006D0719" w:rsidRDefault="00AF2B81" w:rsidP="00AF2B81">
      <w:pPr>
        <w:rPr>
          <w:lang w:eastAsia="ko-KR"/>
        </w:rPr>
      </w:pPr>
      <w:r w:rsidRPr="006D0719">
        <w:rPr>
          <w:lang w:eastAsia="ko-KR"/>
        </w:rPr>
        <w:t>The proposals and observations made in this contribution are summarized below.</w:t>
      </w:r>
    </w:p>
    <w:p w14:paraId="1072B93F" w14:textId="77777777" w:rsidR="001F51F5" w:rsidRDefault="001F51F5" w:rsidP="001F51F5">
      <w:pPr>
        <w:rPr>
          <w:b/>
        </w:rPr>
      </w:pPr>
      <w:r w:rsidRPr="002218C5">
        <w:rPr>
          <w:b/>
        </w:rPr>
        <w:t xml:space="preserve">Proposal </w:t>
      </w:r>
      <w:r>
        <w:rPr>
          <w:b/>
        </w:rPr>
        <w:t>0</w:t>
      </w:r>
      <w:r w:rsidRPr="002218C5">
        <w:rPr>
          <w:b/>
        </w:rPr>
        <w:t xml:space="preserve">: </w:t>
      </w:r>
      <w:r>
        <w:rPr>
          <w:b/>
        </w:rPr>
        <w:t xml:space="preserve">Robust mobility involving NR-U cells shall be possible for </w:t>
      </w:r>
      <w:r w:rsidRPr="002218C5">
        <w:rPr>
          <w:b/>
        </w:rPr>
        <w:t xml:space="preserve">asynchronous </w:t>
      </w:r>
      <w:r>
        <w:rPr>
          <w:b/>
        </w:rPr>
        <w:t xml:space="preserve">(intra-operator and inter-operator) </w:t>
      </w:r>
      <w:r w:rsidRPr="002218C5">
        <w:rPr>
          <w:b/>
        </w:rPr>
        <w:t>cell deployments.</w:t>
      </w:r>
    </w:p>
    <w:p w14:paraId="00739E6C" w14:textId="77777777" w:rsidR="001F51F5" w:rsidRDefault="001F51F5" w:rsidP="001F51F5">
      <w:pPr>
        <w:rPr>
          <w:b/>
        </w:rPr>
      </w:pPr>
      <w:r>
        <w:rPr>
          <w:b/>
        </w:rPr>
        <w:t>Observation</w:t>
      </w:r>
      <w:r w:rsidRPr="00A16490">
        <w:rPr>
          <w:b/>
        </w:rPr>
        <w:t xml:space="preserve"> 1.1: </w:t>
      </w:r>
      <w:r>
        <w:rPr>
          <w:b/>
        </w:rPr>
        <w:t>After a reselection target is chosen, e</w:t>
      </w:r>
      <w:r w:rsidRPr="00A16490">
        <w:rPr>
          <w:b/>
        </w:rPr>
        <w:t xml:space="preserve">ssential </w:t>
      </w:r>
      <w:r>
        <w:rPr>
          <w:b/>
        </w:rPr>
        <w:t>System I</w:t>
      </w:r>
      <w:r w:rsidRPr="00A16490">
        <w:rPr>
          <w:b/>
        </w:rPr>
        <w:t xml:space="preserve">nformation </w:t>
      </w:r>
      <w:r>
        <w:rPr>
          <w:b/>
        </w:rPr>
        <w:t>(e.g.</w:t>
      </w:r>
      <w:r w:rsidRPr="00A16490">
        <w:rPr>
          <w:b/>
        </w:rPr>
        <w:t xml:space="preserve"> PLMN-Id</w:t>
      </w:r>
      <w:r>
        <w:rPr>
          <w:b/>
        </w:rPr>
        <w:t xml:space="preserve">, registration area, </w:t>
      </w:r>
      <w:r w:rsidRPr="00A16490">
        <w:rPr>
          <w:b/>
        </w:rPr>
        <w:t>and – where necessary slice information</w:t>
      </w:r>
      <w:r>
        <w:rPr>
          <w:b/>
        </w:rPr>
        <w:t xml:space="preserve">) </w:t>
      </w:r>
      <w:r w:rsidRPr="00A16490">
        <w:rPr>
          <w:b/>
        </w:rPr>
        <w:t>allow UE to determine cell suitability and should.</w:t>
      </w:r>
    </w:p>
    <w:p w14:paraId="54F8B2CD" w14:textId="77777777" w:rsidR="001F51F5" w:rsidRDefault="001F51F5" w:rsidP="001F51F5">
      <w:pPr>
        <w:rPr>
          <w:b/>
        </w:rPr>
      </w:pPr>
      <w:r>
        <w:rPr>
          <w:b/>
        </w:rPr>
        <w:t>Proposal 1.1: RAN2 should study robust and mechanisms in assisting UE for cell reselection within the same operator network.</w:t>
      </w:r>
    </w:p>
    <w:p w14:paraId="12BF554E" w14:textId="77777777" w:rsidR="001F51F5" w:rsidRDefault="001F51F5" w:rsidP="001F51F5">
      <w:pPr>
        <w:rPr>
          <w:b/>
        </w:rPr>
      </w:pPr>
      <w:r w:rsidRPr="00A16490">
        <w:rPr>
          <w:b/>
        </w:rPr>
        <w:t>Proposal 1.2: SMTC</w:t>
      </w:r>
      <w:r>
        <w:rPr>
          <w:b/>
        </w:rPr>
        <w:t>-U</w:t>
      </w:r>
      <w:r w:rsidRPr="00A16490">
        <w:rPr>
          <w:b/>
        </w:rPr>
        <w:t xml:space="preserve"> information</w:t>
      </w:r>
      <w:r>
        <w:rPr>
          <w:b/>
        </w:rPr>
        <w:t xml:space="preserve"> for monitoring camping cell RS</w:t>
      </w:r>
      <w:r w:rsidRPr="00A16490">
        <w:rPr>
          <w:b/>
        </w:rPr>
        <w:t xml:space="preserve">, needed for robust channel access, </w:t>
      </w:r>
      <w:r>
        <w:rPr>
          <w:b/>
        </w:rPr>
        <w:t>should</w:t>
      </w:r>
      <w:r w:rsidRPr="00A16490">
        <w:rPr>
          <w:b/>
        </w:rPr>
        <w:t xml:space="preserve"> be </w:t>
      </w:r>
      <w:r>
        <w:rPr>
          <w:b/>
        </w:rPr>
        <w:t xml:space="preserve">broadcasted to assist reselecting </w:t>
      </w:r>
      <w:r w:rsidRPr="00A16490">
        <w:rPr>
          <w:b/>
        </w:rPr>
        <w:t>UEs.</w:t>
      </w:r>
    </w:p>
    <w:p w14:paraId="281D1183" w14:textId="77777777" w:rsidR="001F51F5" w:rsidRDefault="001F51F5" w:rsidP="001F51F5">
      <w:pPr>
        <w:rPr>
          <w:b/>
        </w:rPr>
      </w:pPr>
      <w:r w:rsidRPr="00A16490">
        <w:rPr>
          <w:b/>
        </w:rPr>
        <w:t>Proposal 1.3: RAN2 should study the broadcast</w:t>
      </w:r>
      <w:r>
        <w:rPr>
          <w:b/>
        </w:rPr>
        <w:t>ing</w:t>
      </w:r>
      <w:r w:rsidRPr="00A16490">
        <w:rPr>
          <w:b/>
        </w:rPr>
        <w:t xml:space="preserve"> of </w:t>
      </w:r>
      <w:r>
        <w:rPr>
          <w:b/>
        </w:rPr>
        <w:t xml:space="preserve">neighbour </w:t>
      </w:r>
      <w:r w:rsidRPr="00A16490">
        <w:rPr>
          <w:b/>
        </w:rPr>
        <w:t>SMTC</w:t>
      </w:r>
      <w:r>
        <w:rPr>
          <w:b/>
        </w:rPr>
        <w:t>-U</w:t>
      </w:r>
      <w:r w:rsidRPr="00A16490">
        <w:rPr>
          <w:b/>
        </w:rPr>
        <w:t xml:space="preserve"> information for discovering same-operator neighbour cells </w:t>
      </w:r>
    </w:p>
    <w:p w14:paraId="6644526A" w14:textId="77777777" w:rsidR="001F51F5" w:rsidRDefault="001F51F5" w:rsidP="001F51F5">
      <w:pPr>
        <w:rPr>
          <w:b/>
        </w:rPr>
      </w:pPr>
      <w:r>
        <w:rPr>
          <w:b/>
        </w:rPr>
        <w:t>Proposal 1.4: Medium contention (at the cell or carrier level) should be considered as part of cell reselection mechanism.</w:t>
      </w:r>
    </w:p>
    <w:p w14:paraId="2A5BAB14" w14:textId="77777777" w:rsidR="001F51F5" w:rsidRDefault="001F51F5" w:rsidP="001F51F5">
      <w:pPr>
        <w:rPr>
          <w:b/>
        </w:rPr>
      </w:pPr>
      <w:r w:rsidRPr="00A16490">
        <w:rPr>
          <w:b/>
        </w:rPr>
        <w:t xml:space="preserve">Proposal 2.1: SMTC-U configuration should be </w:t>
      </w:r>
      <w:r>
        <w:rPr>
          <w:b/>
        </w:rPr>
        <w:t>provisioned</w:t>
      </w:r>
      <w:r w:rsidRPr="00A16490">
        <w:rPr>
          <w:b/>
        </w:rPr>
        <w:t xml:space="preserve"> for UEs to use in </w:t>
      </w:r>
      <w:r>
        <w:rPr>
          <w:b/>
        </w:rPr>
        <w:t>facilitating</w:t>
      </w:r>
      <w:r w:rsidRPr="00A16490">
        <w:rPr>
          <w:b/>
        </w:rPr>
        <w:t xml:space="preserve"> serving cell </w:t>
      </w:r>
      <w:r w:rsidRPr="00A16490">
        <w:rPr>
          <w:b/>
        </w:rPr>
        <w:lastRenderedPageBreak/>
        <w:t>measurements.</w:t>
      </w:r>
    </w:p>
    <w:p w14:paraId="48F71265" w14:textId="77777777" w:rsidR="001F51F5" w:rsidRDefault="001F51F5" w:rsidP="001F51F5">
      <w:pPr>
        <w:rPr>
          <w:b/>
        </w:rPr>
      </w:pPr>
      <w:r w:rsidRPr="00A16490">
        <w:rPr>
          <w:b/>
        </w:rPr>
        <w:t>Proposal 2.</w:t>
      </w:r>
      <w:r>
        <w:rPr>
          <w:b/>
        </w:rPr>
        <w:t>2</w:t>
      </w:r>
      <w:r w:rsidRPr="00A16490">
        <w:rPr>
          <w:b/>
        </w:rPr>
        <w:t xml:space="preserve">: SMTC-U configuration should be </w:t>
      </w:r>
      <w:r>
        <w:rPr>
          <w:b/>
        </w:rPr>
        <w:t>provisioned</w:t>
      </w:r>
      <w:r w:rsidRPr="00A16490">
        <w:rPr>
          <w:b/>
        </w:rPr>
        <w:t xml:space="preserve"> for UEs to use in </w:t>
      </w:r>
      <w:r>
        <w:rPr>
          <w:b/>
        </w:rPr>
        <w:t>facilitating</w:t>
      </w:r>
      <w:r w:rsidRPr="00A16490">
        <w:rPr>
          <w:b/>
        </w:rPr>
        <w:t xml:space="preserve"> neighbour cell measurements.</w:t>
      </w:r>
      <w:r>
        <w:rPr>
          <w:b/>
        </w:rPr>
        <w:t xml:space="preserve"> This may or may not be the same as the SMTC-U configuration for serving cell measurements.</w:t>
      </w:r>
    </w:p>
    <w:p w14:paraId="39969CA0" w14:textId="77777777" w:rsidR="001F51F5" w:rsidRDefault="001F51F5" w:rsidP="001F51F5">
      <w:pPr>
        <w:rPr>
          <w:b/>
        </w:rPr>
      </w:pPr>
      <w:r w:rsidRPr="00A16490">
        <w:rPr>
          <w:b/>
        </w:rPr>
        <w:t>Proposal 2.</w:t>
      </w:r>
      <w:r>
        <w:rPr>
          <w:b/>
        </w:rPr>
        <w:t>3</w:t>
      </w:r>
      <w:r w:rsidRPr="00A16490">
        <w:rPr>
          <w:b/>
        </w:rPr>
        <w:t xml:space="preserve">: </w:t>
      </w:r>
      <w:r>
        <w:rPr>
          <w:b/>
        </w:rPr>
        <w:t>ANR reports shall be possible for NR Unlicensed, to report – at least  – PLMN, ECGI, registration area and cell access information for NR-Unlicensed neighbours.</w:t>
      </w:r>
    </w:p>
    <w:p w14:paraId="3A906111" w14:textId="77777777" w:rsidR="001F51F5" w:rsidRDefault="001F51F5" w:rsidP="001F51F5">
      <w:pPr>
        <w:rPr>
          <w:b/>
        </w:rPr>
      </w:pPr>
      <w:r>
        <w:rPr>
          <w:b/>
        </w:rPr>
        <w:t>Proposal 2.4: RAN2 should study reporting carrier load measurements (and their nature), for NR-Unlicensed, to allow cell channel selection and handover target selection.</w:t>
      </w:r>
    </w:p>
    <w:p w14:paraId="6AB14DF0" w14:textId="77777777" w:rsidR="001F51F5" w:rsidRDefault="001F51F5" w:rsidP="001F51F5">
      <w:pPr>
        <w:rPr>
          <w:b/>
        </w:rPr>
      </w:pPr>
      <w:r w:rsidRPr="00D456F5">
        <w:rPr>
          <w:b/>
        </w:rPr>
        <w:t xml:space="preserve">Proposal 3.1: RAN2 should study separating radio link strength </w:t>
      </w:r>
      <w:r>
        <w:rPr>
          <w:b/>
        </w:rPr>
        <w:t xml:space="preserve">from medium load, for </w:t>
      </w:r>
      <w:r w:rsidRPr="00D456F5">
        <w:rPr>
          <w:b/>
        </w:rPr>
        <w:t xml:space="preserve">Radio Link Monitoring </w:t>
      </w:r>
      <w:r>
        <w:rPr>
          <w:b/>
        </w:rPr>
        <w:t>purposes. In particular, RLM should be resilient to occasional erasure of robust RS in good channel conditions.</w:t>
      </w:r>
    </w:p>
    <w:p w14:paraId="7A0BEC32" w14:textId="77777777" w:rsidR="001F51F5" w:rsidRPr="00D456F5" w:rsidRDefault="001F51F5" w:rsidP="001F51F5">
      <w:pPr>
        <w:rPr>
          <w:b/>
        </w:rPr>
      </w:pPr>
      <w:r>
        <w:rPr>
          <w:b/>
        </w:rPr>
        <w:t>Proposal 3.2: RLM for UEs configured with DRX should be able to rely on robust SSB transmission, with no or minimal impact on power consumption.</w:t>
      </w:r>
    </w:p>
    <w:p w14:paraId="7C7C46CE" w14:textId="77777777" w:rsidR="00AF2B81" w:rsidRDefault="00AF2B81" w:rsidP="00AF2B81">
      <w:pPr>
        <w:pStyle w:val="Heading1"/>
      </w:pPr>
      <w:r>
        <w:t>References</w:t>
      </w:r>
    </w:p>
    <w:p w14:paraId="46B53CB4" w14:textId="7CBCB480" w:rsidR="00AF2B81" w:rsidRDefault="00AF2B81" w:rsidP="00AF2B81">
      <w:pPr>
        <w:rPr>
          <w:lang w:eastAsia="ko-KR"/>
        </w:rPr>
      </w:pPr>
      <w:r>
        <w:rPr>
          <w:lang w:eastAsia="ko-KR"/>
        </w:rPr>
        <w:t>[</w:t>
      </w:r>
      <w:r w:rsidRPr="00FB789D">
        <w:rPr>
          <w:lang w:eastAsia="ko-KR"/>
        </w:rPr>
        <w:t>1</w:t>
      </w:r>
      <w:r>
        <w:rPr>
          <w:lang w:eastAsia="ko-KR"/>
        </w:rPr>
        <w:t xml:space="preserve">] </w:t>
      </w:r>
      <w:r w:rsidR="00C94F63">
        <w:t>R2-1806038</w:t>
      </w:r>
      <w:r>
        <w:rPr>
          <w:lang w:eastAsia="ko-KR"/>
        </w:rPr>
        <w:t xml:space="preserve">, </w:t>
      </w:r>
      <w:r w:rsidR="001F51F5">
        <w:rPr>
          <w:lang w:eastAsia="ko-KR"/>
        </w:rPr>
        <w:t>“</w:t>
      </w:r>
      <w:r w:rsidR="001F51F5" w:rsidRPr="001F51F5">
        <w:rPr>
          <w:lang w:eastAsia="ko-KR"/>
        </w:rPr>
        <w:t>Channel Access for NR Unlicensed</w:t>
      </w:r>
      <w:r w:rsidR="001F51F5">
        <w:rPr>
          <w:lang w:eastAsia="ko-KR"/>
        </w:rPr>
        <w:t xml:space="preserve">”, </w:t>
      </w:r>
      <w:r w:rsidRPr="00FB789D">
        <w:rPr>
          <w:lang w:eastAsia="ko-KR"/>
        </w:rPr>
        <w:t>Qualcomm Incorporated, RAN</w:t>
      </w:r>
      <w:r w:rsidR="00C94F63">
        <w:rPr>
          <w:lang w:eastAsia="ko-KR"/>
        </w:rPr>
        <w:t>2#101</w:t>
      </w:r>
      <w:r>
        <w:rPr>
          <w:lang w:eastAsia="ko-KR"/>
        </w:rPr>
        <w:t>bis</w:t>
      </w:r>
    </w:p>
    <w:p w14:paraId="31E6A693" w14:textId="77777777" w:rsidR="00AF2B81" w:rsidRDefault="00AF2B81" w:rsidP="00AF2B81">
      <w:pPr>
        <w:rPr>
          <w:lang w:eastAsia="ko-KR"/>
        </w:rPr>
      </w:pPr>
      <w:r>
        <w:rPr>
          <w:lang w:eastAsia="ko-KR"/>
        </w:rPr>
        <w:t>[2] Draft minutes v0.2 from RAN1#92, Athens, Greece, 26</w:t>
      </w:r>
      <w:r w:rsidRPr="007556B1">
        <w:rPr>
          <w:vertAlign w:val="superscript"/>
          <w:lang w:eastAsia="ko-KR"/>
        </w:rPr>
        <w:t>th</w:t>
      </w:r>
      <w:r>
        <w:rPr>
          <w:lang w:eastAsia="ko-KR"/>
        </w:rPr>
        <w:t xml:space="preserve"> Feb-2</w:t>
      </w:r>
      <w:r w:rsidRPr="007556B1">
        <w:rPr>
          <w:vertAlign w:val="superscript"/>
          <w:lang w:eastAsia="ko-KR"/>
        </w:rPr>
        <w:t>nd</w:t>
      </w:r>
      <w:r>
        <w:rPr>
          <w:lang w:eastAsia="ko-KR"/>
        </w:rPr>
        <w:t xml:space="preserve"> March, 2018.</w:t>
      </w:r>
    </w:p>
    <w:p w14:paraId="37B454C0" w14:textId="77777777" w:rsidR="00FB789D" w:rsidRPr="00E351E2" w:rsidRDefault="00FB789D" w:rsidP="00AF2B81"/>
    <w:sectPr w:rsidR="00FB789D" w:rsidRPr="00E351E2" w:rsidSect="00B47B85">
      <w:footerReference w:type="even" r:id="rId13"/>
      <w:footerReference w:type="default" r:id="rId1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489D0" w14:textId="77777777" w:rsidR="00BD0D2A" w:rsidRDefault="00BD0D2A" w:rsidP="00F53A74">
      <w:r>
        <w:separator/>
      </w:r>
    </w:p>
    <w:p w14:paraId="1507E2FB" w14:textId="77777777" w:rsidR="00BD0D2A" w:rsidRDefault="00BD0D2A" w:rsidP="00F53A74"/>
  </w:endnote>
  <w:endnote w:type="continuationSeparator" w:id="0">
    <w:p w14:paraId="69740EC0" w14:textId="77777777" w:rsidR="00BD0D2A" w:rsidRDefault="00BD0D2A" w:rsidP="00F53A74">
      <w:r>
        <w:continuationSeparator/>
      </w:r>
    </w:p>
    <w:p w14:paraId="2466D403" w14:textId="77777777" w:rsidR="00BD0D2A" w:rsidRDefault="00BD0D2A" w:rsidP="00F53A74"/>
  </w:endnote>
  <w:endnote w:type="continuationNotice" w:id="1">
    <w:p w14:paraId="10DE8B0B" w14:textId="77777777" w:rsidR="00BD0D2A" w:rsidRDefault="00BD0D2A" w:rsidP="00F53A74"/>
    <w:p w14:paraId="4488F1DF" w14:textId="77777777" w:rsidR="00BD0D2A" w:rsidRDefault="00BD0D2A"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libri"/>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F6327" w:rsidRDefault="00EF6327"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F6327" w:rsidRDefault="00EF6327" w:rsidP="00F53A74">
    <w:pPr>
      <w:pStyle w:val="Footer"/>
    </w:pPr>
  </w:p>
  <w:p w14:paraId="164FD115" w14:textId="77777777" w:rsidR="00EF6327" w:rsidRDefault="00EF6327"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3E4826BA" w:rsidR="00EF6327" w:rsidRDefault="00EF6327">
        <w:pPr>
          <w:pStyle w:val="Footer"/>
          <w:jc w:val="center"/>
        </w:pPr>
        <w:r>
          <w:fldChar w:fldCharType="begin"/>
        </w:r>
        <w:r>
          <w:instrText xml:space="preserve"> PAGE   \* MERGEFORMAT </w:instrText>
        </w:r>
        <w:r>
          <w:fldChar w:fldCharType="separate"/>
        </w:r>
        <w:r w:rsidR="00A11C55">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ADB087" w14:textId="77777777" w:rsidR="00BD0D2A" w:rsidRDefault="00BD0D2A" w:rsidP="00F53A74">
      <w:r>
        <w:separator/>
      </w:r>
    </w:p>
    <w:p w14:paraId="2859EE2E" w14:textId="77777777" w:rsidR="00BD0D2A" w:rsidRDefault="00BD0D2A" w:rsidP="00F53A74"/>
  </w:footnote>
  <w:footnote w:type="continuationSeparator" w:id="0">
    <w:p w14:paraId="0363E774" w14:textId="77777777" w:rsidR="00BD0D2A" w:rsidRDefault="00BD0D2A" w:rsidP="00F53A74">
      <w:r>
        <w:continuationSeparator/>
      </w:r>
    </w:p>
    <w:p w14:paraId="2AB2F694" w14:textId="77777777" w:rsidR="00BD0D2A" w:rsidRDefault="00BD0D2A" w:rsidP="00F53A74"/>
  </w:footnote>
  <w:footnote w:type="continuationNotice" w:id="1">
    <w:p w14:paraId="56DB4194" w14:textId="77777777" w:rsidR="00BD0D2A" w:rsidRDefault="00BD0D2A" w:rsidP="00F53A74"/>
    <w:p w14:paraId="346FB384" w14:textId="77777777" w:rsidR="00BD0D2A" w:rsidRDefault="00BD0D2A"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1C42A9"/>
    <w:multiLevelType w:val="hybridMultilevel"/>
    <w:tmpl w:val="D48EE9C2"/>
    <w:lvl w:ilvl="0" w:tplc="7DA48A04">
      <w:start w:val="1"/>
      <w:numFmt w:val="decimal"/>
      <w:lvlText w:val="(%1)"/>
      <w:lvlJc w:val="left"/>
      <w:pPr>
        <w:ind w:left="360" w:hanging="360"/>
      </w:pPr>
      <w:rPr>
        <w:rFonts w:ascii="Times New Roman" w:eastAsia="Gulim"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000DF"/>
    <w:multiLevelType w:val="hybridMultilevel"/>
    <w:tmpl w:val="2AB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247AB"/>
    <w:multiLevelType w:val="hybridMultilevel"/>
    <w:tmpl w:val="64662A58"/>
    <w:lvl w:ilvl="0" w:tplc="1C3EC8F2">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80A79"/>
    <w:multiLevelType w:val="hybridMultilevel"/>
    <w:tmpl w:val="EC72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696E8A"/>
    <w:multiLevelType w:val="hybridMultilevel"/>
    <w:tmpl w:val="0ACA5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4238C"/>
    <w:multiLevelType w:val="hybridMultilevel"/>
    <w:tmpl w:val="F24C0D52"/>
    <w:lvl w:ilvl="0" w:tplc="421EF026">
      <w:start w:val="1"/>
      <w:numFmt w:val="bullet"/>
      <w:lvlText w:val="−"/>
      <w:lvlJc w:val="left"/>
      <w:pPr>
        <w:tabs>
          <w:tab w:val="num" w:pos="720"/>
        </w:tabs>
        <w:ind w:left="720" w:hanging="360"/>
      </w:pPr>
      <w:rPr>
        <w:rFonts w:ascii="Calibre Regular" w:hAnsi="Calibre Regular" w:hint="default"/>
      </w:rPr>
    </w:lvl>
    <w:lvl w:ilvl="1" w:tplc="9DE85B7C">
      <w:start w:val="1"/>
      <w:numFmt w:val="bullet"/>
      <w:lvlText w:val="−"/>
      <w:lvlJc w:val="left"/>
      <w:pPr>
        <w:tabs>
          <w:tab w:val="num" w:pos="1440"/>
        </w:tabs>
        <w:ind w:left="1440" w:hanging="360"/>
      </w:pPr>
      <w:rPr>
        <w:rFonts w:ascii="Calibre Regular" w:hAnsi="Calibre Regular" w:hint="default"/>
      </w:rPr>
    </w:lvl>
    <w:lvl w:ilvl="2" w:tplc="2F44BEC2">
      <w:start w:val="146"/>
      <w:numFmt w:val="bullet"/>
      <w:lvlText w:val="−"/>
      <w:lvlJc w:val="left"/>
      <w:pPr>
        <w:tabs>
          <w:tab w:val="num" w:pos="2160"/>
        </w:tabs>
        <w:ind w:left="2160" w:hanging="360"/>
      </w:pPr>
      <w:rPr>
        <w:rFonts w:ascii="Calibre Regular" w:hAnsi="Calibre Regular" w:hint="default"/>
      </w:rPr>
    </w:lvl>
    <w:lvl w:ilvl="3" w:tplc="ABFEA8A2" w:tentative="1">
      <w:start w:val="1"/>
      <w:numFmt w:val="bullet"/>
      <w:lvlText w:val="−"/>
      <w:lvlJc w:val="left"/>
      <w:pPr>
        <w:tabs>
          <w:tab w:val="num" w:pos="2880"/>
        </w:tabs>
        <w:ind w:left="2880" w:hanging="360"/>
      </w:pPr>
      <w:rPr>
        <w:rFonts w:ascii="Calibre Regular" w:hAnsi="Calibre Regular" w:hint="default"/>
      </w:rPr>
    </w:lvl>
    <w:lvl w:ilvl="4" w:tplc="D1927AB6" w:tentative="1">
      <w:start w:val="1"/>
      <w:numFmt w:val="bullet"/>
      <w:lvlText w:val="−"/>
      <w:lvlJc w:val="left"/>
      <w:pPr>
        <w:tabs>
          <w:tab w:val="num" w:pos="3600"/>
        </w:tabs>
        <w:ind w:left="3600" w:hanging="360"/>
      </w:pPr>
      <w:rPr>
        <w:rFonts w:ascii="Calibre Regular" w:hAnsi="Calibre Regular" w:hint="default"/>
      </w:rPr>
    </w:lvl>
    <w:lvl w:ilvl="5" w:tplc="F3606D98" w:tentative="1">
      <w:start w:val="1"/>
      <w:numFmt w:val="bullet"/>
      <w:lvlText w:val="−"/>
      <w:lvlJc w:val="left"/>
      <w:pPr>
        <w:tabs>
          <w:tab w:val="num" w:pos="4320"/>
        </w:tabs>
        <w:ind w:left="4320" w:hanging="360"/>
      </w:pPr>
      <w:rPr>
        <w:rFonts w:ascii="Calibre Regular" w:hAnsi="Calibre Regular" w:hint="default"/>
      </w:rPr>
    </w:lvl>
    <w:lvl w:ilvl="6" w:tplc="CD6C51E6" w:tentative="1">
      <w:start w:val="1"/>
      <w:numFmt w:val="bullet"/>
      <w:lvlText w:val="−"/>
      <w:lvlJc w:val="left"/>
      <w:pPr>
        <w:tabs>
          <w:tab w:val="num" w:pos="5040"/>
        </w:tabs>
        <w:ind w:left="5040" w:hanging="360"/>
      </w:pPr>
      <w:rPr>
        <w:rFonts w:ascii="Calibre Regular" w:hAnsi="Calibre Regular" w:hint="default"/>
      </w:rPr>
    </w:lvl>
    <w:lvl w:ilvl="7" w:tplc="7FC88E60" w:tentative="1">
      <w:start w:val="1"/>
      <w:numFmt w:val="bullet"/>
      <w:lvlText w:val="−"/>
      <w:lvlJc w:val="left"/>
      <w:pPr>
        <w:tabs>
          <w:tab w:val="num" w:pos="5760"/>
        </w:tabs>
        <w:ind w:left="5760" w:hanging="360"/>
      </w:pPr>
      <w:rPr>
        <w:rFonts w:ascii="Calibre Regular" w:hAnsi="Calibre Regular" w:hint="default"/>
      </w:rPr>
    </w:lvl>
    <w:lvl w:ilvl="8" w:tplc="9F6C8536"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3A3E20B0"/>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C71163"/>
    <w:multiLevelType w:val="hybridMultilevel"/>
    <w:tmpl w:val="5190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C3C8D"/>
    <w:multiLevelType w:val="hybridMultilevel"/>
    <w:tmpl w:val="3CE0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5A1051A8"/>
    <w:multiLevelType w:val="hybridMultilevel"/>
    <w:tmpl w:val="BDE6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15597"/>
    <w:multiLevelType w:val="hybridMultilevel"/>
    <w:tmpl w:val="82C0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5" w15:restartNumberingAfterBreak="0">
    <w:nsid w:val="67683F6A"/>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D291F61"/>
    <w:multiLevelType w:val="hybridMultilevel"/>
    <w:tmpl w:val="05F2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6780E"/>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9"/>
  </w:num>
  <w:num w:numId="3">
    <w:abstractNumId w:val="25"/>
  </w:num>
  <w:num w:numId="4">
    <w:abstractNumId w:val="41"/>
  </w:num>
  <w:num w:numId="5">
    <w:abstractNumId w:val="42"/>
  </w:num>
  <w:num w:numId="6">
    <w:abstractNumId w:val="1"/>
  </w:num>
  <w:num w:numId="7">
    <w:abstractNumId w:val="43"/>
  </w:num>
  <w:num w:numId="8">
    <w:abstractNumId w:val="34"/>
  </w:num>
  <w:num w:numId="9">
    <w:abstractNumId w:val="30"/>
  </w:num>
  <w:num w:numId="10">
    <w:abstractNumId w:val="31"/>
  </w:num>
  <w:num w:numId="11">
    <w:abstractNumId w:val="24"/>
  </w:num>
  <w:num w:numId="12">
    <w:abstractNumId w:val="22"/>
  </w:num>
  <w:num w:numId="13">
    <w:abstractNumId w:val="0"/>
  </w:num>
  <w:num w:numId="14">
    <w:abstractNumId w:val="14"/>
  </w:num>
  <w:num w:numId="15">
    <w:abstractNumId w:val="11"/>
  </w:num>
  <w:num w:numId="16">
    <w:abstractNumId w:val="36"/>
  </w:num>
  <w:num w:numId="17">
    <w:abstractNumId w:val="21"/>
  </w:num>
  <w:num w:numId="18">
    <w:abstractNumId w:val="8"/>
  </w:num>
  <w:num w:numId="19">
    <w:abstractNumId w:val="26"/>
  </w:num>
  <w:num w:numId="20">
    <w:abstractNumId w:val="20"/>
  </w:num>
  <w:num w:numId="21">
    <w:abstractNumId w:val="16"/>
  </w:num>
  <w:num w:numId="22">
    <w:abstractNumId w:val="28"/>
  </w:num>
  <w:num w:numId="23">
    <w:abstractNumId w:val="39"/>
  </w:num>
  <w:num w:numId="24">
    <w:abstractNumId w:val="27"/>
  </w:num>
  <w:num w:numId="25">
    <w:abstractNumId w:val="32"/>
  </w:num>
  <w:num w:numId="26">
    <w:abstractNumId w:val="7"/>
  </w:num>
  <w:num w:numId="27">
    <w:abstractNumId w:val="23"/>
  </w:num>
  <w:num w:numId="28">
    <w:abstractNumId w:val="5"/>
  </w:num>
  <w:num w:numId="29">
    <w:abstractNumId w:val="33"/>
  </w:num>
  <w:num w:numId="30">
    <w:abstractNumId w:val="13"/>
  </w:num>
  <w:num w:numId="31">
    <w:abstractNumId w:val="19"/>
  </w:num>
  <w:num w:numId="32">
    <w:abstractNumId w:val="37"/>
  </w:num>
  <w:num w:numId="33">
    <w:abstractNumId w:val="40"/>
  </w:num>
  <w:num w:numId="34">
    <w:abstractNumId w:val="29"/>
  </w:num>
  <w:num w:numId="35">
    <w:abstractNumId w:val="35"/>
  </w:num>
  <w:num w:numId="36">
    <w:abstractNumId w:val="18"/>
  </w:num>
  <w:num w:numId="37">
    <w:abstractNumId w:val="12"/>
  </w:num>
  <w:num w:numId="38">
    <w:abstractNumId w:val="4"/>
  </w:num>
  <w:num w:numId="39">
    <w:abstractNumId w:val="2"/>
  </w:num>
  <w:num w:numId="40">
    <w:abstractNumId w:val="3"/>
  </w:num>
  <w:num w:numId="41">
    <w:abstractNumId w:val="17"/>
  </w:num>
  <w:num w:numId="42">
    <w:abstractNumId w:val="38"/>
  </w:num>
  <w:num w:numId="43">
    <w:abstractNumId w:val="10"/>
  </w:num>
  <w:num w:numId="44">
    <w:abstractNumId w:val="37"/>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BA"/>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C6D"/>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D11"/>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5C3"/>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547"/>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1F5"/>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53C4"/>
    <w:rsid w:val="00206239"/>
    <w:rsid w:val="00206529"/>
    <w:rsid w:val="002065C8"/>
    <w:rsid w:val="00206BEF"/>
    <w:rsid w:val="00206D33"/>
    <w:rsid w:val="00207047"/>
    <w:rsid w:val="0020707D"/>
    <w:rsid w:val="00207285"/>
    <w:rsid w:val="002073F2"/>
    <w:rsid w:val="00207826"/>
    <w:rsid w:val="002079F7"/>
    <w:rsid w:val="002100F5"/>
    <w:rsid w:val="002105A0"/>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573"/>
    <w:rsid w:val="00217897"/>
    <w:rsid w:val="00217E25"/>
    <w:rsid w:val="00220845"/>
    <w:rsid w:val="0022097D"/>
    <w:rsid w:val="00220BAF"/>
    <w:rsid w:val="00220F52"/>
    <w:rsid w:val="002212FF"/>
    <w:rsid w:val="0022168B"/>
    <w:rsid w:val="00221729"/>
    <w:rsid w:val="002218C5"/>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652F"/>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685D"/>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101"/>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2B"/>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10"/>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ACF"/>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1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39A"/>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868"/>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2E4"/>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670"/>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9A1"/>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5F"/>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0E68"/>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053"/>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27"/>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561"/>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97E"/>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C55"/>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95B"/>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0DA"/>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2B81"/>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6F11"/>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1C5"/>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94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2A"/>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04"/>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828"/>
    <w:rsid w:val="00C22F0D"/>
    <w:rsid w:val="00C22F82"/>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0CE0"/>
    <w:rsid w:val="00C4114E"/>
    <w:rsid w:val="00C412CC"/>
    <w:rsid w:val="00C415A7"/>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957"/>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4F63"/>
    <w:rsid w:val="00C9508A"/>
    <w:rsid w:val="00C955D1"/>
    <w:rsid w:val="00C95915"/>
    <w:rsid w:val="00C95D5B"/>
    <w:rsid w:val="00C95E15"/>
    <w:rsid w:val="00C962C0"/>
    <w:rsid w:val="00C96494"/>
    <w:rsid w:val="00C964C6"/>
    <w:rsid w:val="00C964F8"/>
    <w:rsid w:val="00C96819"/>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344"/>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27F8B"/>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325"/>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37"/>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C6B"/>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433"/>
    <w:rsid w:val="00DB7573"/>
    <w:rsid w:val="00DB7965"/>
    <w:rsid w:val="00DB7DFB"/>
    <w:rsid w:val="00DC0444"/>
    <w:rsid w:val="00DC0650"/>
    <w:rsid w:val="00DC092B"/>
    <w:rsid w:val="00DC13D1"/>
    <w:rsid w:val="00DC14C1"/>
    <w:rsid w:val="00DC15CB"/>
    <w:rsid w:val="00DC16CA"/>
    <w:rsid w:val="00DC1757"/>
    <w:rsid w:val="00DC1B2B"/>
    <w:rsid w:val="00DC1BFA"/>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154"/>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2B7"/>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78"/>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4EF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3A5"/>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25F"/>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10"/>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F08"/>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27"/>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604"/>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6F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54F"/>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6DFF"/>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56AB91-3A1F-4775-8CFF-9FE6FE9A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3EQ6UJ4K66FU-4-4188</_dlc_DocId>
    <_dlc_DocIdUrl xmlns="df4eea7b-52db-4162-980b-b352f1b580a3">
      <Url>https://projects.qualcomm.com/sites/meridian/_layouts/15/DocIdRedir.aspx?ID=3EQ6UJ4K66FU-4-4188</Url>
      <Description>3EQ6UJ4K66FU-4-4188</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customXml/itemProps2.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2B3ABCD2-3C85-4C52-9737-790A9AA7C758}">
  <ds:schemaRefs>
    <ds:schemaRef ds:uri="http://schemas.openxmlformats.org/officeDocument/2006/bibliography"/>
  </ds:schemaRefs>
</ds:datastoreItem>
</file>

<file path=customXml/itemProps6.xml><?xml version="1.0" encoding="utf-8"?>
<ds:datastoreItem xmlns:ds="http://schemas.openxmlformats.org/officeDocument/2006/customXml" ds:itemID="{CCAE1BE1-258F-4958-9103-382230AC2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1819</Words>
  <Characters>10370</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Ozcan Ozturk</cp:lastModifiedBy>
  <cp:revision>2</cp:revision>
  <cp:lastPrinted>2010-08-13T21:54:00Z</cp:lastPrinted>
  <dcterms:created xsi:type="dcterms:W3CDTF">2018-06-21T19:58:00Z</dcterms:created>
  <dcterms:modified xsi:type="dcterms:W3CDTF">2018-06-21T19:58:00Z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cc83c2f8-7685-45a0-9494-680cad025905</vt:lpwstr>
  </property>
</Properties>
</file>