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3D62A84"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44B4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66972">
        <w:rPr>
          <w:color w:val="auto"/>
          <w:sz w:val="24"/>
          <w:lang w:eastAsia="en-GB"/>
        </w:rPr>
        <w:t>3GPP TSG-RAN WG2 NR AdH</w:t>
      </w:r>
      <w:r w:rsidR="00E64423">
        <w:rPr>
          <w:color w:val="auto"/>
          <w:sz w:val="24"/>
          <w:lang w:eastAsia="en-GB"/>
        </w:rPr>
        <w:t>oc</w:t>
      </w:r>
      <w:r w:rsidR="00466972">
        <w:rPr>
          <w:color w:val="auto"/>
          <w:sz w:val="24"/>
          <w:lang w:eastAsia="en-GB"/>
        </w:rPr>
        <w:t xml:space="preserve"> #1807</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DB3E18">
        <w:rPr>
          <w:i/>
          <w:color w:val="auto"/>
          <w:sz w:val="24"/>
          <w:lang w:eastAsia="zh-CN"/>
        </w:rPr>
        <w:t>9788</w:t>
      </w:r>
    </w:p>
    <w:p w14:paraId="2AE6D983" w14:textId="401681F8" w:rsidR="007E1DEE" w:rsidRPr="00C036E6" w:rsidRDefault="00E64423" w:rsidP="007E1DEE">
      <w:pPr>
        <w:pStyle w:val="Header"/>
        <w:tabs>
          <w:tab w:val="left" w:pos="6521"/>
        </w:tabs>
        <w:jc w:val="both"/>
        <w:rPr>
          <w:color w:val="auto"/>
          <w:sz w:val="24"/>
          <w:lang w:eastAsia="zh-CN"/>
        </w:rPr>
      </w:pPr>
      <w:r>
        <w:rPr>
          <w:color w:val="auto"/>
          <w:sz w:val="24"/>
          <w:lang w:eastAsia="zh-CN"/>
        </w:rPr>
        <w:t>Montreal</w:t>
      </w:r>
      <w:r w:rsidR="007E1DEE" w:rsidRPr="00943E97">
        <w:rPr>
          <w:color w:val="auto"/>
          <w:sz w:val="24"/>
        </w:rPr>
        <w:t xml:space="preserve">, </w:t>
      </w:r>
      <w:r>
        <w:rPr>
          <w:color w:val="auto"/>
          <w:sz w:val="24"/>
        </w:rPr>
        <w:t>Canada</w:t>
      </w:r>
      <w:r w:rsidR="007E1DEE" w:rsidRPr="00943E97">
        <w:rPr>
          <w:color w:val="auto"/>
          <w:sz w:val="24"/>
        </w:rPr>
        <w:t>,</w:t>
      </w:r>
      <w:r>
        <w:rPr>
          <w:color w:val="auto"/>
          <w:sz w:val="24"/>
        </w:rPr>
        <w:t xml:space="preserve"> 2 – 6 July</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r w:rsidRPr="00E64423">
        <w:rPr>
          <w:b w:val="0"/>
          <w:i/>
          <w:color w:val="auto"/>
          <w:sz w:val="16"/>
          <w:szCs w:val="16"/>
          <w:lang w:eastAsia="zh-CN"/>
        </w:rPr>
        <w:t>(Revision of R2-1807355)</w:t>
      </w:r>
    </w:p>
    <w:p w14:paraId="2AE6D984" w14:textId="77777777" w:rsidR="007E1DEE" w:rsidRDefault="007E1DEE" w:rsidP="00F13226"/>
    <w:p w14:paraId="2AE6D985" w14:textId="4088AFEF"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B74481">
        <w:rPr>
          <w:rFonts w:ascii="Arial" w:hAnsi="Arial"/>
          <w:b/>
          <w:sz w:val="24"/>
          <w:lang w:val="en-US" w:eastAsia="zh-CN"/>
        </w:rPr>
        <w:t>11.2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7965979"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B74481">
        <w:rPr>
          <w:rFonts w:ascii="Arial" w:hAnsi="Arial"/>
          <w:b/>
          <w:sz w:val="24"/>
          <w:lang w:val="en-US"/>
        </w:rPr>
        <w:t>Random access procedure for NR-u</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19BF089C" w14:textId="6812C414" w:rsidR="001F017F" w:rsidRDefault="001F017F" w:rsidP="00F10E98">
      <w:r>
        <w:t>In RAN#75, a new SI was approved to study</w:t>
      </w:r>
      <w:r w:rsidRPr="00B00E68">
        <w:rPr>
          <w:rFonts w:eastAsia="Batang" w:cstheme="minorHAnsi"/>
          <w:lang w:eastAsia="zh-CN"/>
        </w:rPr>
        <w:t xml:space="preserve"> </w:t>
      </w:r>
      <w:r>
        <w:rPr>
          <w:rFonts w:eastAsia="Batang" w:cstheme="minorHAnsi"/>
          <w:lang w:eastAsia="zh-CN"/>
        </w:rPr>
        <w:t>NR access to unlicensed s</w:t>
      </w:r>
      <w:r w:rsidRPr="00B00E68">
        <w:rPr>
          <w:rFonts w:eastAsia="Batang" w:cstheme="minorHAnsi"/>
          <w:lang w:eastAsia="zh-CN"/>
        </w:rPr>
        <w:t>pectrum</w:t>
      </w:r>
      <w:r w:rsidR="007C681D">
        <w:rPr>
          <w:rFonts w:eastAsia="Batang" w:cstheme="minorHAnsi"/>
          <w:lang w:eastAsia="zh-CN"/>
        </w:rPr>
        <w:t xml:space="preserve"> [1]</w:t>
      </w:r>
      <w:r>
        <w:rPr>
          <w:rFonts w:eastAsia="Batang" w:cstheme="minorHAnsi"/>
          <w:lang w:eastAsia="zh-CN"/>
        </w:rPr>
        <w:t>. In the SI, it proposed to study NR LAA, LTE-NR-u DC, NR-u SA and NR-NR-u DC. One common feature that is applicable to all the deployments is the random access procedure</w:t>
      </w:r>
    </w:p>
    <w:p w14:paraId="07BF0354" w14:textId="6F203778" w:rsidR="005F1B8A" w:rsidRDefault="00F10E98" w:rsidP="005F1B8A">
      <w:r>
        <w:t>I</w:t>
      </w:r>
      <w:r w:rsidR="001F017F">
        <w:t>n this contribution, we look at the possible areas to enhance for NR unlicensed</w:t>
      </w:r>
      <w:r>
        <w:t>.</w:t>
      </w:r>
    </w:p>
    <w:p w14:paraId="2AE6D98D" w14:textId="77777777" w:rsidR="003E1A61" w:rsidRDefault="003E1A61" w:rsidP="00F13226">
      <w:pPr>
        <w:pStyle w:val="Heading1"/>
      </w:pPr>
      <w:r>
        <w:t>Discussion</w:t>
      </w:r>
    </w:p>
    <w:p w14:paraId="25D916BF" w14:textId="537B82D4" w:rsidR="00E64423" w:rsidRDefault="00E64423" w:rsidP="0020143A">
      <w:r>
        <w:t>In the last RAN2 meeting, RAN2 agreed to the following for random access procedure:</w:t>
      </w:r>
    </w:p>
    <w:p w14:paraId="144A5AFB" w14:textId="77777777" w:rsidR="00E64423" w:rsidRDefault="00E64423" w:rsidP="00E64423">
      <w:pPr>
        <w:pStyle w:val="Doc-text2"/>
        <w:pBdr>
          <w:top w:val="single" w:sz="4" w:space="1" w:color="auto"/>
          <w:left w:val="single" w:sz="4" w:space="4" w:color="auto"/>
          <w:bottom w:val="single" w:sz="4" w:space="1" w:color="auto"/>
          <w:right w:val="single" w:sz="4" w:space="4" w:color="auto"/>
        </w:pBdr>
      </w:pPr>
      <w:r>
        <w:t>Agreements</w:t>
      </w:r>
    </w:p>
    <w:p w14:paraId="03910E81" w14:textId="77777777" w:rsidR="00E64423" w:rsidRDefault="00E64423" w:rsidP="00E64423">
      <w:pPr>
        <w:pStyle w:val="Doc-text2"/>
        <w:pBdr>
          <w:top w:val="single" w:sz="4" w:space="1" w:color="auto"/>
          <w:left w:val="single" w:sz="4" w:space="4" w:color="auto"/>
          <w:bottom w:val="single" w:sz="4" w:space="1" w:color="auto"/>
          <w:right w:val="single" w:sz="4" w:space="4" w:color="auto"/>
        </w:pBdr>
      </w:pPr>
      <w:r>
        <w:t>1:</w:t>
      </w:r>
      <w:r>
        <w:tab/>
        <w:t>Both CBRA and CFRA are supported. Changes for NR-U operation will be studied</w:t>
      </w:r>
    </w:p>
    <w:p w14:paraId="6EE60AA1" w14:textId="77777777" w:rsidR="00E64423" w:rsidRDefault="00E64423" w:rsidP="00E64423">
      <w:pPr>
        <w:pStyle w:val="Doc-text2"/>
        <w:pBdr>
          <w:top w:val="single" w:sz="4" w:space="1" w:color="auto"/>
          <w:left w:val="single" w:sz="4" w:space="4" w:color="auto"/>
          <w:bottom w:val="single" w:sz="4" w:space="1" w:color="auto"/>
          <w:right w:val="single" w:sz="4" w:space="4" w:color="auto"/>
        </w:pBdr>
      </w:pPr>
      <w:r>
        <w:t>2:</w:t>
      </w:r>
      <w:r>
        <w:tab/>
        <w:t>4-step and 2 step CBRA procedure will be studied in conjunction with RAN1 progress</w:t>
      </w:r>
    </w:p>
    <w:p w14:paraId="0A32C34B" w14:textId="77777777" w:rsidR="00E64423" w:rsidRDefault="00E64423" w:rsidP="00E64423">
      <w:pPr>
        <w:pStyle w:val="Doc-text2"/>
        <w:pBdr>
          <w:top w:val="single" w:sz="4" w:space="1" w:color="auto"/>
          <w:left w:val="single" w:sz="4" w:space="4" w:color="auto"/>
          <w:bottom w:val="single" w:sz="4" w:space="1" w:color="auto"/>
          <w:right w:val="single" w:sz="4" w:space="4" w:color="auto"/>
        </w:pBdr>
      </w:pPr>
      <w:r>
        <w:t xml:space="preserve">3: </w:t>
      </w:r>
      <w:r>
        <w:tab/>
        <w:t>We will review the agreements made during Rel-14 eLAA WI regarding the random access procedure to determine if they can be the solution for CFRA access for NR-U</w:t>
      </w:r>
    </w:p>
    <w:p w14:paraId="46006A09" w14:textId="2AA9C9F9" w:rsidR="00E64423" w:rsidRDefault="000E1452" w:rsidP="00E64423">
      <w:r>
        <w:t>In the following sections, we review the random access agreements from Rel-14 eLAA and also discuss possible further enhancements to random access procedure.</w:t>
      </w:r>
    </w:p>
    <w:p w14:paraId="228ADC34" w14:textId="4FCC37AF" w:rsidR="000E1452" w:rsidRDefault="000E1452" w:rsidP="000E1452">
      <w:pPr>
        <w:pStyle w:val="Heading2"/>
      </w:pPr>
      <w:r>
        <w:t>Review of agreements from Rel-14 eLAA WI</w:t>
      </w:r>
    </w:p>
    <w:p w14:paraId="7DD13C91" w14:textId="728F51FB" w:rsidR="00E64423" w:rsidRDefault="00E64423" w:rsidP="00E64423">
      <w:r>
        <w:t>Related to 3, the following agreements are made on random access procedure during eLAA.</w:t>
      </w:r>
    </w:p>
    <w:p w14:paraId="587AD103" w14:textId="374F144B" w:rsidR="00E64423" w:rsidRDefault="0020143A" w:rsidP="00E64423">
      <w:pPr>
        <w:jc w:val="center"/>
      </w:pPr>
      <w:r w:rsidRPr="0020143A">
        <w:rPr>
          <w:noProof/>
          <w:lang w:eastAsia="en-GB"/>
        </w:rPr>
        <w:drawing>
          <wp:inline distT="0" distB="0" distL="0" distR="0" wp14:anchorId="6FCA5BE8" wp14:editId="714F5957">
            <wp:extent cx="4250583" cy="2748987"/>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4319030" cy="2793254"/>
                    </a:xfrm>
                    <a:prstGeom prst="rect">
                      <a:avLst/>
                    </a:prstGeom>
                  </pic:spPr>
                </pic:pic>
              </a:graphicData>
            </a:graphic>
          </wp:inline>
        </w:drawing>
      </w:r>
    </w:p>
    <w:p w14:paraId="7AB145D7" w14:textId="1CAFFF42" w:rsidR="00E64423" w:rsidRDefault="00D26324" w:rsidP="00E64423">
      <w:r>
        <w:lastRenderedPageBreak/>
        <w:t>The following agreements seem to be fine for NR CBRA and CFRA procedure:</w:t>
      </w:r>
    </w:p>
    <w:p w14:paraId="718BD67A" w14:textId="6BF66EF3" w:rsidR="00D26324" w:rsidRDefault="00D26324" w:rsidP="00D26324">
      <w:pPr>
        <w:pStyle w:val="ListParagraph"/>
        <w:numPr>
          <w:ilvl w:val="0"/>
          <w:numId w:val="46"/>
        </w:numPr>
      </w:pPr>
      <w:r>
        <w:t>The UE does not increase the preamble transmission power when a preamble is not transmitted due to LBT.</w:t>
      </w:r>
    </w:p>
    <w:p w14:paraId="5553C253" w14:textId="1C2A7CB3" w:rsidR="000E1452" w:rsidRDefault="000E1452" w:rsidP="00D26324">
      <w:pPr>
        <w:pStyle w:val="ListParagraph"/>
        <w:numPr>
          <w:ilvl w:val="0"/>
          <w:numId w:val="46"/>
        </w:numPr>
      </w:pPr>
      <w:r>
        <w:t>The RA preamble (re)transmission should always be in the same LAA SCell</w:t>
      </w:r>
    </w:p>
    <w:p w14:paraId="72ADEECA" w14:textId="49125D9E" w:rsidR="000E1452" w:rsidRDefault="0020143A" w:rsidP="00E64423">
      <w:r>
        <w:t>For the RA preamble (re)-transmission</w:t>
      </w:r>
      <w:r w:rsidR="000E1452">
        <w:t>,</w:t>
      </w:r>
      <w:r>
        <w:t xml:space="preserve"> other than the LAA case,</w:t>
      </w:r>
      <w:r w:rsidR="000E1452">
        <w:t xml:space="preserve"> it should </w:t>
      </w:r>
      <w:r>
        <w:t>also be extended to other deployment scenario as well and hence the ‘same LAA SCell’ should be changed to ‘same serving cell’</w:t>
      </w:r>
      <w:r w:rsidR="000E1452">
        <w:t>.</w:t>
      </w:r>
    </w:p>
    <w:p w14:paraId="6560C4D7" w14:textId="2F651E9A" w:rsidR="00E64423" w:rsidRDefault="000E1452" w:rsidP="00E64423">
      <w:r>
        <w:t xml:space="preserve">The </w:t>
      </w:r>
      <w:r w:rsidR="00D26324">
        <w:t>agreements</w:t>
      </w:r>
      <w:r>
        <w:t xml:space="preserve"> associated with the dedicated preambles and the RA-RNTI calculation</w:t>
      </w:r>
      <w:r w:rsidR="00D26324">
        <w:t xml:space="preserve"> seem to be too detailed</w:t>
      </w:r>
      <w:r>
        <w:t xml:space="preserve"> </w:t>
      </w:r>
      <w:r w:rsidR="00D26324">
        <w:t>to be included as agreement for study item</w:t>
      </w:r>
      <w:r>
        <w:t>, while the agreements related to RAR may be too early to be discussed.</w:t>
      </w:r>
    </w:p>
    <w:p w14:paraId="201DFAF7" w14:textId="55C4EF6B" w:rsidR="000E1452" w:rsidRDefault="00D26324" w:rsidP="00D26324">
      <w:r w:rsidRPr="00D26324">
        <w:rPr>
          <w:b/>
        </w:rPr>
        <w:t>Proposal#1:</w:t>
      </w:r>
      <w:r>
        <w:t xml:space="preserve"> </w:t>
      </w:r>
      <w:r w:rsidR="000E1452">
        <w:t>The following agreements from eLAA can be included for NR random access procedure:</w:t>
      </w:r>
    </w:p>
    <w:p w14:paraId="1C1F05D0" w14:textId="3931A501" w:rsidR="00D26324" w:rsidRDefault="00D26324" w:rsidP="000E1452">
      <w:pPr>
        <w:pStyle w:val="ListParagraph"/>
        <w:numPr>
          <w:ilvl w:val="0"/>
          <w:numId w:val="47"/>
        </w:numPr>
      </w:pPr>
      <w:r>
        <w:t>The UE does not increase the preamble transmission power when a preamble is not transmitted due to LBT.</w:t>
      </w:r>
    </w:p>
    <w:p w14:paraId="55977129" w14:textId="0F8CAB0D" w:rsidR="000E1452" w:rsidRDefault="000E1452" w:rsidP="000E1452">
      <w:pPr>
        <w:pStyle w:val="ListParagraph"/>
        <w:numPr>
          <w:ilvl w:val="0"/>
          <w:numId w:val="47"/>
        </w:numPr>
      </w:pPr>
      <w:r>
        <w:t>The RA preamble (re)transmission should always be in the same serving cell.</w:t>
      </w:r>
    </w:p>
    <w:p w14:paraId="5A0547BC" w14:textId="3CEC76E9" w:rsidR="00830BEB" w:rsidRDefault="000E1452" w:rsidP="00830BEB">
      <w:pPr>
        <w:pStyle w:val="Heading2"/>
        <w:rPr>
          <w:lang w:val="en-US"/>
        </w:rPr>
      </w:pPr>
      <w:r>
        <w:rPr>
          <w:lang w:val="en-US"/>
        </w:rPr>
        <w:t xml:space="preserve">Enhancements to </w:t>
      </w:r>
      <w:r w:rsidR="00830BEB">
        <w:rPr>
          <w:lang w:val="en-US"/>
        </w:rPr>
        <w:t xml:space="preserve">Msg1 </w:t>
      </w:r>
      <w:r>
        <w:rPr>
          <w:lang w:val="en-US"/>
        </w:rPr>
        <w:t>(re)</w:t>
      </w:r>
      <w:r w:rsidR="00830BEB">
        <w:rPr>
          <w:lang w:val="en-US"/>
        </w:rPr>
        <w:t>transmission</w:t>
      </w:r>
    </w:p>
    <w:p w14:paraId="1071B8C8" w14:textId="695A8B2F" w:rsidR="003F7F29" w:rsidRDefault="00776EC8" w:rsidP="00675204">
      <w:pPr>
        <w:rPr>
          <w:rFonts w:cstheme="minorHAnsi"/>
        </w:rPr>
      </w:pPr>
      <w:r>
        <w:rPr>
          <w:rFonts w:cstheme="minorHAnsi"/>
        </w:rPr>
        <w:t xml:space="preserve">Further to suspension of the power ramping, </w:t>
      </w:r>
      <w:r w:rsidR="00D26324">
        <w:rPr>
          <w:rFonts w:cstheme="minorHAnsi"/>
        </w:rPr>
        <w:t xml:space="preserve">if an indication is provided to MAC, </w:t>
      </w:r>
      <w:r>
        <w:rPr>
          <w:rFonts w:cstheme="minorHAnsi"/>
        </w:rPr>
        <w:t xml:space="preserve">the UE </w:t>
      </w:r>
      <w:r w:rsidR="003F7F29">
        <w:rPr>
          <w:rFonts w:cstheme="minorHAnsi"/>
        </w:rPr>
        <w:t xml:space="preserve">MAC </w:t>
      </w:r>
      <w:r w:rsidR="00D26324">
        <w:rPr>
          <w:rFonts w:cstheme="minorHAnsi"/>
        </w:rPr>
        <w:t>should</w:t>
      </w:r>
      <w:r>
        <w:rPr>
          <w:rFonts w:cstheme="minorHAnsi"/>
        </w:rPr>
        <w:t xml:space="preserve"> retr</w:t>
      </w:r>
      <w:r w:rsidR="00D26324">
        <w:rPr>
          <w:rFonts w:cstheme="minorHAnsi"/>
        </w:rPr>
        <w:t>ansmit the preamble</w:t>
      </w:r>
      <w:r>
        <w:rPr>
          <w:rFonts w:cstheme="minorHAnsi"/>
        </w:rPr>
        <w:t xml:space="preserve"> in the next available</w:t>
      </w:r>
      <w:r w:rsidR="001D4F14">
        <w:rPr>
          <w:rFonts w:cstheme="minorHAnsi"/>
        </w:rPr>
        <w:t xml:space="preserve"> PRACH occasion</w:t>
      </w:r>
      <w:r w:rsidR="003F7F29">
        <w:rPr>
          <w:rFonts w:cstheme="minorHAnsi"/>
        </w:rPr>
        <w:t>.</w:t>
      </w:r>
      <w:r w:rsidR="000E1452">
        <w:rPr>
          <w:rFonts w:cstheme="minorHAnsi"/>
        </w:rPr>
        <w:t xml:space="preserve"> The UE MAC does not have to assume that the preamble transmission occurs and follow through the procedure.</w:t>
      </w:r>
    </w:p>
    <w:p w14:paraId="782CFC23" w14:textId="3DA7B7CA" w:rsidR="003F7F29" w:rsidRDefault="003F7F29" w:rsidP="00675204">
      <w:pPr>
        <w:rPr>
          <w:rFonts w:cstheme="minorHAnsi"/>
        </w:rPr>
      </w:pPr>
      <w:r w:rsidRPr="003F7F29">
        <w:rPr>
          <w:rFonts w:cstheme="minorHAnsi"/>
          <w:b/>
        </w:rPr>
        <w:t>Propo</w:t>
      </w:r>
      <w:r w:rsidR="005C2ACF">
        <w:rPr>
          <w:rFonts w:cstheme="minorHAnsi"/>
          <w:b/>
        </w:rPr>
        <w:t>sal#2</w:t>
      </w:r>
      <w:r w:rsidRPr="003F7F29">
        <w:rPr>
          <w:rFonts w:cstheme="minorHAnsi"/>
          <w:b/>
        </w:rPr>
        <w:t>:</w:t>
      </w:r>
      <w:r>
        <w:rPr>
          <w:rFonts w:cstheme="minorHAnsi"/>
        </w:rPr>
        <w:t xml:space="preserve"> </w:t>
      </w:r>
      <w:r w:rsidR="000E1452">
        <w:rPr>
          <w:rFonts w:cstheme="minorHAnsi"/>
        </w:rPr>
        <w:t>Upon LBT failure of the preamble (re)transmission, the UE can</w:t>
      </w:r>
      <w:r w:rsidR="001D4F14">
        <w:rPr>
          <w:rFonts w:cstheme="minorHAnsi"/>
        </w:rPr>
        <w:t xml:space="preserve"> trigger </w:t>
      </w:r>
      <w:r>
        <w:rPr>
          <w:rFonts w:cstheme="minorHAnsi"/>
        </w:rPr>
        <w:t>preamble retransmission</w:t>
      </w:r>
      <w:r w:rsidR="001D4F14">
        <w:rPr>
          <w:rFonts w:cstheme="minorHAnsi"/>
        </w:rPr>
        <w:t xml:space="preserve"> in the next available PRACH occasion</w:t>
      </w:r>
      <w:r>
        <w:rPr>
          <w:rFonts w:cstheme="minorHAnsi"/>
        </w:rPr>
        <w:t>.</w:t>
      </w:r>
    </w:p>
    <w:p w14:paraId="78D7AC49" w14:textId="77777777" w:rsidR="001D4F14" w:rsidRDefault="003F7F29" w:rsidP="00675204">
      <w:pPr>
        <w:rPr>
          <w:rFonts w:cstheme="minorHAnsi"/>
        </w:rPr>
      </w:pPr>
      <w:r>
        <w:rPr>
          <w:rFonts w:cstheme="minorHAnsi"/>
        </w:rPr>
        <w:t>With UL BWP, it is possible to introduce multiple UL BWPs enabled for PRACH (re)transmission. For example the selection of the UL BWP can be based on RSSI, channel occupancy or LBT success/failure count</w:t>
      </w:r>
      <w:r w:rsidR="001D4F14">
        <w:rPr>
          <w:rFonts w:cstheme="minorHAnsi"/>
        </w:rPr>
        <w:t>. This may help in reducing LBT failure during PRACH transmission. RAN2 can analyse whether it is beneficial to introduce such a scheme.</w:t>
      </w:r>
    </w:p>
    <w:p w14:paraId="179DD2CA" w14:textId="66429F64" w:rsidR="00830BEB" w:rsidRPr="00830BEB" w:rsidRDefault="005C2ACF" w:rsidP="00675204">
      <w:pPr>
        <w:rPr>
          <w:rFonts w:cstheme="minorHAnsi"/>
          <w:lang w:val="en-US"/>
        </w:rPr>
      </w:pPr>
      <w:r>
        <w:rPr>
          <w:rFonts w:cstheme="minorHAnsi"/>
          <w:b/>
        </w:rPr>
        <w:t>Proposal#3</w:t>
      </w:r>
      <w:r w:rsidR="001D4F14" w:rsidRPr="001D4F14">
        <w:rPr>
          <w:rFonts w:cstheme="minorHAnsi"/>
          <w:b/>
        </w:rPr>
        <w:t>:</w:t>
      </w:r>
      <w:r w:rsidR="001D4F14">
        <w:rPr>
          <w:rFonts w:cstheme="minorHAnsi"/>
        </w:rPr>
        <w:t xml:space="preserve"> RAN2 can study whether it </w:t>
      </w:r>
      <w:r w:rsidR="000E1452">
        <w:rPr>
          <w:rFonts w:cstheme="minorHAnsi"/>
        </w:rPr>
        <w:t xml:space="preserve">is </w:t>
      </w:r>
      <w:r w:rsidR="001D4F14">
        <w:rPr>
          <w:rFonts w:cstheme="minorHAnsi"/>
        </w:rPr>
        <w:t>beneficial to introduce</w:t>
      </w:r>
      <w:r w:rsidR="00776EC8">
        <w:rPr>
          <w:rFonts w:cstheme="minorHAnsi"/>
        </w:rPr>
        <w:t xml:space="preserve"> </w:t>
      </w:r>
      <w:r w:rsidR="001D4F14">
        <w:rPr>
          <w:rFonts w:cstheme="minorHAnsi"/>
        </w:rPr>
        <w:t>multiple UL BWPs configured for PRACH (re)transmission.</w:t>
      </w:r>
    </w:p>
    <w:p w14:paraId="18135A3F" w14:textId="0256F379" w:rsidR="001D4F14" w:rsidRDefault="004F6018" w:rsidP="001D4F14">
      <w:pPr>
        <w:pStyle w:val="Heading2"/>
        <w:rPr>
          <w:lang w:val="en-US"/>
        </w:rPr>
      </w:pPr>
      <w:r>
        <w:rPr>
          <w:lang w:val="en-US"/>
        </w:rPr>
        <w:t>Msg2 r</w:t>
      </w:r>
      <w:r w:rsidR="001D4F14">
        <w:rPr>
          <w:lang w:val="en-US"/>
        </w:rPr>
        <w:t>eception</w:t>
      </w:r>
    </w:p>
    <w:p w14:paraId="23CDA505" w14:textId="77777777" w:rsidR="001D4F14" w:rsidRDefault="001D4F14" w:rsidP="001D4F14">
      <w:pPr>
        <w:rPr>
          <w:rFonts w:cstheme="minorHAnsi"/>
        </w:rPr>
      </w:pPr>
      <w:r>
        <w:rPr>
          <w:rFonts w:cstheme="minorHAnsi"/>
        </w:rPr>
        <w:t>Due to transmission on unlicensed channel</w:t>
      </w:r>
      <w:r w:rsidRPr="00726D0A">
        <w:rPr>
          <w:rFonts w:cstheme="minorHAnsi"/>
        </w:rPr>
        <w:t>,</w:t>
      </w:r>
      <w:r>
        <w:rPr>
          <w:rFonts w:cstheme="minorHAnsi"/>
        </w:rPr>
        <w:t xml:space="preserve"> the gNB may not be able to send the random access </w:t>
      </w:r>
      <w:r w:rsidRPr="00726D0A">
        <w:rPr>
          <w:rFonts w:cstheme="minorHAnsi"/>
        </w:rPr>
        <w:t>response messag</w:t>
      </w:r>
      <w:r>
        <w:rPr>
          <w:rFonts w:cstheme="minorHAnsi"/>
        </w:rPr>
        <w:t>e if LBT fails. In existing NR, the g</w:t>
      </w:r>
      <w:r w:rsidRPr="00726D0A">
        <w:rPr>
          <w:rFonts w:cstheme="minorHAnsi"/>
        </w:rPr>
        <w:t>NB can send the</w:t>
      </w:r>
      <w:r>
        <w:rPr>
          <w:rFonts w:cstheme="minorHAnsi"/>
        </w:rPr>
        <w:t xml:space="preserve"> random access</w:t>
      </w:r>
      <w:r w:rsidRPr="00726D0A">
        <w:rPr>
          <w:rFonts w:cstheme="minorHAnsi"/>
        </w:rPr>
        <w:t xml:space="preserve"> response within a </w:t>
      </w:r>
      <w:r>
        <w:rPr>
          <w:rFonts w:cstheme="minorHAnsi"/>
        </w:rPr>
        <w:t xml:space="preserve">maximum length of 10ms RA-window and this can have different slot configuration {1, </w:t>
      </w:r>
      <w:r w:rsidRPr="00726D0A">
        <w:rPr>
          <w:rFonts w:cstheme="minorHAnsi"/>
        </w:rPr>
        <w:t>2,</w:t>
      </w:r>
      <w:r>
        <w:rPr>
          <w:rFonts w:cstheme="minorHAnsi"/>
        </w:rPr>
        <w:t xml:space="preserve"> </w:t>
      </w:r>
      <w:r w:rsidRPr="00726D0A">
        <w:rPr>
          <w:rFonts w:cstheme="minorHAnsi"/>
        </w:rPr>
        <w:t>4,</w:t>
      </w:r>
      <w:r>
        <w:rPr>
          <w:rFonts w:cstheme="minorHAnsi"/>
        </w:rPr>
        <w:t xml:space="preserve"> </w:t>
      </w:r>
      <w:r w:rsidRPr="00726D0A">
        <w:rPr>
          <w:rFonts w:cstheme="minorHAnsi"/>
        </w:rPr>
        <w:t>8,</w:t>
      </w:r>
      <w:r>
        <w:rPr>
          <w:rFonts w:cstheme="minorHAnsi"/>
        </w:rPr>
        <w:t xml:space="preserve"> </w:t>
      </w:r>
      <w:r w:rsidRPr="00726D0A">
        <w:rPr>
          <w:rFonts w:cstheme="minorHAnsi"/>
        </w:rPr>
        <w:t>10,</w:t>
      </w:r>
      <w:r>
        <w:rPr>
          <w:rFonts w:cstheme="minorHAnsi"/>
        </w:rPr>
        <w:t xml:space="preserve"> </w:t>
      </w:r>
      <w:r w:rsidRPr="00726D0A">
        <w:rPr>
          <w:rFonts w:cstheme="minorHAnsi"/>
        </w:rPr>
        <w:t>20,</w:t>
      </w:r>
      <w:r>
        <w:rPr>
          <w:rFonts w:cstheme="minorHAnsi"/>
        </w:rPr>
        <w:t xml:space="preserve"> </w:t>
      </w:r>
      <w:r w:rsidRPr="00726D0A">
        <w:rPr>
          <w:rFonts w:cstheme="minorHAnsi"/>
        </w:rPr>
        <w:t>40,</w:t>
      </w:r>
      <w:r>
        <w:rPr>
          <w:rFonts w:cstheme="minorHAnsi"/>
        </w:rPr>
        <w:t xml:space="preserve"> </w:t>
      </w:r>
      <w:r w:rsidRPr="00726D0A">
        <w:rPr>
          <w:rFonts w:cstheme="minorHAnsi"/>
        </w:rPr>
        <w:t>80</w:t>
      </w:r>
      <w:r>
        <w:rPr>
          <w:rFonts w:cstheme="minorHAnsi"/>
        </w:rPr>
        <w:t>} and the length of the RA-window depends on the slot length determined by the RAR numerology</w:t>
      </w:r>
      <w:r w:rsidRPr="00726D0A">
        <w:rPr>
          <w:rFonts w:cstheme="minorHAnsi"/>
        </w:rPr>
        <w:t xml:space="preserve">. </w:t>
      </w:r>
    </w:p>
    <w:p w14:paraId="09CFC00C" w14:textId="3574EA5A" w:rsidR="001D4F14" w:rsidRDefault="001D4F14" w:rsidP="001D4F14">
      <w:pPr>
        <w:rPr>
          <w:rFonts w:cstheme="minorHAnsi"/>
        </w:rPr>
      </w:pPr>
      <w:r>
        <w:rPr>
          <w:rFonts w:cstheme="minorHAnsi"/>
        </w:rPr>
        <w:t>In order</w:t>
      </w:r>
      <w:r w:rsidRPr="00726D0A">
        <w:rPr>
          <w:rFonts w:cstheme="minorHAnsi"/>
        </w:rPr>
        <w:t xml:space="preserve"> to accom</w:t>
      </w:r>
      <w:r>
        <w:rPr>
          <w:rFonts w:cstheme="minorHAnsi"/>
        </w:rPr>
        <w:t>modate for the LBT failure at g</w:t>
      </w:r>
      <w:r w:rsidRPr="00726D0A">
        <w:rPr>
          <w:rFonts w:cstheme="minorHAnsi"/>
        </w:rPr>
        <w:t>NB</w:t>
      </w:r>
      <w:r>
        <w:rPr>
          <w:rFonts w:cstheme="minorHAnsi"/>
        </w:rPr>
        <w:t xml:space="preserve">, </w:t>
      </w:r>
      <w:r w:rsidR="0020143A">
        <w:rPr>
          <w:rFonts w:cstheme="minorHAnsi"/>
        </w:rPr>
        <w:t>RAN2 should consider methods to overcome possible RAR transmission failure due to LBT (e.g. increasing the RAR-window to more than 10ms etc.)</w:t>
      </w:r>
      <w:r w:rsidRPr="00726D0A">
        <w:rPr>
          <w:rFonts w:cstheme="minorHAnsi"/>
        </w:rPr>
        <w:t>. If this is not done,</w:t>
      </w:r>
      <w:r>
        <w:rPr>
          <w:rFonts w:cstheme="minorHAnsi"/>
        </w:rPr>
        <w:t xml:space="preserve"> even if the g</w:t>
      </w:r>
      <w:r w:rsidRPr="00726D0A">
        <w:rPr>
          <w:rFonts w:cstheme="minorHAnsi"/>
        </w:rPr>
        <w:t xml:space="preserve">NB receives the preamble from a UE, the UE may have to restart the random access procedure </w:t>
      </w:r>
      <w:r>
        <w:rPr>
          <w:rFonts w:cstheme="minorHAnsi"/>
        </w:rPr>
        <w:t>if the g</w:t>
      </w:r>
      <w:r w:rsidRPr="00726D0A">
        <w:rPr>
          <w:rFonts w:cstheme="minorHAnsi"/>
        </w:rPr>
        <w:t xml:space="preserve">NB </w:t>
      </w:r>
      <w:r>
        <w:rPr>
          <w:rFonts w:cstheme="minorHAnsi"/>
        </w:rPr>
        <w:t xml:space="preserve">fails </w:t>
      </w:r>
      <w:r w:rsidRPr="00726D0A">
        <w:rPr>
          <w:rFonts w:cstheme="minorHAnsi"/>
        </w:rPr>
        <w:t xml:space="preserve">to respond within the window. This may increase the RACH latency which may </w:t>
      </w:r>
      <w:r>
        <w:rPr>
          <w:rFonts w:cstheme="minorHAnsi"/>
        </w:rPr>
        <w:t>result in</w:t>
      </w:r>
      <w:r w:rsidR="007C681D">
        <w:rPr>
          <w:rFonts w:cstheme="minorHAnsi"/>
        </w:rPr>
        <w:t xml:space="preserve"> higher</w:t>
      </w:r>
      <w:r w:rsidRPr="00726D0A">
        <w:rPr>
          <w:rFonts w:cstheme="minorHAnsi"/>
        </w:rPr>
        <w:t xml:space="preserve"> interruption time of handover and re-establishment, generate unnecessary UL interference because of power ramping in the subsequent preamble transmission and further UE power consumption.</w:t>
      </w:r>
    </w:p>
    <w:p w14:paraId="67FA160A" w14:textId="62C07D16" w:rsidR="001D4F14" w:rsidRDefault="005C2ACF" w:rsidP="001D4F14">
      <w:pPr>
        <w:rPr>
          <w:rFonts w:cstheme="minorHAnsi"/>
        </w:rPr>
      </w:pPr>
      <w:r>
        <w:rPr>
          <w:rFonts w:cstheme="minorHAnsi"/>
          <w:b/>
        </w:rPr>
        <w:t>Proposal#4</w:t>
      </w:r>
      <w:r w:rsidR="001D4F14" w:rsidRPr="001D4F14">
        <w:rPr>
          <w:rFonts w:cstheme="minorHAnsi"/>
          <w:b/>
        </w:rPr>
        <w:t>:</w:t>
      </w:r>
      <w:r w:rsidR="001D4F14">
        <w:rPr>
          <w:rFonts w:cstheme="minorHAnsi"/>
        </w:rPr>
        <w:t xml:space="preserve"> RAN2 should consider </w:t>
      </w:r>
      <w:r w:rsidR="0020143A">
        <w:rPr>
          <w:rFonts w:cstheme="minorHAnsi"/>
        </w:rPr>
        <w:t xml:space="preserve">methods to overcome possible RAR transmission failure due to LBT (e.g. </w:t>
      </w:r>
      <w:r w:rsidR="001D4F14">
        <w:rPr>
          <w:rFonts w:cstheme="minorHAnsi"/>
        </w:rPr>
        <w:t>increasing the RAR-window to more th</w:t>
      </w:r>
      <w:r w:rsidR="000E1452">
        <w:rPr>
          <w:rFonts w:cstheme="minorHAnsi"/>
        </w:rPr>
        <w:t>an 10ms</w:t>
      </w:r>
      <w:r w:rsidR="0020143A">
        <w:rPr>
          <w:rFonts w:cstheme="minorHAnsi"/>
        </w:rPr>
        <w:t xml:space="preserve"> etc</w:t>
      </w:r>
      <w:r w:rsidR="000E1452">
        <w:rPr>
          <w:rFonts w:cstheme="minorHAnsi"/>
        </w:rPr>
        <w:t>.</w:t>
      </w:r>
      <w:r w:rsidR="0020143A">
        <w:rPr>
          <w:rFonts w:cstheme="minorHAnsi"/>
        </w:rPr>
        <w:t>)</w:t>
      </w:r>
    </w:p>
    <w:p w14:paraId="002C7992" w14:textId="5CC7129E" w:rsidR="001D4F14" w:rsidRDefault="004F6018" w:rsidP="004F6018">
      <w:pPr>
        <w:pStyle w:val="Heading2"/>
        <w:rPr>
          <w:lang w:val="en-US"/>
        </w:rPr>
      </w:pPr>
      <w:r>
        <w:rPr>
          <w:lang w:val="en-US"/>
        </w:rPr>
        <w:lastRenderedPageBreak/>
        <w:t>Msg3 transmission</w:t>
      </w:r>
    </w:p>
    <w:p w14:paraId="5C2210F0" w14:textId="647D9000" w:rsidR="004F6018" w:rsidRDefault="007A2902" w:rsidP="004F6018">
      <w:pPr>
        <w:rPr>
          <w:rFonts w:cstheme="minorHAnsi"/>
        </w:rPr>
      </w:pPr>
      <w:r>
        <w:rPr>
          <w:rFonts w:cstheme="minorHAnsi"/>
        </w:rPr>
        <w:t>Due to LBT failure</w:t>
      </w:r>
      <w:r w:rsidRPr="00807002">
        <w:rPr>
          <w:rFonts w:cstheme="minorHAnsi"/>
        </w:rPr>
        <w:t xml:space="preserve">, the UE may not be able to use the UL grant provided in RAR </w:t>
      </w:r>
      <w:r>
        <w:rPr>
          <w:rFonts w:cstheme="minorHAnsi"/>
        </w:rPr>
        <w:t xml:space="preserve">to transmit the Msg3 </w:t>
      </w:r>
      <w:r w:rsidRPr="00807002">
        <w:rPr>
          <w:rFonts w:cstheme="minorHAnsi"/>
        </w:rPr>
        <w:t xml:space="preserve">and will have to wait for the retransmission </w:t>
      </w:r>
      <w:r>
        <w:rPr>
          <w:rFonts w:cstheme="minorHAnsi"/>
        </w:rPr>
        <w:t xml:space="preserve">UL </w:t>
      </w:r>
      <w:r w:rsidRPr="00807002">
        <w:rPr>
          <w:rFonts w:cstheme="minorHAnsi"/>
        </w:rPr>
        <w:t xml:space="preserve">grant from the network in order to transmit the Msg3. This may result in </w:t>
      </w:r>
      <w:r>
        <w:rPr>
          <w:rFonts w:cstheme="minorHAnsi"/>
        </w:rPr>
        <w:t xml:space="preserve">further access latency. If </w:t>
      </w:r>
      <w:r w:rsidRPr="00807002">
        <w:rPr>
          <w:rFonts w:cstheme="minorHAnsi"/>
        </w:rPr>
        <w:t xml:space="preserve">retransmission </w:t>
      </w:r>
      <w:r>
        <w:rPr>
          <w:rFonts w:cstheme="minorHAnsi"/>
        </w:rPr>
        <w:t xml:space="preserve">UL </w:t>
      </w:r>
      <w:r w:rsidRPr="00807002">
        <w:rPr>
          <w:rFonts w:cstheme="minorHAnsi"/>
        </w:rPr>
        <w:t>grant is</w:t>
      </w:r>
      <w:r>
        <w:rPr>
          <w:rFonts w:cstheme="minorHAnsi"/>
        </w:rPr>
        <w:t xml:space="preserve"> not</w:t>
      </w:r>
      <w:r w:rsidRPr="00807002">
        <w:rPr>
          <w:rFonts w:cstheme="minorHAnsi"/>
        </w:rPr>
        <w:t xml:space="preserve"> received within the macContentionResolutionTimer, the UE restart the whole RACH procedure adding to the </w:t>
      </w:r>
      <w:r>
        <w:rPr>
          <w:rFonts w:cstheme="minorHAnsi"/>
        </w:rPr>
        <w:t xml:space="preserve">access </w:t>
      </w:r>
      <w:r w:rsidRPr="00807002">
        <w:rPr>
          <w:rFonts w:cstheme="minorHAnsi"/>
        </w:rPr>
        <w:t>delay</w:t>
      </w:r>
      <w:r>
        <w:rPr>
          <w:rFonts w:cstheme="minorHAnsi"/>
        </w:rPr>
        <w:t xml:space="preserve"> as well as unnecessary increasing of UL interference due to power ramping and further UE power consumption.</w:t>
      </w:r>
    </w:p>
    <w:p w14:paraId="31A70024" w14:textId="2914D824" w:rsidR="007A2902" w:rsidRDefault="007A2902" w:rsidP="004F6018">
      <w:pPr>
        <w:rPr>
          <w:rFonts w:cstheme="minorHAnsi"/>
        </w:rPr>
      </w:pPr>
      <w:r>
        <w:rPr>
          <w:rFonts w:cstheme="minorHAnsi"/>
        </w:rPr>
        <w:t>Faster Msg3 retransmission can be introduced, e.g. UE is provided with multiple grant for use in different time/slot instance. RAN2 should discuss whether faster Msg3 retransmission can be introduced.</w:t>
      </w:r>
    </w:p>
    <w:p w14:paraId="3789A420" w14:textId="42DCEE4C" w:rsidR="007A2902" w:rsidRDefault="005C2ACF" w:rsidP="004F6018">
      <w:pPr>
        <w:rPr>
          <w:rFonts w:eastAsia="Malgun Gothic"/>
          <w:lang w:eastAsia="ko-KR"/>
        </w:rPr>
      </w:pPr>
      <w:r>
        <w:rPr>
          <w:rFonts w:cstheme="minorHAnsi"/>
          <w:b/>
        </w:rPr>
        <w:t>Proposal#5</w:t>
      </w:r>
      <w:r w:rsidR="007A2902" w:rsidRPr="007A2902">
        <w:rPr>
          <w:rFonts w:cstheme="minorHAnsi"/>
          <w:b/>
        </w:rPr>
        <w:t>:</w:t>
      </w:r>
      <w:r w:rsidR="007A2902">
        <w:rPr>
          <w:rFonts w:cstheme="minorHAnsi"/>
        </w:rPr>
        <w:t xml:space="preserve"> As baseline, </w:t>
      </w:r>
      <w:r w:rsidR="007A2902">
        <w:rPr>
          <w:rFonts w:eastAsia="Malgun Gothic"/>
          <w:lang w:eastAsia="ko-KR"/>
        </w:rPr>
        <w:t>the UE keeps the generated Msg3</w:t>
      </w:r>
      <w:r w:rsidR="007A2902" w:rsidRPr="001439F7">
        <w:rPr>
          <w:rFonts w:eastAsia="Malgun Gothic"/>
          <w:lang w:eastAsia="ko-KR"/>
        </w:rPr>
        <w:t xml:space="preserve"> in </w:t>
      </w:r>
      <w:r w:rsidR="007A2902">
        <w:rPr>
          <w:rFonts w:eastAsia="Malgun Gothic"/>
          <w:lang w:eastAsia="ko-KR"/>
        </w:rPr>
        <w:t xml:space="preserve">Msg3 </w:t>
      </w:r>
      <w:r w:rsidR="007A2902" w:rsidRPr="001439F7">
        <w:rPr>
          <w:rFonts w:eastAsia="Malgun Gothic"/>
          <w:lang w:eastAsia="ko-KR"/>
        </w:rPr>
        <w:t>HARQ buffer and wait for the</w:t>
      </w:r>
      <w:r w:rsidR="007A2902">
        <w:rPr>
          <w:rFonts w:eastAsia="Malgun Gothic"/>
          <w:lang w:eastAsia="ko-KR"/>
        </w:rPr>
        <w:t xml:space="preserve"> Msg3 UL grant for the</w:t>
      </w:r>
      <w:r w:rsidR="007A2902" w:rsidRPr="001439F7">
        <w:rPr>
          <w:rFonts w:eastAsia="Malgun Gothic"/>
          <w:lang w:eastAsia="ko-KR"/>
        </w:rPr>
        <w:t xml:space="preserve"> next retransmiss</w:t>
      </w:r>
      <w:r w:rsidR="007A2902">
        <w:rPr>
          <w:rFonts w:eastAsia="Malgun Gothic"/>
          <w:lang w:eastAsia="ko-KR"/>
        </w:rPr>
        <w:t xml:space="preserve">ion if UE fails </w:t>
      </w:r>
      <w:r w:rsidR="007A2902" w:rsidRPr="001439F7">
        <w:rPr>
          <w:rFonts w:eastAsia="Malgun Gothic"/>
          <w:lang w:eastAsia="ko-KR"/>
        </w:rPr>
        <w:t>LBT</w:t>
      </w:r>
      <w:r w:rsidR="007A2902">
        <w:rPr>
          <w:rFonts w:eastAsia="Malgun Gothic"/>
          <w:lang w:eastAsia="ko-KR"/>
        </w:rPr>
        <w:t xml:space="preserve"> for Msg3 (re)transmission</w:t>
      </w:r>
      <w:r w:rsidR="007A2902" w:rsidRPr="001439F7">
        <w:rPr>
          <w:rFonts w:eastAsia="Malgun Gothic"/>
          <w:lang w:eastAsia="ko-KR"/>
        </w:rPr>
        <w:t xml:space="preserve">.  </w:t>
      </w:r>
    </w:p>
    <w:p w14:paraId="400A2CC3" w14:textId="3A212933" w:rsidR="007A2902" w:rsidRPr="004F6018" w:rsidRDefault="005C2ACF" w:rsidP="004F6018">
      <w:pPr>
        <w:rPr>
          <w:lang w:val="en-US"/>
        </w:rPr>
      </w:pPr>
      <w:r>
        <w:rPr>
          <w:rFonts w:eastAsia="Malgun Gothic"/>
          <w:b/>
          <w:lang w:eastAsia="ko-KR"/>
        </w:rPr>
        <w:t>Proposal#6</w:t>
      </w:r>
      <w:r w:rsidR="007A2902" w:rsidRPr="007A2902">
        <w:rPr>
          <w:rFonts w:eastAsia="Malgun Gothic"/>
          <w:b/>
          <w:lang w:eastAsia="ko-KR"/>
        </w:rPr>
        <w:t xml:space="preserve">: </w:t>
      </w:r>
      <w:r w:rsidR="007A2902">
        <w:rPr>
          <w:rFonts w:cstheme="minorHAnsi"/>
        </w:rPr>
        <w:t>RAN2 should discuss whether faster Msg3 retransmission can be introduced.</w:t>
      </w:r>
    </w:p>
    <w:p w14:paraId="42ED6231" w14:textId="314E8E70" w:rsidR="007A2902" w:rsidRDefault="007A2902" w:rsidP="007A2902">
      <w:pPr>
        <w:pStyle w:val="Heading2"/>
        <w:rPr>
          <w:lang w:val="en-US"/>
        </w:rPr>
      </w:pPr>
      <w:r>
        <w:rPr>
          <w:lang w:val="en-US"/>
        </w:rPr>
        <w:t>Msg4 reception</w:t>
      </w:r>
    </w:p>
    <w:p w14:paraId="0CE5F1F5" w14:textId="77777777" w:rsidR="00AF4AB4" w:rsidRDefault="00AF4AB4" w:rsidP="00AF4AB4">
      <w:pPr>
        <w:jc w:val="both"/>
      </w:pPr>
      <w:r>
        <w:t>The MAC resolution timer has to be configured appropriately to take into consideration of the delay incurred by eNB LBT.</w:t>
      </w:r>
    </w:p>
    <w:p w14:paraId="71160A42" w14:textId="431D3855" w:rsidR="005E6B4D" w:rsidRDefault="005E6B4D" w:rsidP="005E6B4D">
      <w:pPr>
        <w:pStyle w:val="Heading2"/>
        <w:rPr>
          <w:lang w:val="en-US"/>
        </w:rPr>
      </w:pPr>
      <w:r>
        <w:rPr>
          <w:lang w:val="en-US"/>
        </w:rPr>
        <w:t>Other enhancements:</w:t>
      </w:r>
    </w:p>
    <w:p w14:paraId="5306F469" w14:textId="5D1326FC" w:rsidR="005E6B4D" w:rsidRDefault="005E6B4D" w:rsidP="005E6B4D">
      <w:pPr>
        <w:pStyle w:val="N1"/>
        <w:spacing w:after="120"/>
        <w:ind w:left="0"/>
        <w:jc w:val="both"/>
      </w:pPr>
      <w:r>
        <w:t>In NR, RACH differentiation is introduced which allows for 2 levels (normal vs prioritized). Currently only backoff and/or power ramping are applicable for differentiation. With NR unlicensed, channel access procedure parameters can also be introduced for RACH differentiation – LBT type (25us LBT, or CAT4 LBT) and the LBT CA</w:t>
      </w:r>
      <w:r w:rsidR="0020143A">
        <w:t>T 4 priority class. For example:</w:t>
      </w:r>
    </w:p>
    <w:p w14:paraId="4CDB50B0" w14:textId="77777777" w:rsidR="005E6B4D" w:rsidRDefault="005E6B4D" w:rsidP="005E6B4D">
      <w:pPr>
        <w:pStyle w:val="N1"/>
        <w:spacing w:after="120"/>
        <w:ind w:left="0"/>
        <w:jc w:val="both"/>
      </w:pPr>
      <w:r>
        <w:t>For beam failure recovery, the network can configure via broadcast or dedicated signaling the LBT type and the LBT CAT 4 priority class for PRACH transmission used for the recovery.</w:t>
      </w:r>
    </w:p>
    <w:p w14:paraId="14B34309" w14:textId="77777777" w:rsidR="005E6B4D" w:rsidRDefault="005E6B4D" w:rsidP="005E6B4D">
      <w:pPr>
        <w:pStyle w:val="N1"/>
        <w:spacing w:after="120"/>
        <w:ind w:left="0"/>
        <w:jc w:val="both"/>
      </w:pPr>
      <w:r>
        <w:t>For handover, the network can configure via broadcast or dedicated signaling the LBT type and the LBT CAT 4 priority class for PRACH transmission used for the handover</w:t>
      </w:r>
    </w:p>
    <w:p w14:paraId="4CCF6523" w14:textId="4D477D16" w:rsidR="00AC1ECD" w:rsidRPr="00A6562C" w:rsidRDefault="005C2ACF" w:rsidP="005E6B4D">
      <w:pPr>
        <w:rPr>
          <w:lang w:val="en-US"/>
        </w:rPr>
      </w:pPr>
      <w:r>
        <w:rPr>
          <w:b/>
          <w:lang w:val="en-US"/>
        </w:rPr>
        <w:t>Proposal#</w:t>
      </w:r>
      <w:r w:rsidR="00AF4AB4">
        <w:rPr>
          <w:b/>
          <w:lang w:val="en-US"/>
        </w:rPr>
        <w:t>7</w:t>
      </w:r>
      <w:r w:rsidR="005E6B4D" w:rsidRPr="00A6562C">
        <w:rPr>
          <w:b/>
          <w:lang w:val="en-US"/>
        </w:rPr>
        <w:t>:</w:t>
      </w:r>
      <w:r w:rsidR="00A6562C" w:rsidRPr="00A6562C">
        <w:rPr>
          <w:b/>
          <w:lang w:val="en-US"/>
        </w:rPr>
        <w:t xml:space="preserve"> </w:t>
      </w:r>
      <w:r>
        <w:rPr>
          <w:lang w:val="en-US"/>
        </w:rPr>
        <w:t xml:space="preserve">Introduce channel access procedure parameters to RACH differentiation (LBT type and LBT CAT4 priority class). </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570F81B2" w14:textId="77777777" w:rsidR="0021355D" w:rsidRDefault="0021355D" w:rsidP="0021355D">
      <w:r w:rsidRPr="00D26324">
        <w:rPr>
          <w:b/>
        </w:rPr>
        <w:t>Proposal#1:</w:t>
      </w:r>
      <w:r>
        <w:t xml:space="preserve"> The following agreements from eLAA can be included for NR random access procedure:</w:t>
      </w:r>
    </w:p>
    <w:p w14:paraId="08EF629C" w14:textId="77777777" w:rsidR="0021355D" w:rsidRDefault="0021355D" w:rsidP="0021355D">
      <w:pPr>
        <w:pStyle w:val="ListParagraph"/>
        <w:numPr>
          <w:ilvl w:val="0"/>
          <w:numId w:val="47"/>
        </w:numPr>
      </w:pPr>
      <w:r>
        <w:t>The UE does not increase the preamble transmission power when a preamble is not transmitted due to LBT.</w:t>
      </w:r>
    </w:p>
    <w:p w14:paraId="62A69F16" w14:textId="77777777" w:rsidR="0021355D" w:rsidRDefault="0021355D" w:rsidP="0021355D">
      <w:pPr>
        <w:pStyle w:val="ListParagraph"/>
        <w:numPr>
          <w:ilvl w:val="0"/>
          <w:numId w:val="47"/>
        </w:numPr>
      </w:pPr>
      <w:r>
        <w:t>The RA preamble (re)transmission should always be in the same serving cell.</w:t>
      </w:r>
    </w:p>
    <w:p w14:paraId="705632AF" w14:textId="77777777" w:rsidR="0021355D" w:rsidRPr="0021355D" w:rsidRDefault="0021355D" w:rsidP="0021355D">
      <w:pPr>
        <w:rPr>
          <w:rFonts w:cstheme="minorHAnsi"/>
        </w:rPr>
      </w:pPr>
      <w:r w:rsidRPr="0021355D">
        <w:rPr>
          <w:rFonts w:cstheme="minorHAnsi"/>
          <w:b/>
        </w:rPr>
        <w:t>Proposal#2:</w:t>
      </w:r>
      <w:r w:rsidRPr="0021355D">
        <w:rPr>
          <w:rFonts w:cstheme="minorHAnsi"/>
        </w:rPr>
        <w:t xml:space="preserve"> Upon LBT failure of the preamble (re)transmission, the UE can trigger preamble retransmission in the next available PRACH occasion.</w:t>
      </w:r>
    </w:p>
    <w:p w14:paraId="2C59793D" w14:textId="77777777" w:rsidR="005C2ACF" w:rsidRPr="00830BEB" w:rsidRDefault="005C2ACF" w:rsidP="005C2ACF">
      <w:pPr>
        <w:rPr>
          <w:rFonts w:cstheme="minorHAnsi"/>
          <w:lang w:val="en-US"/>
        </w:rPr>
      </w:pPr>
      <w:r>
        <w:rPr>
          <w:rFonts w:cstheme="minorHAnsi"/>
          <w:b/>
        </w:rPr>
        <w:t>Proposal#3</w:t>
      </w:r>
      <w:r w:rsidRPr="001D4F14">
        <w:rPr>
          <w:rFonts w:cstheme="minorHAnsi"/>
          <w:b/>
        </w:rPr>
        <w:t>:</w:t>
      </w:r>
      <w:r>
        <w:rPr>
          <w:rFonts w:cstheme="minorHAnsi"/>
        </w:rPr>
        <w:t xml:space="preserve"> RAN2 can study whether it beneficial to introduce multiple UL BWPs configured for PRACH (re)transmission.</w:t>
      </w:r>
    </w:p>
    <w:p w14:paraId="3C7A2C24" w14:textId="77777777" w:rsidR="0020143A" w:rsidRDefault="0020143A" w:rsidP="0020143A">
      <w:pPr>
        <w:rPr>
          <w:rFonts w:cstheme="minorHAnsi"/>
        </w:rPr>
      </w:pPr>
      <w:r>
        <w:rPr>
          <w:rFonts w:cstheme="minorHAnsi"/>
          <w:b/>
        </w:rPr>
        <w:t>Proposal#4</w:t>
      </w:r>
      <w:r w:rsidRPr="001D4F14">
        <w:rPr>
          <w:rFonts w:cstheme="minorHAnsi"/>
          <w:b/>
        </w:rPr>
        <w:t>:</w:t>
      </w:r>
      <w:r>
        <w:rPr>
          <w:rFonts w:cstheme="minorHAnsi"/>
        </w:rPr>
        <w:t xml:space="preserve"> RAN2 should consider methods to overcome possible RAR transmission failure due to LBT (e.g. increasing the RAR-window to more than 10ms etc.)</w:t>
      </w:r>
    </w:p>
    <w:p w14:paraId="7AFFD6A2" w14:textId="3819E24E" w:rsidR="005C2ACF" w:rsidRDefault="005C2ACF" w:rsidP="005C2ACF">
      <w:pPr>
        <w:rPr>
          <w:rFonts w:eastAsia="Malgun Gothic"/>
          <w:lang w:eastAsia="ko-KR"/>
        </w:rPr>
      </w:pPr>
      <w:r>
        <w:rPr>
          <w:rFonts w:cstheme="minorHAnsi"/>
          <w:b/>
        </w:rPr>
        <w:lastRenderedPageBreak/>
        <w:t>Proposal#5</w:t>
      </w:r>
      <w:r w:rsidRPr="007A2902">
        <w:rPr>
          <w:rFonts w:cstheme="minorHAnsi"/>
          <w:b/>
        </w:rPr>
        <w:t>:</w:t>
      </w:r>
      <w:r>
        <w:rPr>
          <w:rFonts w:cstheme="minorHAnsi"/>
        </w:rPr>
        <w:t xml:space="preserve"> As baseline, </w:t>
      </w:r>
      <w:r>
        <w:rPr>
          <w:rFonts w:eastAsia="Malgun Gothic"/>
          <w:lang w:eastAsia="ko-KR"/>
        </w:rPr>
        <w:t>the UE keeps the generated Msg3</w:t>
      </w:r>
      <w:r w:rsidRPr="001439F7">
        <w:rPr>
          <w:rFonts w:eastAsia="Malgun Gothic"/>
          <w:lang w:eastAsia="ko-KR"/>
        </w:rPr>
        <w:t xml:space="preserve"> in </w:t>
      </w:r>
      <w:r>
        <w:rPr>
          <w:rFonts w:eastAsia="Malgun Gothic"/>
          <w:lang w:eastAsia="ko-KR"/>
        </w:rPr>
        <w:t xml:space="preserve">Msg3 </w:t>
      </w:r>
      <w:r w:rsidRPr="001439F7">
        <w:rPr>
          <w:rFonts w:eastAsia="Malgun Gothic"/>
          <w:lang w:eastAsia="ko-KR"/>
        </w:rPr>
        <w:t>HARQ buffer and wait for the</w:t>
      </w:r>
      <w:r>
        <w:rPr>
          <w:rFonts w:eastAsia="Malgun Gothic"/>
          <w:lang w:eastAsia="ko-KR"/>
        </w:rPr>
        <w:t xml:space="preserve"> Msg3 UL grant for the</w:t>
      </w:r>
      <w:r w:rsidRPr="001439F7">
        <w:rPr>
          <w:rFonts w:eastAsia="Malgun Gothic"/>
          <w:lang w:eastAsia="ko-KR"/>
        </w:rPr>
        <w:t xml:space="preserve"> next retransmiss</w:t>
      </w:r>
      <w:r>
        <w:rPr>
          <w:rFonts w:eastAsia="Malgun Gothic"/>
          <w:lang w:eastAsia="ko-KR"/>
        </w:rPr>
        <w:t xml:space="preserve">ion if UE fails </w:t>
      </w:r>
      <w:r w:rsidRPr="001439F7">
        <w:rPr>
          <w:rFonts w:eastAsia="Malgun Gothic"/>
          <w:lang w:eastAsia="ko-KR"/>
        </w:rPr>
        <w:t>LBT</w:t>
      </w:r>
      <w:r>
        <w:rPr>
          <w:rFonts w:eastAsia="Malgun Gothic"/>
          <w:lang w:eastAsia="ko-KR"/>
        </w:rPr>
        <w:t xml:space="preserve"> for Msg3 (re)transmission</w:t>
      </w:r>
      <w:r w:rsidRPr="001439F7">
        <w:rPr>
          <w:rFonts w:eastAsia="Malgun Gothic"/>
          <w:lang w:eastAsia="ko-KR"/>
        </w:rPr>
        <w:t xml:space="preserve">.  </w:t>
      </w:r>
    </w:p>
    <w:p w14:paraId="43D9F911" w14:textId="5E7ADA73" w:rsidR="005C2ACF" w:rsidRPr="004F6018" w:rsidRDefault="005C2ACF" w:rsidP="005C2ACF">
      <w:pPr>
        <w:rPr>
          <w:lang w:val="en-US"/>
        </w:rPr>
      </w:pPr>
      <w:r>
        <w:rPr>
          <w:rFonts w:eastAsia="Malgun Gothic"/>
          <w:b/>
          <w:lang w:eastAsia="ko-KR"/>
        </w:rPr>
        <w:t>Proposal#6</w:t>
      </w:r>
      <w:r w:rsidRPr="007A2902">
        <w:rPr>
          <w:rFonts w:eastAsia="Malgun Gothic"/>
          <w:b/>
          <w:lang w:eastAsia="ko-KR"/>
        </w:rPr>
        <w:t xml:space="preserve">: </w:t>
      </w:r>
      <w:r>
        <w:rPr>
          <w:rFonts w:cstheme="minorHAnsi"/>
        </w:rPr>
        <w:t>RAN2 should discuss whether faster Msg3 retransmission can be introduced.</w:t>
      </w:r>
    </w:p>
    <w:p w14:paraId="28D110F1" w14:textId="6BE41950" w:rsidR="005C2ACF" w:rsidRPr="00A6562C" w:rsidRDefault="00AF4AB4" w:rsidP="005C2ACF">
      <w:pPr>
        <w:rPr>
          <w:lang w:val="en-US"/>
        </w:rPr>
      </w:pPr>
      <w:r>
        <w:rPr>
          <w:b/>
          <w:lang w:val="en-US"/>
        </w:rPr>
        <w:t>Proposal#7</w:t>
      </w:r>
      <w:r w:rsidR="005C2ACF" w:rsidRPr="00A6562C">
        <w:rPr>
          <w:b/>
          <w:lang w:val="en-US"/>
        </w:rPr>
        <w:t xml:space="preserve">: </w:t>
      </w:r>
      <w:r w:rsidR="005C2ACF">
        <w:rPr>
          <w:lang w:val="en-US"/>
        </w:rPr>
        <w:t xml:space="preserve">Introduce channel access procedure parameters to RACH differentiation (LBT type and LBT CAT4 priority class). </w:t>
      </w:r>
    </w:p>
    <w:p w14:paraId="602B8C7F" w14:textId="7D1776BF" w:rsidR="002A0563" w:rsidRDefault="002A0563" w:rsidP="002A0563">
      <w:pPr>
        <w:pStyle w:val="Heading1"/>
      </w:pPr>
      <w:r>
        <w:t>Reference</w:t>
      </w:r>
      <w:r w:rsidR="00543729">
        <w:t>s</w:t>
      </w:r>
    </w:p>
    <w:p w14:paraId="7788F279" w14:textId="73107852" w:rsidR="002A0563" w:rsidRDefault="002A0563" w:rsidP="002A0563">
      <w:r>
        <w:t xml:space="preserve">[1] </w:t>
      </w:r>
      <w:r w:rsidR="00AF4AB4">
        <w:t>RP</w:t>
      </w:r>
      <w:r w:rsidR="007C681D">
        <w:t xml:space="preserve">-270838 </w:t>
      </w:r>
      <w:r w:rsidR="007C681D" w:rsidRPr="007C681D">
        <w:rPr>
          <w:rFonts w:eastAsia="Batang" w:cstheme="minorHAnsi"/>
          <w:lang w:eastAsia="zh-CN"/>
        </w:rPr>
        <w:t>New SID on NR-based Access to Unlicensed Spectrum</w:t>
      </w:r>
    </w:p>
    <w:p w14:paraId="187B251C" w14:textId="126C0EF6" w:rsidR="002A0563" w:rsidRPr="002A0563" w:rsidRDefault="002A0563" w:rsidP="002A0563"/>
    <w:sectPr w:rsidR="002A0563" w:rsidRPr="002A056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6AAB5" w14:textId="77777777" w:rsidR="00A53F3C" w:rsidRDefault="00A53F3C" w:rsidP="00DF7110">
      <w:pPr>
        <w:spacing w:after="0" w:line="240" w:lineRule="auto"/>
      </w:pPr>
      <w:r>
        <w:separator/>
      </w:r>
    </w:p>
  </w:endnote>
  <w:endnote w:type="continuationSeparator" w:id="0">
    <w:p w14:paraId="554832E2" w14:textId="77777777" w:rsidR="00A53F3C" w:rsidRDefault="00A53F3C"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8E43E" w14:textId="77777777" w:rsidR="00A53F3C" w:rsidRDefault="00A53F3C" w:rsidP="00DF7110">
      <w:pPr>
        <w:spacing w:after="0" w:line="240" w:lineRule="auto"/>
      </w:pPr>
      <w:r>
        <w:separator/>
      </w:r>
    </w:p>
  </w:footnote>
  <w:footnote w:type="continuationSeparator" w:id="0">
    <w:p w14:paraId="6CEB2401" w14:textId="77777777" w:rsidR="00A53F3C" w:rsidRDefault="00A53F3C"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2142061"/>
    <w:multiLevelType w:val="hybridMultilevel"/>
    <w:tmpl w:val="3492379A"/>
    <w:lvl w:ilvl="0" w:tplc="DFA8EED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0DF23F7"/>
    <w:multiLevelType w:val="hybridMultilevel"/>
    <w:tmpl w:val="1DC45B38"/>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0A16C8"/>
    <w:multiLevelType w:val="hybridMultilevel"/>
    <w:tmpl w:val="7C564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7F204EBF"/>
    <w:multiLevelType w:val="hybridMultilevel"/>
    <w:tmpl w:val="6902E6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32"/>
  </w:num>
  <w:num w:numId="3">
    <w:abstractNumId w:val="28"/>
  </w:num>
  <w:num w:numId="4">
    <w:abstractNumId w:val="42"/>
  </w:num>
  <w:num w:numId="5">
    <w:abstractNumId w:val="21"/>
  </w:num>
  <w:num w:numId="6">
    <w:abstractNumId w:val="42"/>
  </w:num>
  <w:num w:numId="7">
    <w:abstractNumId w:val="43"/>
  </w:num>
  <w:num w:numId="8">
    <w:abstractNumId w:val="25"/>
  </w:num>
  <w:num w:numId="9">
    <w:abstractNumId w:val="19"/>
  </w:num>
  <w:num w:numId="10">
    <w:abstractNumId w:val="10"/>
  </w:num>
  <w:num w:numId="11">
    <w:abstractNumId w:val="30"/>
  </w:num>
  <w:num w:numId="12">
    <w:abstractNumId w:val="3"/>
  </w:num>
  <w:num w:numId="13">
    <w:abstractNumId w:val="20"/>
  </w:num>
  <w:num w:numId="14">
    <w:abstractNumId w:val="12"/>
  </w:num>
  <w:num w:numId="15">
    <w:abstractNumId w:val="14"/>
  </w:num>
  <w:num w:numId="16">
    <w:abstractNumId w:val="37"/>
  </w:num>
  <w:num w:numId="17">
    <w:abstractNumId w:val="26"/>
  </w:num>
  <w:num w:numId="18">
    <w:abstractNumId w:val="16"/>
  </w:num>
  <w:num w:numId="19">
    <w:abstractNumId w:val="41"/>
  </w:num>
  <w:num w:numId="20">
    <w:abstractNumId w:val="34"/>
  </w:num>
  <w:num w:numId="21">
    <w:abstractNumId w:val="8"/>
  </w:num>
  <w:num w:numId="22">
    <w:abstractNumId w:val="17"/>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3"/>
  </w:num>
  <w:num w:numId="25">
    <w:abstractNumId w:val="29"/>
  </w:num>
  <w:num w:numId="26">
    <w:abstractNumId w:val="15"/>
  </w:num>
  <w:num w:numId="27">
    <w:abstractNumId w:val="23"/>
  </w:num>
  <w:num w:numId="28">
    <w:abstractNumId w:val="35"/>
  </w:num>
  <w:num w:numId="29">
    <w:abstractNumId w:val="39"/>
  </w:num>
  <w:num w:numId="30">
    <w:abstractNumId w:val="22"/>
  </w:num>
  <w:num w:numId="31">
    <w:abstractNumId w:val="36"/>
  </w:num>
  <w:num w:numId="32">
    <w:abstractNumId w:val="2"/>
  </w:num>
  <w:num w:numId="33">
    <w:abstractNumId w:val="0"/>
  </w:num>
  <w:num w:numId="34">
    <w:abstractNumId w:val="11"/>
  </w:num>
  <w:num w:numId="35">
    <w:abstractNumId w:val="27"/>
  </w:num>
  <w:num w:numId="36">
    <w:abstractNumId w:val="4"/>
  </w:num>
  <w:num w:numId="37">
    <w:abstractNumId w:val="38"/>
  </w:num>
  <w:num w:numId="38">
    <w:abstractNumId w:val="18"/>
  </w:num>
  <w:num w:numId="39">
    <w:abstractNumId w:val="7"/>
  </w:num>
  <w:num w:numId="40">
    <w:abstractNumId w:val="5"/>
  </w:num>
  <w:num w:numId="41">
    <w:abstractNumId w:val="6"/>
  </w:num>
  <w:num w:numId="42">
    <w:abstractNumId w:val="40"/>
  </w:num>
  <w:num w:numId="43">
    <w:abstractNumId w:val="31"/>
    <w:lvlOverride w:ilvl="0">
      <w:startOverride w:val="1"/>
    </w:lvlOverride>
    <w:lvlOverride w:ilvl="1"/>
    <w:lvlOverride w:ilvl="2"/>
    <w:lvlOverride w:ilvl="3"/>
    <w:lvlOverride w:ilvl="4"/>
    <w:lvlOverride w:ilvl="5"/>
    <w:lvlOverride w:ilvl="6"/>
    <w:lvlOverride w:ilvl="7"/>
    <w:lvlOverride w:ilvl="8"/>
  </w:num>
  <w:num w:numId="44">
    <w:abstractNumId w:val="24"/>
  </w:num>
  <w:num w:numId="45">
    <w:abstractNumId w:val="31"/>
  </w:num>
  <w:num w:numId="46">
    <w:abstractNumId w:val="33"/>
  </w:num>
  <w:num w:numId="4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5A30"/>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452"/>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5E0"/>
    <w:rsid w:val="00107B60"/>
    <w:rsid w:val="00110038"/>
    <w:rsid w:val="001112EA"/>
    <w:rsid w:val="00111D1C"/>
    <w:rsid w:val="00112997"/>
    <w:rsid w:val="00113B43"/>
    <w:rsid w:val="0011415B"/>
    <w:rsid w:val="00114899"/>
    <w:rsid w:val="001213C0"/>
    <w:rsid w:val="00122CA0"/>
    <w:rsid w:val="0012303A"/>
    <w:rsid w:val="001236A8"/>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6EF"/>
    <w:rsid w:val="001368E9"/>
    <w:rsid w:val="00141B91"/>
    <w:rsid w:val="00142378"/>
    <w:rsid w:val="00142AD4"/>
    <w:rsid w:val="00143023"/>
    <w:rsid w:val="00143410"/>
    <w:rsid w:val="00143EDE"/>
    <w:rsid w:val="001440DA"/>
    <w:rsid w:val="001443AB"/>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4DB"/>
    <w:rsid w:val="001D3529"/>
    <w:rsid w:val="001D3C86"/>
    <w:rsid w:val="001D4F14"/>
    <w:rsid w:val="001D5B46"/>
    <w:rsid w:val="001D72BF"/>
    <w:rsid w:val="001D7312"/>
    <w:rsid w:val="001D7F40"/>
    <w:rsid w:val="001E0FA7"/>
    <w:rsid w:val="001E19F6"/>
    <w:rsid w:val="001E21D2"/>
    <w:rsid w:val="001E4937"/>
    <w:rsid w:val="001E662C"/>
    <w:rsid w:val="001E6B62"/>
    <w:rsid w:val="001E7CB8"/>
    <w:rsid w:val="001F00E4"/>
    <w:rsid w:val="001F017F"/>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43A"/>
    <w:rsid w:val="00201512"/>
    <w:rsid w:val="00202030"/>
    <w:rsid w:val="002037E4"/>
    <w:rsid w:val="002047AB"/>
    <w:rsid w:val="00204990"/>
    <w:rsid w:val="00205FF3"/>
    <w:rsid w:val="0020695B"/>
    <w:rsid w:val="00206BC5"/>
    <w:rsid w:val="0020793F"/>
    <w:rsid w:val="00207C8F"/>
    <w:rsid w:val="00211121"/>
    <w:rsid w:val="00211898"/>
    <w:rsid w:val="00211BE2"/>
    <w:rsid w:val="0021355D"/>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2F31"/>
    <w:rsid w:val="00253C8C"/>
    <w:rsid w:val="00253DE4"/>
    <w:rsid w:val="002548DE"/>
    <w:rsid w:val="0025708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0563"/>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36E2"/>
    <w:rsid w:val="00343827"/>
    <w:rsid w:val="003447D9"/>
    <w:rsid w:val="0034522E"/>
    <w:rsid w:val="003469E0"/>
    <w:rsid w:val="003505E8"/>
    <w:rsid w:val="00351002"/>
    <w:rsid w:val="0035259D"/>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A38"/>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3F7F29"/>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2C84"/>
    <w:rsid w:val="00423698"/>
    <w:rsid w:val="00425D65"/>
    <w:rsid w:val="004276FA"/>
    <w:rsid w:val="0042793A"/>
    <w:rsid w:val="00430179"/>
    <w:rsid w:val="004308F5"/>
    <w:rsid w:val="00431F0A"/>
    <w:rsid w:val="004323A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6972"/>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0647"/>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18"/>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729"/>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5C7"/>
    <w:rsid w:val="00585B50"/>
    <w:rsid w:val="00585B65"/>
    <w:rsid w:val="00586287"/>
    <w:rsid w:val="00587C3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ACF"/>
    <w:rsid w:val="005C2B45"/>
    <w:rsid w:val="005C3B70"/>
    <w:rsid w:val="005C42E3"/>
    <w:rsid w:val="005C4607"/>
    <w:rsid w:val="005C513C"/>
    <w:rsid w:val="005C770F"/>
    <w:rsid w:val="005D0986"/>
    <w:rsid w:val="005D0E30"/>
    <w:rsid w:val="005D2980"/>
    <w:rsid w:val="005D327E"/>
    <w:rsid w:val="005D4967"/>
    <w:rsid w:val="005D4968"/>
    <w:rsid w:val="005D4AB4"/>
    <w:rsid w:val="005D4FA7"/>
    <w:rsid w:val="005D57BC"/>
    <w:rsid w:val="005D74CE"/>
    <w:rsid w:val="005D7E7C"/>
    <w:rsid w:val="005E01FC"/>
    <w:rsid w:val="005E20C1"/>
    <w:rsid w:val="005E252A"/>
    <w:rsid w:val="005E33FE"/>
    <w:rsid w:val="005E54A8"/>
    <w:rsid w:val="005E5F42"/>
    <w:rsid w:val="005E6B4D"/>
    <w:rsid w:val="005E71C4"/>
    <w:rsid w:val="005F00EE"/>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29BA"/>
    <w:rsid w:val="0064450D"/>
    <w:rsid w:val="006448B3"/>
    <w:rsid w:val="00644D33"/>
    <w:rsid w:val="00645660"/>
    <w:rsid w:val="00645A79"/>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5204"/>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010"/>
    <w:rsid w:val="0076329A"/>
    <w:rsid w:val="007633F3"/>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EC8"/>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2902"/>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81D"/>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0BEB"/>
    <w:rsid w:val="00832369"/>
    <w:rsid w:val="00832927"/>
    <w:rsid w:val="00833904"/>
    <w:rsid w:val="00834ED8"/>
    <w:rsid w:val="00835BCE"/>
    <w:rsid w:val="0083691B"/>
    <w:rsid w:val="00836B2E"/>
    <w:rsid w:val="00836F12"/>
    <w:rsid w:val="00837D12"/>
    <w:rsid w:val="00840285"/>
    <w:rsid w:val="00841BBC"/>
    <w:rsid w:val="00841BDA"/>
    <w:rsid w:val="00841E2F"/>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430"/>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914"/>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3F3C"/>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62C"/>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1ECD"/>
    <w:rsid w:val="00AC211B"/>
    <w:rsid w:val="00AC2303"/>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4AB4"/>
    <w:rsid w:val="00AF5614"/>
    <w:rsid w:val="00AF6D55"/>
    <w:rsid w:val="00AF6DB8"/>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990"/>
    <w:rsid w:val="00B66C2C"/>
    <w:rsid w:val="00B6775E"/>
    <w:rsid w:val="00B67BF0"/>
    <w:rsid w:val="00B7032E"/>
    <w:rsid w:val="00B71775"/>
    <w:rsid w:val="00B71CCC"/>
    <w:rsid w:val="00B7252A"/>
    <w:rsid w:val="00B72924"/>
    <w:rsid w:val="00B72B9A"/>
    <w:rsid w:val="00B72E57"/>
    <w:rsid w:val="00B73100"/>
    <w:rsid w:val="00B74481"/>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418"/>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C7D59"/>
    <w:rsid w:val="00BD2C30"/>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882"/>
    <w:rsid w:val="00CC0A60"/>
    <w:rsid w:val="00CC0ABD"/>
    <w:rsid w:val="00CC20ED"/>
    <w:rsid w:val="00CC2667"/>
    <w:rsid w:val="00CC3953"/>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324"/>
    <w:rsid w:val="00D268EC"/>
    <w:rsid w:val="00D30B0C"/>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3E1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4423"/>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1C6"/>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25C2"/>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D45"/>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1F61"/>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styleId="BodyText">
    <w:name w:val="Body Text"/>
    <w:basedOn w:val="Normal"/>
    <w:link w:val="BodyTextChar"/>
    <w:unhideWhenUsed/>
    <w:rsid w:val="001443AB"/>
    <w:pPr>
      <w:overflowPunct w:val="0"/>
      <w:autoSpaceDE w:val="0"/>
      <w:autoSpaceDN w:val="0"/>
      <w:adjustRightInd w:val="0"/>
      <w:spacing w:after="120" w:line="240" w:lineRule="auto"/>
    </w:pPr>
    <w:rPr>
      <w:rFonts w:ascii="Times New Roman" w:hAnsi="Times New Roman" w:cs="Times New Roman"/>
      <w:sz w:val="20"/>
      <w:szCs w:val="20"/>
    </w:rPr>
  </w:style>
  <w:style w:type="character" w:customStyle="1" w:styleId="BodyTextChar">
    <w:name w:val="Body Text Char"/>
    <w:basedOn w:val="DefaultParagraphFont"/>
    <w:link w:val="BodyText"/>
    <w:rsid w:val="001443AB"/>
    <w:rPr>
      <w:rFonts w:ascii="Times New Roman" w:hAnsi="Times New Roman" w:cs="Times New Roman"/>
      <w:sz w:val="20"/>
      <w:szCs w:val="20"/>
    </w:rPr>
  </w:style>
  <w:style w:type="paragraph" w:customStyle="1" w:styleId="N1">
    <w:name w:val="N1"/>
    <w:basedOn w:val="Normal"/>
    <w:link w:val="N1Char"/>
    <w:qFormat/>
    <w:rsid w:val="005E6B4D"/>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5E6B4D"/>
    <w:rPr>
      <w:rFonts w:eastAsiaTheme="minorEastAsia"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552155793">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211583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1324</Words>
  <Characters>6252</Characters>
  <Application>Microsoft Office Word</Application>
  <DocSecurity>0</DocSecurity>
  <Lines>104</Lines>
  <Paragraphs>64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 CTPClassification=CTP_NT</cp:keywords>
  <dc:description/>
  <cp:lastModifiedBy>Intel3</cp:lastModifiedBy>
  <cp:revision>2</cp:revision>
  <dcterms:created xsi:type="dcterms:W3CDTF">2018-06-21T23:06:00Z</dcterms:created>
  <dcterms:modified xsi:type="dcterms:W3CDTF">2018-06-21T23:06:00Z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c6f83a00-0625-4805-97c2-6e6d9b92c494</vt:lpwstr>
  </property>
  <property fmtid="{D5CDD505-2E9C-101B-9397-08002B2CF9AE}" pid="3" name="CTP_BU">
    <vt:lpwstr>NA</vt:lpwstr>
  </property>
  <property fmtid="{D5CDD505-2E9C-101B-9397-08002B2CF9AE}" pid="4" name="CTP_TimeStamp">
    <vt:lpwstr>2018-06-21 09:32:41Z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