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ACA" w:rsidRPr="00A86E98" w:rsidRDefault="003B0ACA" w:rsidP="003B0ACA">
      <w:pPr>
        <w:pStyle w:val="CRCoverPage"/>
        <w:tabs>
          <w:tab w:val="right" w:pos="9639"/>
          <w:tab w:val="right" w:pos="13323"/>
        </w:tabs>
        <w:spacing w:after="0"/>
        <w:rPr>
          <w:rFonts w:eastAsiaTheme="minorHAnsi" w:cs="Calibri"/>
          <w:sz w:val="24"/>
          <w:szCs w:val="22"/>
        </w:rPr>
      </w:pPr>
      <w:r>
        <w:rPr>
          <w:rFonts w:cs="Arial"/>
          <w:b/>
          <w:noProof/>
          <w:sz w:val="24"/>
          <w:szCs w:val="24"/>
        </w:rPr>
        <w:t>3GPP TSG RAN WG2 Meeting #</w:t>
      </w:r>
      <w:r w:rsidR="001B05ED">
        <w:rPr>
          <w:rFonts w:cs="Arial"/>
          <w:b/>
          <w:noProof/>
          <w:sz w:val="24"/>
          <w:szCs w:val="24"/>
        </w:rPr>
        <w:t>99bis</w:t>
      </w:r>
      <w:r>
        <w:rPr>
          <w:rFonts w:cs="Arial"/>
          <w:b/>
          <w:noProof/>
          <w:sz w:val="24"/>
          <w:szCs w:val="24"/>
        </w:rPr>
        <w:tab/>
      </w:r>
      <w:r w:rsidR="00A86E98" w:rsidRPr="00A86E98">
        <w:rPr>
          <w:rFonts w:eastAsiaTheme="minorHAnsi" w:cs="Calibri"/>
          <w:sz w:val="24"/>
          <w:szCs w:val="22"/>
        </w:rPr>
        <w:t>R2-1711827</w:t>
      </w:r>
    </w:p>
    <w:p w:rsidR="003B0ACA" w:rsidRDefault="003B0ACA" w:rsidP="003B0ACA">
      <w:pPr>
        <w:pStyle w:val="CRCoverPage"/>
        <w:tabs>
          <w:tab w:val="right" w:pos="9639"/>
          <w:tab w:val="right" w:pos="13323"/>
        </w:tabs>
        <w:spacing w:after="0"/>
        <w:rPr>
          <w:rFonts w:cs="Arial"/>
          <w:b/>
          <w:noProof/>
          <w:sz w:val="24"/>
          <w:szCs w:val="24"/>
        </w:rPr>
      </w:pPr>
      <w:r>
        <w:rPr>
          <w:rFonts w:cs="Arial"/>
          <w:b/>
          <w:noProof/>
          <w:sz w:val="24"/>
          <w:szCs w:val="24"/>
        </w:rPr>
        <w:t>Prague</w:t>
      </w:r>
      <w:r w:rsidRPr="0033775D">
        <w:rPr>
          <w:rFonts w:cs="Arial"/>
          <w:b/>
          <w:noProof/>
          <w:sz w:val="24"/>
          <w:szCs w:val="24"/>
        </w:rPr>
        <w:t>,</w:t>
      </w:r>
      <w:r>
        <w:rPr>
          <w:rFonts w:cs="Arial"/>
          <w:b/>
          <w:noProof/>
          <w:sz w:val="24"/>
          <w:szCs w:val="24"/>
        </w:rPr>
        <w:t xml:space="preserve"> Czech Republic</w:t>
      </w:r>
      <w:r w:rsidRPr="0033775D">
        <w:rPr>
          <w:rFonts w:cs="Arial"/>
          <w:b/>
          <w:noProof/>
          <w:sz w:val="24"/>
          <w:szCs w:val="24"/>
        </w:rPr>
        <w:t xml:space="preserve"> </w:t>
      </w:r>
      <w:r>
        <w:rPr>
          <w:rFonts w:cs="Arial"/>
          <w:b/>
          <w:noProof/>
          <w:sz w:val="24"/>
          <w:szCs w:val="24"/>
        </w:rPr>
        <w:t>October 2017</w:t>
      </w:r>
      <w:r>
        <w:rPr>
          <w:rFonts w:cs="Arial"/>
          <w:b/>
          <w:noProof/>
          <w:sz w:val="24"/>
          <w:szCs w:val="24"/>
        </w:rPr>
        <w:tab/>
      </w:r>
    </w:p>
    <w:p w:rsidR="003B0ACA" w:rsidRPr="00155924" w:rsidRDefault="003B0ACA" w:rsidP="003B0ACA">
      <w:pPr>
        <w:pStyle w:val="Kopfzeile"/>
        <w:tabs>
          <w:tab w:val="right" w:pos="9639"/>
        </w:tabs>
        <w:jc w:val="both"/>
        <w:rPr>
          <w:i/>
          <w:sz w:val="32"/>
          <w:lang w:val="en-GB"/>
        </w:rPr>
      </w:pPr>
      <w:r w:rsidRPr="00155924">
        <w:rPr>
          <w:sz w:val="24"/>
          <w:lang w:val="en-GB"/>
        </w:rPr>
        <w:tab/>
      </w:r>
    </w:p>
    <w:p w:rsidR="003B0ACA" w:rsidRPr="004F4111" w:rsidRDefault="003B0ACA" w:rsidP="003B0ACA">
      <w:pPr>
        <w:ind w:left="1988" w:hanging="1988"/>
        <w:jc w:val="both"/>
        <w:rPr>
          <w:rFonts w:ascii="Arial" w:hAnsi="Arial"/>
          <w:sz w:val="24"/>
        </w:rPr>
      </w:pPr>
      <w:r w:rsidRPr="004F4111">
        <w:rPr>
          <w:rFonts w:ascii="Arial" w:hAnsi="Arial"/>
          <w:b/>
          <w:sz w:val="24"/>
        </w:rPr>
        <w:t>Title:</w:t>
      </w:r>
      <w:r w:rsidRPr="004F4111">
        <w:rPr>
          <w:rFonts w:ascii="Arial" w:hAnsi="Arial"/>
          <w:sz w:val="24"/>
        </w:rPr>
        <w:t xml:space="preserve"> </w:t>
      </w:r>
      <w:r w:rsidRPr="004F4111">
        <w:rPr>
          <w:rFonts w:ascii="Arial" w:hAnsi="Arial"/>
          <w:sz w:val="24"/>
        </w:rPr>
        <w:tab/>
      </w:r>
      <w:r>
        <w:rPr>
          <w:rFonts w:ascii="Arial" w:hAnsi="Arial"/>
          <w:sz w:val="24"/>
        </w:rPr>
        <w:t>UE Requirements for SI on demand</w:t>
      </w:r>
    </w:p>
    <w:p w:rsidR="003B0ACA" w:rsidRDefault="003B0ACA" w:rsidP="003B0ACA">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 Group Plc</w:t>
      </w:r>
    </w:p>
    <w:p w:rsidR="003B0ACA" w:rsidRPr="00036934" w:rsidRDefault="003B0ACA" w:rsidP="003B0ACA">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B05ED" w:rsidRPr="001B05ED">
        <w:rPr>
          <w:rFonts w:ascii="Arial" w:hAnsi="Arial"/>
          <w:sz w:val="24"/>
        </w:rPr>
        <w:t>10.4.1.6.6</w:t>
      </w:r>
    </w:p>
    <w:p w:rsidR="003B0ACA" w:rsidRPr="00CC27F5" w:rsidRDefault="003B0ACA" w:rsidP="003B0ACA">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w:t>
      </w:r>
    </w:p>
    <w:p w:rsidR="003B0ACA" w:rsidRDefault="003B0ACA" w:rsidP="003B0ACA">
      <w:pPr>
        <w:rPr>
          <w:lang w:eastAsia="ja-JP"/>
        </w:rPr>
      </w:pPr>
    </w:p>
    <w:p w:rsidR="003B0ACA" w:rsidRDefault="003B0ACA" w:rsidP="003B0ACA">
      <w:pPr>
        <w:rPr>
          <w:lang w:eastAsia="ja-JP"/>
        </w:rPr>
      </w:pPr>
    </w:p>
    <w:p w:rsidR="003B0ACA" w:rsidRPr="003B0ACA" w:rsidRDefault="003B0ACA" w:rsidP="003B0ACA">
      <w:pPr>
        <w:rPr>
          <w:rFonts w:ascii="Arial" w:eastAsia="Times New Roman" w:hAnsi="Arial" w:cs="Arial"/>
          <w:sz w:val="32"/>
          <w:szCs w:val="32"/>
          <w:lang w:eastAsia="ja-JP"/>
        </w:rPr>
      </w:pPr>
      <w:r w:rsidRPr="003B0ACA">
        <w:rPr>
          <w:rFonts w:ascii="Arial" w:eastAsia="Times New Roman" w:hAnsi="Arial" w:cs="Arial"/>
          <w:sz w:val="32"/>
          <w:szCs w:val="32"/>
          <w:lang w:eastAsia="ja-JP"/>
        </w:rPr>
        <w:t>Introduction</w:t>
      </w:r>
    </w:p>
    <w:p w:rsidR="003B0ACA" w:rsidRPr="003B0ACA" w:rsidRDefault="003B0ACA" w:rsidP="003B0ACA">
      <w:pPr>
        <w:rPr>
          <w:lang w:eastAsia="ja-JP"/>
        </w:rPr>
      </w:pPr>
    </w:p>
    <w:p w:rsidR="003B0ACA" w:rsidRDefault="003B0ACA" w:rsidP="003B0ACA">
      <w:pPr>
        <w:rPr>
          <w:lang w:eastAsia="ja-JP"/>
        </w:rPr>
      </w:pPr>
      <w:r w:rsidRPr="003B0ACA">
        <w:rPr>
          <w:lang w:eastAsia="ja-JP"/>
        </w:rPr>
        <w:t>On demand SI is considered to be one of very important features within NR which allows</w:t>
      </w:r>
      <w:r>
        <w:rPr>
          <w:lang w:eastAsia="ja-JP"/>
        </w:rPr>
        <w:t xml:space="preserve"> the UE to</w:t>
      </w:r>
    </w:p>
    <w:p w:rsidR="003B0ACA" w:rsidRDefault="003B0ACA" w:rsidP="003B0ACA">
      <w:pPr>
        <w:rPr>
          <w:lang w:eastAsia="ja-JP"/>
        </w:rPr>
      </w:pPr>
      <w:proofErr w:type="gramStart"/>
      <w:r w:rsidRPr="003B0ACA">
        <w:rPr>
          <w:lang w:eastAsia="ja-JP"/>
        </w:rPr>
        <w:t>store</w:t>
      </w:r>
      <w:proofErr w:type="gramEnd"/>
      <w:r w:rsidRPr="003B0ACA">
        <w:rPr>
          <w:lang w:eastAsia="ja-JP"/>
        </w:rPr>
        <w:t xml:space="preserve"> the profiles of non-essential Sis and not re-acquire it if they are still valid on the neighbour cells</w:t>
      </w:r>
      <w:r>
        <w:rPr>
          <w:lang w:eastAsia="ja-JP"/>
        </w:rPr>
        <w:t>.</w:t>
      </w:r>
    </w:p>
    <w:p w:rsidR="003B0ACA" w:rsidRDefault="003B0ACA" w:rsidP="003B0ACA">
      <w:pPr>
        <w:rPr>
          <w:lang w:eastAsia="ja-JP"/>
        </w:rPr>
      </w:pPr>
      <w:r w:rsidRPr="003B0ACA">
        <w:rPr>
          <w:lang w:eastAsia="ja-JP"/>
        </w:rPr>
        <w:t>Anyway it is open from how many cells the UE has to store the SIs. I</w:t>
      </w:r>
      <w:r>
        <w:rPr>
          <w:lang w:eastAsia="ja-JP"/>
        </w:rPr>
        <w:t>n case the UE is implemented in</w:t>
      </w:r>
    </w:p>
    <w:p w:rsidR="003B0ACA" w:rsidRDefault="003B0ACA" w:rsidP="003B0ACA">
      <w:pPr>
        <w:rPr>
          <w:lang w:eastAsia="ja-JP"/>
        </w:rPr>
      </w:pPr>
      <w:proofErr w:type="gramStart"/>
      <w:r w:rsidRPr="003B0ACA">
        <w:rPr>
          <w:lang w:eastAsia="ja-JP"/>
        </w:rPr>
        <w:t>the</w:t>
      </w:r>
      <w:proofErr w:type="gramEnd"/>
      <w:r w:rsidRPr="003B0ACA">
        <w:rPr>
          <w:lang w:eastAsia="ja-JP"/>
        </w:rPr>
        <w:t xml:space="preserve"> way that it only is able to store Sis from one cell then while mo</w:t>
      </w:r>
      <w:r>
        <w:rPr>
          <w:lang w:eastAsia="ja-JP"/>
        </w:rPr>
        <w:t>ving to other cell on the other</w:t>
      </w:r>
    </w:p>
    <w:p w:rsidR="003B0ACA" w:rsidRDefault="003B0ACA" w:rsidP="003B0ACA">
      <w:pPr>
        <w:rPr>
          <w:lang w:eastAsia="ja-JP"/>
        </w:rPr>
      </w:pPr>
      <w:r w:rsidRPr="003B0ACA">
        <w:rPr>
          <w:lang w:eastAsia="ja-JP"/>
        </w:rPr>
        <w:t>Frequency it will always request S</w:t>
      </w:r>
      <w:r>
        <w:rPr>
          <w:lang w:eastAsia="ja-JP"/>
        </w:rPr>
        <w:t>I</w:t>
      </w:r>
      <w:r w:rsidRPr="003B0ACA">
        <w:rPr>
          <w:lang w:eastAsia="ja-JP"/>
        </w:rPr>
        <w:t xml:space="preserve">s which introduce additional signalling and dramatically </w:t>
      </w:r>
      <w:r>
        <w:rPr>
          <w:lang w:eastAsia="ja-JP"/>
        </w:rPr>
        <w:t>reduce the</w:t>
      </w:r>
    </w:p>
    <w:p w:rsidR="003B0ACA" w:rsidRDefault="003B0ACA" w:rsidP="003B0ACA">
      <w:pPr>
        <w:rPr>
          <w:lang w:eastAsia="ja-JP"/>
        </w:rPr>
      </w:pPr>
      <w:proofErr w:type="gramStart"/>
      <w:r w:rsidRPr="003B0ACA">
        <w:rPr>
          <w:lang w:eastAsia="ja-JP"/>
        </w:rPr>
        <w:t>benefit</w:t>
      </w:r>
      <w:proofErr w:type="gramEnd"/>
      <w:r w:rsidRPr="003B0ACA">
        <w:rPr>
          <w:lang w:eastAsia="ja-JP"/>
        </w:rPr>
        <w:t xml:space="preserve"> of the feature </w:t>
      </w:r>
      <w:r>
        <w:rPr>
          <w:lang w:eastAsia="ja-JP"/>
        </w:rPr>
        <w:t>especially as it could be considered that the mobility between the cells on the higher and lower frequencies might be considered as much more often as today.</w:t>
      </w:r>
    </w:p>
    <w:p w:rsidR="0046049B" w:rsidRDefault="0046049B" w:rsidP="003B0ACA">
      <w:pPr>
        <w:rPr>
          <w:lang w:eastAsia="ja-JP"/>
        </w:rPr>
      </w:pPr>
    </w:p>
    <w:p w:rsidR="00A86E98" w:rsidRPr="00A86E98" w:rsidRDefault="00A86E98" w:rsidP="003B0ACA">
      <w:pPr>
        <w:rPr>
          <w:lang w:val="en-US" w:eastAsia="ja-JP"/>
        </w:rPr>
      </w:pPr>
      <w:r w:rsidRPr="00A86E98">
        <w:rPr>
          <w:lang w:val="en-US" w:eastAsia="ja-JP"/>
        </w:rPr>
        <w:t>It</w:t>
      </w:r>
      <w:r w:rsidR="0046049B" w:rsidRPr="00A86E98">
        <w:rPr>
          <w:lang w:val="en-US" w:eastAsia="ja-JP"/>
        </w:rPr>
        <w:t xml:space="preserve"> could argue that the NW could decide when </w:t>
      </w:r>
      <w:r w:rsidRPr="00A86E98">
        <w:rPr>
          <w:lang w:val="en-US" w:eastAsia="ja-JP"/>
        </w:rPr>
        <w:t xml:space="preserve">to </w:t>
      </w:r>
      <w:r w:rsidR="0046049B" w:rsidRPr="00A86E98">
        <w:rPr>
          <w:lang w:val="en-US" w:eastAsia="ja-JP"/>
        </w:rPr>
        <w:t xml:space="preserve">start </w:t>
      </w:r>
      <w:r w:rsidRPr="00A86E98">
        <w:rPr>
          <w:lang w:val="en-US" w:eastAsia="ja-JP"/>
        </w:rPr>
        <w:t>broadcasting</w:t>
      </w:r>
      <w:r w:rsidR="0046049B" w:rsidRPr="00A86E98">
        <w:rPr>
          <w:lang w:val="en-US" w:eastAsia="ja-JP"/>
        </w:rPr>
        <w:t xml:space="preserve"> SIs based on the number of dedicated SI requests, but if the UEs almost always ask for S</w:t>
      </w:r>
      <w:r w:rsidRPr="00A86E98">
        <w:rPr>
          <w:lang w:val="en-US" w:eastAsia="ja-JP"/>
        </w:rPr>
        <w:t>I</w:t>
      </w:r>
      <w:r w:rsidR="0046049B" w:rsidRPr="00A86E98">
        <w:rPr>
          <w:lang w:val="en-US" w:eastAsia="ja-JP"/>
        </w:rPr>
        <w:t xml:space="preserve">s changing the cells, then the benefit of this feature is totally reduced. </w:t>
      </w:r>
    </w:p>
    <w:p w:rsidR="00A86E98" w:rsidRPr="00A86E98" w:rsidRDefault="00A86E98" w:rsidP="003B0ACA">
      <w:pPr>
        <w:rPr>
          <w:lang w:val="en-US" w:eastAsia="ja-JP"/>
        </w:rPr>
      </w:pPr>
    </w:p>
    <w:p w:rsidR="0046049B" w:rsidRPr="00A86E98" w:rsidRDefault="00A86E98" w:rsidP="003B0ACA">
      <w:pPr>
        <w:rPr>
          <w:lang w:val="en-US" w:eastAsia="ja-JP"/>
        </w:rPr>
      </w:pPr>
      <w:r w:rsidRPr="00A86E98">
        <w:rPr>
          <w:lang w:val="en-US" w:eastAsia="ja-JP"/>
        </w:rPr>
        <w:t>It is understood that the system information is intended to be valid within a certain area; anyway it is not clear how all system information could be valid within a certain area if the cells are belonging to different frequencies and the parametrization is different.</w:t>
      </w:r>
    </w:p>
    <w:p w:rsidR="003B0ACA" w:rsidRDefault="003B0ACA" w:rsidP="003B0ACA">
      <w:pPr>
        <w:rPr>
          <w:lang w:eastAsia="ja-JP"/>
        </w:rPr>
      </w:pPr>
    </w:p>
    <w:p w:rsidR="003B0ACA" w:rsidRPr="003B0ACA" w:rsidRDefault="003B0ACA" w:rsidP="003B0ACA">
      <w:pPr>
        <w:rPr>
          <w:lang w:eastAsia="ja-JP"/>
        </w:rPr>
      </w:pPr>
      <w:r w:rsidRPr="003B0ACA">
        <w:rPr>
          <w:lang w:eastAsia="ja-JP"/>
        </w:rPr>
        <w:t>Taking this into account</w:t>
      </w:r>
      <w:r>
        <w:rPr>
          <w:lang w:eastAsia="ja-JP"/>
        </w:rPr>
        <w:t xml:space="preserve"> above</w:t>
      </w:r>
      <w:r w:rsidRPr="003B0ACA">
        <w:rPr>
          <w:lang w:eastAsia="ja-JP"/>
        </w:rPr>
        <w:t xml:space="preserve"> it is proposed to introduce a minimum requirement</w:t>
      </w:r>
      <w:r>
        <w:rPr>
          <w:lang w:eastAsia="ja-JP"/>
        </w:rPr>
        <w:t xml:space="preserve"> for the UE for storing of non-essential Sis.</w:t>
      </w:r>
    </w:p>
    <w:p w:rsidR="00CD76D8" w:rsidRDefault="00CD76D8" w:rsidP="00CD76D8">
      <w:pPr>
        <w:pStyle w:val="berschrift2"/>
        <w:rPr>
          <w:rFonts w:eastAsia="Times New Roman"/>
          <w:lang w:eastAsia="ja-JP"/>
        </w:rPr>
      </w:pPr>
      <w:r>
        <w:rPr>
          <w:rFonts w:eastAsia="Times New Roman"/>
          <w:lang w:eastAsia="ja-JP"/>
        </w:rPr>
        <w:t>7.3       System Information Handling</w:t>
      </w:r>
    </w:p>
    <w:p w:rsidR="00CD76D8" w:rsidRDefault="00CD76D8" w:rsidP="00CD76D8">
      <w:pPr>
        <w:rPr>
          <w:lang w:eastAsia="ja-JP"/>
        </w:rPr>
      </w:pPr>
      <w:r>
        <w:rPr>
          <w:lang w:eastAsia="ja-JP"/>
        </w:rPr>
        <w:t xml:space="preserve">System Information (SI) is divided into Minimum SI and Other SI. Minimum SI is periodically broadcast and comprises basic information required for initial access and information for acquiring any other SI broadcast periodically or provisioned on-demand, i.e. scheduling information. </w:t>
      </w:r>
      <w:r>
        <w:rPr>
          <w:b/>
          <w:bCs/>
          <w:color w:val="FF0000"/>
          <w:lang w:eastAsia="ja-JP"/>
        </w:rPr>
        <w:t xml:space="preserve">The UE is required to store at least more than 1 SI from </w:t>
      </w:r>
      <w:r w:rsidR="003B0ACA">
        <w:rPr>
          <w:b/>
          <w:bCs/>
          <w:color w:val="FF0000"/>
          <w:lang w:eastAsia="ja-JP"/>
        </w:rPr>
        <w:t xml:space="preserve">at least </w:t>
      </w:r>
      <w:r>
        <w:rPr>
          <w:b/>
          <w:bCs/>
          <w:color w:val="FF0000"/>
          <w:lang w:eastAsia="ja-JP"/>
        </w:rPr>
        <w:t>more than one cell belonging to different frequencies.</w:t>
      </w:r>
      <w:r>
        <w:rPr>
          <w:lang w:eastAsia="ja-JP"/>
        </w:rPr>
        <w:t xml:space="preserve"> The Other SI encompasses everything not broadcast in the Minimum SI and may either be broadcast, or provisioned in a dedicated manner, either triggered by the network or upon request from the UE as illustrated in Figure 7.3-1 below.</w:t>
      </w:r>
    </w:p>
    <w:p w:rsidR="00CD76D8" w:rsidRDefault="00CD76D8" w:rsidP="00CD76D8">
      <w:pPr>
        <w:pStyle w:val="TH"/>
      </w:pPr>
      <w:r>
        <w:rPr>
          <w:noProof/>
          <w:lang w:eastAsia="en-GB"/>
        </w:rPr>
        <w:drawing>
          <wp:inline distT="0" distB="0" distL="0" distR="0" wp14:anchorId="37B9EB2D" wp14:editId="728000DA">
            <wp:extent cx="2646680" cy="1478280"/>
            <wp:effectExtent l="0" t="0" r="127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6680" cy="1478280"/>
                    </a:xfrm>
                    <a:prstGeom prst="rect">
                      <a:avLst/>
                    </a:prstGeom>
                    <a:noFill/>
                    <a:ln>
                      <a:noFill/>
                    </a:ln>
                  </pic:spPr>
                </pic:pic>
              </a:graphicData>
            </a:graphic>
          </wp:inline>
        </w:drawing>
      </w:r>
    </w:p>
    <w:p w:rsidR="00CD76D8" w:rsidRDefault="00CD76D8" w:rsidP="00CD76D8">
      <w:pPr>
        <w:pStyle w:val="TF"/>
        <w:rPr>
          <w:i/>
          <w:iCs/>
          <w:lang w:eastAsia="ja-JP"/>
        </w:rPr>
      </w:pPr>
      <w:r>
        <w:rPr>
          <w:lang w:eastAsia="ja-JP"/>
        </w:rPr>
        <w:t>Figure 7.3-1: System Information Provisioning</w:t>
      </w:r>
    </w:p>
    <w:p w:rsidR="00CD76D8" w:rsidRDefault="00CD76D8" w:rsidP="00CD76D8">
      <w:pPr>
        <w:rPr>
          <w:lang w:eastAsia="ja-JP"/>
        </w:rPr>
      </w:pPr>
      <w:r>
        <w:rPr>
          <w:lang w:eastAsia="ja-JP"/>
        </w:rPr>
        <w:t xml:space="preserve">For UEs in RRC_CONNECTED, dedicated RRC signalling is used for the request and delivery of the Other SI. For UEs in RRC_IDLE and RRC_INACTIVE, the request triggers a random access procedure </w:t>
      </w:r>
      <w:r>
        <w:rPr>
          <w:lang w:eastAsia="ja-JP"/>
        </w:rPr>
        <w:lastRenderedPageBreak/>
        <w:t xml:space="preserve">(see </w:t>
      </w:r>
      <w:r w:rsidR="00A86E98">
        <w:rPr>
          <w:lang w:eastAsia="ja-JP"/>
        </w:rPr>
        <w:t>sub clause</w:t>
      </w:r>
      <w:bookmarkStart w:id="0" w:name="_GoBack"/>
      <w:bookmarkEnd w:id="0"/>
      <w:r>
        <w:rPr>
          <w:lang w:eastAsia="ja-JP"/>
        </w:rPr>
        <w:t xml:space="preserve"> 9.2.6) and is carried over MSG3 unless the requested SI is associated to a subset of the PRACH resources, in which case MSG1 can be used. When MSG1 is used, the minimum granularity of the request is one SI message (i.e. a set of SIBs), one RACH preamble can be used to request multiple SI messages and the </w:t>
      </w:r>
      <w:proofErr w:type="spellStart"/>
      <w:r>
        <w:rPr>
          <w:lang w:eastAsia="ja-JP"/>
        </w:rPr>
        <w:t>gNB</w:t>
      </w:r>
      <w:proofErr w:type="spellEnd"/>
      <w:r>
        <w:rPr>
          <w:lang w:eastAsia="ja-JP"/>
        </w:rPr>
        <w:t xml:space="preserve"> acknowledges the request in MSG2. When MSG 3 is used, the </w:t>
      </w:r>
      <w:proofErr w:type="spellStart"/>
      <w:r>
        <w:rPr>
          <w:lang w:eastAsia="ja-JP"/>
        </w:rPr>
        <w:t>gNB</w:t>
      </w:r>
      <w:proofErr w:type="spellEnd"/>
      <w:r>
        <w:rPr>
          <w:lang w:eastAsia="ja-JP"/>
        </w:rPr>
        <w:t xml:space="preserve"> acknowledges the request in MSG4.</w:t>
      </w:r>
    </w:p>
    <w:p w:rsidR="00CD76D8" w:rsidRDefault="00CD76D8" w:rsidP="00CD76D8">
      <w:pPr>
        <w:rPr>
          <w:lang w:eastAsia="ja-JP"/>
        </w:rPr>
      </w:pPr>
      <w:r>
        <w:rPr>
          <w:lang w:eastAsia="ja-JP"/>
        </w:rPr>
        <w:t xml:space="preserve">The Other SI may be broadcast at a configurable periodicity and for </w:t>
      </w:r>
      <w:r w:rsidR="00A86E98">
        <w:rPr>
          <w:lang w:eastAsia="ja-JP"/>
        </w:rPr>
        <w:t>certain</w:t>
      </w:r>
      <w:r>
        <w:rPr>
          <w:lang w:eastAsia="ja-JP"/>
        </w:rPr>
        <w:t xml:space="preserve"> duration. It is a network decision whether the other SI is broadcast or delivered through dedicated and UE specific RRC signalling. </w:t>
      </w:r>
    </w:p>
    <w:p w:rsidR="00CD76D8" w:rsidRDefault="00CD76D8" w:rsidP="00CD76D8">
      <w:pPr>
        <w:rPr>
          <w:b/>
          <w:bCs/>
          <w:lang w:eastAsia="ja-JP"/>
        </w:rPr>
      </w:pPr>
      <w:r>
        <w:rPr>
          <w:lang w:eastAsia="ja-JP"/>
        </w:rPr>
        <w:t xml:space="preserve">Each cell on which the UE is allowed to camp broadcasts at least some contents of the Minimum SI, while there may be cells in the system on which the UE cannot camp </w:t>
      </w:r>
      <w:r w:rsidRPr="00CD76D8">
        <w:rPr>
          <w:lang w:eastAsia="ja-JP"/>
        </w:rPr>
        <w:t xml:space="preserve">and </w:t>
      </w:r>
      <w:r w:rsidRPr="00CD76D8">
        <w:rPr>
          <w:bCs/>
          <w:lang w:eastAsia="ja-JP"/>
        </w:rPr>
        <w:t xml:space="preserve">do not broadcast the Minimum SI. </w:t>
      </w:r>
    </w:p>
    <w:p w:rsidR="00CD76D8" w:rsidRDefault="00CD76D8" w:rsidP="00CD76D8">
      <w:pPr>
        <w:rPr>
          <w:lang w:eastAsia="ja-JP"/>
        </w:rPr>
      </w:pPr>
      <w:r>
        <w:rPr>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rsidR="00CD76D8" w:rsidRDefault="00CD76D8" w:rsidP="00CD76D8">
      <w:pPr>
        <w:rPr>
          <w:lang w:eastAsia="ja-JP"/>
        </w:rPr>
      </w:pPr>
      <w:r>
        <w:rPr>
          <w:lang w:eastAsia="ja-JP"/>
        </w:rPr>
        <w:t>If the UE cannot determine the full contents of the minimum SI of a cell (by receiving from that cell or from valid stored SI from previous cells), the UE shall consider that cell as barred.</w:t>
      </w:r>
    </w:p>
    <w:p w:rsidR="00CD76D8" w:rsidRDefault="00CD76D8" w:rsidP="00CD76D8">
      <w:r>
        <w:t>When multiple numerologies are mixed on a single carrier, only the default one is used for system information broadcast and paging.</w:t>
      </w:r>
    </w:p>
    <w:p w:rsidR="009D1965" w:rsidRDefault="009D1965" w:rsidP="00CD76D8"/>
    <w:p w:rsidR="005C2E95" w:rsidRDefault="005C2E95"/>
    <w:sectPr w:rsidR="005C2E9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A44260"/>
    <w:multiLevelType w:val="hybridMultilevel"/>
    <w:tmpl w:val="74F673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6D8"/>
    <w:rsid w:val="00190611"/>
    <w:rsid w:val="001B05ED"/>
    <w:rsid w:val="003B0ACA"/>
    <w:rsid w:val="0046049B"/>
    <w:rsid w:val="005C2E95"/>
    <w:rsid w:val="009D1965"/>
    <w:rsid w:val="00A86E98"/>
    <w:rsid w:val="00CD76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D76D8"/>
    <w:pPr>
      <w:spacing w:after="0" w:line="240" w:lineRule="auto"/>
    </w:pPr>
    <w:rPr>
      <w:rFonts w:ascii="Calibri" w:hAnsi="Calibri" w:cs="Calibri"/>
    </w:rPr>
  </w:style>
  <w:style w:type="paragraph" w:styleId="berschrift2">
    <w:name w:val="heading 2"/>
    <w:basedOn w:val="Standard"/>
    <w:link w:val="berschrift2Zchn"/>
    <w:uiPriority w:val="9"/>
    <w:semiHidden/>
    <w:unhideWhenUsed/>
    <w:qFormat/>
    <w:rsid w:val="00CD76D8"/>
    <w:pPr>
      <w:keepNext/>
      <w:spacing w:before="180" w:after="180"/>
      <w:ind w:left="1134" w:hanging="1134"/>
      <w:outlineLvl w:val="1"/>
    </w:pPr>
    <w:rPr>
      <w:rFonts w:ascii="Arial" w:hAnsi="Arial" w:cs="Arial"/>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semiHidden/>
    <w:rsid w:val="00CD76D8"/>
    <w:rPr>
      <w:rFonts w:ascii="Arial" w:hAnsi="Arial" w:cs="Arial"/>
      <w:sz w:val="32"/>
      <w:szCs w:val="32"/>
    </w:rPr>
  </w:style>
  <w:style w:type="character" w:customStyle="1" w:styleId="THChar">
    <w:name w:val="TH Char"/>
    <w:basedOn w:val="Absatz-Standardschriftart"/>
    <w:link w:val="TH"/>
    <w:locked/>
    <w:rsid w:val="00CD76D8"/>
    <w:rPr>
      <w:rFonts w:ascii="Arial" w:hAnsi="Arial" w:cs="Arial"/>
      <w:b/>
      <w:bCs/>
    </w:rPr>
  </w:style>
  <w:style w:type="paragraph" w:customStyle="1" w:styleId="TH">
    <w:name w:val="TH"/>
    <w:basedOn w:val="Standard"/>
    <w:link w:val="THChar"/>
    <w:rsid w:val="00CD76D8"/>
    <w:pPr>
      <w:keepNext/>
      <w:spacing w:before="60" w:after="180"/>
      <w:jc w:val="center"/>
    </w:pPr>
    <w:rPr>
      <w:rFonts w:ascii="Arial" w:hAnsi="Arial" w:cs="Arial"/>
      <w:b/>
      <w:bCs/>
    </w:rPr>
  </w:style>
  <w:style w:type="character" w:customStyle="1" w:styleId="TFChar">
    <w:name w:val="TF Char"/>
    <w:basedOn w:val="Absatz-Standardschriftart"/>
    <w:link w:val="TF"/>
    <w:locked/>
    <w:rsid w:val="00CD76D8"/>
    <w:rPr>
      <w:rFonts w:ascii="Arial" w:hAnsi="Arial" w:cs="Arial"/>
      <w:b/>
      <w:bCs/>
    </w:rPr>
  </w:style>
  <w:style w:type="paragraph" w:customStyle="1" w:styleId="TF">
    <w:name w:val="TF"/>
    <w:aliases w:val="left"/>
    <w:basedOn w:val="Standard"/>
    <w:link w:val="TFChar"/>
    <w:rsid w:val="00CD76D8"/>
    <w:pPr>
      <w:spacing w:after="240"/>
      <w:jc w:val="center"/>
    </w:pPr>
    <w:rPr>
      <w:rFonts w:ascii="Arial" w:hAnsi="Arial" w:cs="Arial"/>
      <w:b/>
      <w:bCs/>
    </w:rPr>
  </w:style>
  <w:style w:type="paragraph" w:styleId="Sprechblasentext">
    <w:name w:val="Balloon Text"/>
    <w:basedOn w:val="Standard"/>
    <w:link w:val="SprechblasentextZchn"/>
    <w:uiPriority w:val="99"/>
    <w:semiHidden/>
    <w:unhideWhenUsed/>
    <w:rsid w:val="00CD76D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D76D8"/>
    <w:rPr>
      <w:rFonts w:ascii="Tahoma" w:hAnsi="Tahoma" w:cs="Tahoma"/>
      <w:sz w:val="16"/>
      <w:szCs w:val="16"/>
    </w:rPr>
  </w:style>
  <w:style w:type="paragraph" w:styleId="Listenabsatz">
    <w:name w:val="List Paragraph"/>
    <w:basedOn w:val="Standard"/>
    <w:uiPriority w:val="34"/>
    <w:qFormat/>
    <w:rsid w:val="009D1965"/>
    <w:pPr>
      <w:ind w:left="720"/>
      <w:contextualSpacing/>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3B0ACA"/>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fr-FR" w:eastAsia="fr-FR"/>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B0ACA"/>
    <w:rPr>
      <w:rFonts w:ascii="Arial" w:eastAsia="MS Mincho" w:hAnsi="Arial" w:cs="Times New Roman"/>
      <w:b/>
      <w:noProof/>
      <w:sz w:val="18"/>
      <w:szCs w:val="20"/>
      <w:lang w:val="fr-FR" w:eastAsia="fr-FR"/>
    </w:rPr>
  </w:style>
  <w:style w:type="paragraph" w:customStyle="1" w:styleId="CRCoverPage">
    <w:name w:val="CR Cover Page"/>
    <w:link w:val="CRCoverPageChar"/>
    <w:rsid w:val="003B0ACA"/>
    <w:pPr>
      <w:spacing w:after="120" w:line="240" w:lineRule="auto"/>
    </w:pPr>
    <w:rPr>
      <w:rFonts w:ascii="Arial" w:eastAsia="MS Mincho" w:hAnsi="Arial" w:cs="Times New Roman"/>
      <w:sz w:val="20"/>
      <w:szCs w:val="20"/>
    </w:rPr>
  </w:style>
  <w:style w:type="character" w:customStyle="1" w:styleId="CRCoverPageChar">
    <w:name w:val="CR Cover Page Char"/>
    <w:link w:val="CRCoverPage"/>
    <w:rsid w:val="003B0ACA"/>
    <w:rPr>
      <w:rFonts w:ascii="Arial" w:eastAsia="MS Mincho"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D76D8"/>
    <w:pPr>
      <w:spacing w:after="0" w:line="240" w:lineRule="auto"/>
    </w:pPr>
    <w:rPr>
      <w:rFonts w:ascii="Calibri" w:hAnsi="Calibri" w:cs="Calibri"/>
    </w:rPr>
  </w:style>
  <w:style w:type="paragraph" w:styleId="berschrift2">
    <w:name w:val="heading 2"/>
    <w:basedOn w:val="Standard"/>
    <w:link w:val="berschrift2Zchn"/>
    <w:uiPriority w:val="9"/>
    <w:semiHidden/>
    <w:unhideWhenUsed/>
    <w:qFormat/>
    <w:rsid w:val="00CD76D8"/>
    <w:pPr>
      <w:keepNext/>
      <w:spacing w:before="180" w:after="180"/>
      <w:ind w:left="1134" w:hanging="1134"/>
      <w:outlineLvl w:val="1"/>
    </w:pPr>
    <w:rPr>
      <w:rFonts w:ascii="Arial" w:hAnsi="Arial" w:cs="Arial"/>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semiHidden/>
    <w:rsid w:val="00CD76D8"/>
    <w:rPr>
      <w:rFonts w:ascii="Arial" w:hAnsi="Arial" w:cs="Arial"/>
      <w:sz w:val="32"/>
      <w:szCs w:val="32"/>
    </w:rPr>
  </w:style>
  <w:style w:type="character" w:customStyle="1" w:styleId="THChar">
    <w:name w:val="TH Char"/>
    <w:basedOn w:val="Absatz-Standardschriftart"/>
    <w:link w:val="TH"/>
    <w:locked/>
    <w:rsid w:val="00CD76D8"/>
    <w:rPr>
      <w:rFonts w:ascii="Arial" w:hAnsi="Arial" w:cs="Arial"/>
      <w:b/>
      <w:bCs/>
    </w:rPr>
  </w:style>
  <w:style w:type="paragraph" w:customStyle="1" w:styleId="TH">
    <w:name w:val="TH"/>
    <w:basedOn w:val="Standard"/>
    <w:link w:val="THChar"/>
    <w:rsid w:val="00CD76D8"/>
    <w:pPr>
      <w:keepNext/>
      <w:spacing w:before="60" w:after="180"/>
      <w:jc w:val="center"/>
    </w:pPr>
    <w:rPr>
      <w:rFonts w:ascii="Arial" w:hAnsi="Arial" w:cs="Arial"/>
      <w:b/>
      <w:bCs/>
    </w:rPr>
  </w:style>
  <w:style w:type="character" w:customStyle="1" w:styleId="TFChar">
    <w:name w:val="TF Char"/>
    <w:basedOn w:val="Absatz-Standardschriftart"/>
    <w:link w:val="TF"/>
    <w:locked/>
    <w:rsid w:val="00CD76D8"/>
    <w:rPr>
      <w:rFonts w:ascii="Arial" w:hAnsi="Arial" w:cs="Arial"/>
      <w:b/>
      <w:bCs/>
    </w:rPr>
  </w:style>
  <w:style w:type="paragraph" w:customStyle="1" w:styleId="TF">
    <w:name w:val="TF"/>
    <w:aliases w:val="left"/>
    <w:basedOn w:val="Standard"/>
    <w:link w:val="TFChar"/>
    <w:rsid w:val="00CD76D8"/>
    <w:pPr>
      <w:spacing w:after="240"/>
      <w:jc w:val="center"/>
    </w:pPr>
    <w:rPr>
      <w:rFonts w:ascii="Arial" w:hAnsi="Arial" w:cs="Arial"/>
      <w:b/>
      <w:bCs/>
    </w:rPr>
  </w:style>
  <w:style w:type="paragraph" w:styleId="Sprechblasentext">
    <w:name w:val="Balloon Text"/>
    <w:basedOn w:val="Standard"/>
    <w:link w:val="SprechblasentextZchn"/>
    <w:uiPriority w:val="99"/>
    <w:semiHidden/>
    <w:unhideWhenUsed/>
    <w:rsid w:val="00CD76D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D76D8"/>
    <w:rPr>
      <w:rFonts w:ascii="Tahoma" w:hAnsi="Tahoma" w:cs="Tahoma"/>
      <w:sz w:val="16"/>
      <w:szCs w:val="16"/>
    </w:rPr>
  </w:style>
  <w:style w:type="paragraph" w:styleId="Listenabsatz">
    <w:name w:val="List Paragraph"/>
    <w:basedOn w:val="Standard"/>
    <w:uiPriority w:val="34"/>
    <w:qFormat/>
    <w:rsid w:val="009D1965"/>
    <w:pPr>
      <w:ind w:left="720"/>
      <w:contextualSpacing/>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3B0ACA"/>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fr-FR" w:eastAsia="fr-FR"/>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B0ACA"/>
    <w:rPr>
      <w:rFonts w:ascii="Arial" w:eastAsia="MS Mincho" w:hAnsi="Arial" w:cs="Times New Roman"/>
      <w:b/>
      <w:noProof/>
      <w:sz w:val="18"/>
      <w:szCs w:val="20"/>
      <w:lang w:val="fr-FR" w:eastAsia="fr-FR"/>
    </w:rPr>
  </w:style>
  <w:style w:type="paragraph" w:customStyle="1" w:styleId="CRCoverPage">
    <w:name w:val="CR Cover Page"/>
    <w:link w:val="CRCoverPageChar"/>
    <w:rsid w:val="003B0ACA"/>
    <w:pPr>
      <w:spacing w:after="120" w:line="240" w:lineRule="auto"/>
    </w:pPr>
    <w:rPr>
      <w:rFonts w:ascii="Arial" w:eastAsia="MS Mincho" w:hAnsi="Arial" w:cs="Times New Roman"/>
      <w:sz w:val="20"/>
      <w:szCs w:val="20"/>
    </w:rPr>
  </w:style>
  <w:style w:type="character" w:customStyle="1" w:styleId="CRCoverPageChar">
    <w:name w:val="CR Cover Page Char"/>
    <w:link w:val="CRCoverPage"/>
    <w:rsid w:val="003B0ACA"/>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46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3311</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2017-09-29T13:56:00Z</dcterms:created>
  <dcterms:modified xsi:type="dcterms:W3CDTF">2017-09-29T13:56:00Z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936913264</vt:i4>
  </property>
  <property fmtid="{D5CDD505-2E9C-101B-9397-08002B2CF9AE}" pid="3" name="_NewReviewCycle">
    <vt:lpwstr/>
  </property>
  <property fmtid="{D5CDD505-2E9C-101B-9397-08002B2CF9AE}" pid="4" name="_EmailSubject">
    <vt:lpwstr>On-Demand SI</vt:lpwstr>
  </property>
  <property fmtid="{D5CDD505-2E9C-101B-9397-08002B2CF9AE}" pid="5" name="_AuthorEmail">
    <vt:lpwstr>tim.frost@vodafone.com</vt:lpwstr>
  </property>
  <property fmtid="{D5CDD505-2E9C-101B-9397-08002B2CF9AE}" pid="6" name="_AuthorEmailDisplayName">
    <vt:lpwstr>Frost, Tim, Vodafone Group</vt:lpwstr>
  </property>
  <property fmtid="{D5CDD505-2E9C-101B-9397-08002B2CF9AE}" pid="7" name="_ReviewingToolsShownOnce">
    <vt:lpwstr/>
  </property>
</Properties>
</file>