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CF52D0E"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998B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D019C1">
        <w:rPr>
          <w:color w:val="auto"/>
          <w:sz w:val="24"/>
        </w:rPr>
        <w:t>#99</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170</w:t>
      </w:r>
      <w:r w:rsidR="00902D34">
        <w:rPr>
          <w:i/>
          <w:color w:val="auto"/>
          <w:sz w:val="24"/>
          <w:lang w:eastAsia="zh-CN"/>
        </w:rPr>
        <w:t>8793</w:t>
      </w:r>
    </w:p>
    <w:p w14:paraId="2AE6D983" w14:textId="36146CE2" w:rsidR="007E1DEE" w:rsidRPr="00C036E6" w:rsidRDefault="001A68A6" w:rsidP="007E1DEE">
      <w:pPr>
        <w:pStyle w:val="Header"/>
        <w:tabs>
          <w:tab w:val="left" w:pos="6521"/>
        </w:tabs>
        <w:jc w:val="both"/>
        <w:rPr>
          <w:color w:val="auto"/>
          <w:sz w:val="24"/>
          <w:lang w:eastAsia="zh-CN"/>
        </w:rPr>
      </w:pPr>
      <w:r>
        <w:rPr>
          <w:color w:val="auto"/>
          <w:sz w:val="24"/>
          <w:lang w:eastAsia="zh-CN"/>
        </w:rPr>
        <w:t>Berlin</w:t>
      </w:r>
      <w:r w:rsidR="007E1DEE" w:rsidRPr="00943E97">
        <w:rPr>
          <w:color w:val="auto"/>
          <w:sz w:val="24"/>
        </w:rPr>
        <w:t xml:space="preserve">, </w:t>
      </w:r>
      <w:r>
        <w:rPr>
          <w:color w:val="auto"/>
          <w:sz w:val="24"/>
          <w:lang w:eastAsia="zh-CN"/>
        </w:rPr>
        <w:t>Germany</w:t>
      </w:r>
      <w:r w:rsidR="007E1DEE" w:rsidRPr="00943E97">
        <w:rPr>
          <w:color w:val="auto"/>
          <w:sz w:val="24"/>
        </w:rPr>
        <w:t xml:space="preserve">, </w:t>
      </w:r>
      <w:r w:rsidR="001C527B">
        <w:rPr>
          <w:rFonts w:hint="eastAsia"/>
          <w:color w:val="auto"/>
          <w:sz w:val="24"/>
          <w:lang w:eastAsia="zh-CN"/>
        </w:rPr>
        <w:t>2</w:t>
      </w:r>
      <w:r>
        <w:rPr>
          <w:color w:val="auto"/>
          <w:sz w:val="24"/>
          <w:lang w:eastAsia="zh-CN"/>
        </w:rPr>
        <w:t>1</w:t>
      </w:r>
      <w:r w:rsidR="007E1DEE" w:rsidRPr="00943E97">
        <w:rPr>
          <w:rFonts w:hint="eastAsia"/>
          <w:color w:val="auto"/>
          <w:sz w:val="24"/>
        </w:rPr>
        <w:t>-</w:t>
      </w:r>
      <w:r w:rsidR="001C527B">
        <w:rPr>
          <w:rFonts w:hint="eastAsia"/>
          <w:color w:val="auto"/>
          <w:sz w:val="24"/>
          <w:lang w:eastAsia="zh-CN"/>
        </w:rPr>
        <w:t>2</w:t>
      </w:r>
      <w:r>
        <w:rPr>
          <w:rFonts w:hint="eastAsia"/>
          <w:color w:val="auto"/>
          <w:sz w:val="24"/>
          <w:lang w:eastAsia="zh-CN"/>
        </w:rPr>
        <w:t>5</w:t>
      </w:r>
      <w:r w:rsidR="007E1DEE" w:rsidRPr="00943E97">
        <w:rPr>
          <w:rFonts w:hint="eastAsia"/>
          <w:color w:val="auto"/>
          <w:sz w:val="24"/>
        </w:rPr>
        <w:t xml:space="preserve"> </w:t>
      </w:r>
      <w:r>
        <w:rPr>
          <w:color w:val="auto"/>
          <w:sz w:val="24"/>
          <w:lang w:eastAsia="zh-CN"/>
        </w:rPr>
        <w:t>August</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1398BDE9"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5B7D1E">
        <w:rPr>
          <w:rFonts w:ascii="Arial" w:eastAsia="SimSun" w:hAnsi="Arial"/>
          <w:b/>
          <w:sz w:val="24"/>
          <w:lang w:val="en-US" w:eastAsia="zh-CN"/>
        </w:rPr>
        <w:t>10.</w:t>
      </w:r>
      <w:r w:rsidR="00FC229B">
        <w:rPr>
          <w:rFonts w:ascii="Arial" w:eastAsia="SimSun" w:hAnsi="Arial"/>
          <w:b/>
          <w:sz w:val="24"/>
          <w:lang w:val="en-US" w:eastAsia="zh-CN"/>
        </w:rPr>
        <w:t>2.</w:t>
      </w:r>
      <w:bookmarkStart w:id="1" w:name="_GoBack"/>
      <w:bookmarkEnd w:id="1"/>
      <w:r w:rsidR="00FC229B">
        <w:rPr>
          <w:rFonts w:ascii="Arial" w:eastAsia="SimSun" w:hAnsi="Arial"/>
          <w:b/>
          <w:sz w:val="24"/>
          <w:lang w:val="en-US" w:eastAsia="zh-CN"/>
        </w:rPr>
        <w:t>11</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45D0D7A"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93217B">
        <w:rPr>
          <w:rFonts w:ascii="Arial" w:hAnsi="Arial"/>
          <w:b/>
          <w:sz w:val="24"/>
          <w:lang w:val="en-US"/>
        </w:rPr>
        <w:t>Serving cell reporting</w:t>
      </w:r>
      <w:r w:rsidR="00270F4F">
        <w:rPr>
          <w:rFonts w:ascii="Arial" w:hAnsi="Arial"/>
          <w:b/>
          <w:sz w:val="24"/>
          <w:lang w:val="en-US"/>
        </w:rPr>
        <w:t xml:space="preserve"> in EN-DC</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6AFC50A" w14:textId="36A3AE88" w:rsidR="009350E8" w:rsidRDefault="0093217B">
      <w:r>
        <w:t>In LTE</w:t>
      </w:r>
      <w:r w:rsidR="00D772F1">
        <w:t xml:space="preserve"> CA and DC</w:t>
      </w:r>
      <w:r>
        <w:t xml:space="preserve">, </w:t>
      </w:r>
      <w:r w:rsidR="00395B4A">
        <w:t xml:space="preserve">the </w:t>
      </w:r>
      <w:r w:rsidR="006845AF">
        <w:t>LTE measurement report may also contain measured</w:t>
      </w:r>
      <w:r w:rsidR="00395B4A">
        <w:t xml:space="preserve"> result</w:t>
      </w:r>
      <w:r w:rsidR="00836F12">
        <w:t>s</w:t>
      </w:r>
      <w:r w:rsidR="00395B4A">
        <w:t xml:space="preserve"> </w:t>
      </w:r>
      <w:r w:rsidR="006845AF">
        <w:t>of</w:t>
      </w:r>
      <w:r w:rsidR="00D772F1">
        <w:t xml:space="preserve"> </w:t>
      </w:r>
      <w:r w:rsidR="003C272A">
        <w:t xml:space="preserve">all the serving cells, including </w:t>
      </w:r>
      <w:r w:rsidR="00D772F1">
        <w:t xml:space="preserve">the </w:t>
      </w:r>
      <w:proofErr w:type="spellStart"/>
      <w:r w:rsidR="00D772F1">
        <w:t>SCell</w:t>
      </w:r>
      <w:proofErr w:type="spellEnd"/>
      <w:r w:rsidR="003E7FEC">
        <w:t xml:space="preserve"> (both from MCG and SCG)</w:t>
      </w:r>
      <w:r w:rsidR="006845AF">
        <w:t xml:space="preserve"> </w:t>
      </w:r>
      <w:r w:rsidR="00395B4A">
        <w:t>measurement</w:t>
      </w:r>
      <w:r w:rsidR="00836F12">
        <w:t>s</w:t>
      </w:r>
      <w:r w:rsidR="00D772F1">
        <w:t xml:space="preserve"> (other than the </w:t>
      </w:r>
      <w:proofErr w:type="spellStart"/>
      <w:r w:rsidR="00D772F1">
        <w:t>PCell</w:t>
      </w:r>
      <w:proofErr w:type="spellEnd"/>
      <w:r w:rsidR="00D772F1">
        <w:t xml:space="preserve"> measurement)</w:t>
      </w:r>
      <w:r w:rsidR="00395B4A">
        <w:t xml:space="preserve">. The measured </w:t>
      </w:r>
      <w:r w:rsidR="006845AF">
        <w:t xml:space="preserve">result for each of the </w:t>
      </w:r>
      <w:proofErr w:type="spellStart"/>
      <w:r w:rsidR="006845AF">
        <w:t>SC</w:t>
      </w:r>
      <w:r w:rsidR="00395B4A">
        <w:t>ell</w:t>
      </w:r>
      <w:proofErr w:type="spellEnd"/>
      <w:r w:rsidR="00395B4A">
        <w:t xml:space="preserve"> is indexed by the serving cell index assigned when a </w:t>
      </w:r>
      <w:proofErr w:type="spellStart"/>
      <w:r w:rsidR="00395B4A">
        <w:t>SCell</w:t>
      </w:r>
      <w:proofErr w:type="spellEnd"/>
      <w:r w:rsidR="00395B4A">
        <w:t xml:space="preserve"> is added</w:t>
      </w:r>
      <w:r w:rsidR="006845AF">
        <w:t xml:space="preserve"> and the index implicitly indicate the DL frequency and PCI of the indicated </w:t>
      </w:r>
      <w:proofErr w:type="spellStart"/>
      <w:r w:rsidR="006845AF">
        <w:t>SCell</w:t>
      </w:r>
      <w:proofErr w:type="spellEnd"/>
      <w:r w:rsidR="00395B4A">
        <w:t>.</w:t>
      </w:r>
    </w:p>
    <w:p w14:paraId="4FC02463" w14:textId="48AFA76C" w:rsidR="0041634E" w:rsidRDefault="0041634E">
      <w:r>
        <w:t>In EN-DC and NGEN-DC, if the above is followed, the measurement result for the NR serving cell may also need to be provided as part o</w:t>
      </w:r>
      <w:r w:rsidR="006845AF">
        <w:t>f the serving cell measurement i</w:t>
      </w:r>
      <w:r>
        <w:t>n the LTE measurement report.</w:t>
      </w:r>
    </w:p>
    <w:p w14:paraId="4B279EE9" w14:textId="35454413" w:rsidR="0041634E" w:rsidRDefault="00B17719">
      <w:r>
        <w:t>In this</w:t>
      </w:r>
      <w:r w:rsidR="0041634E">
        <w:t xml:space="preserve"> contribution, it is discussed whether the measurement result of NR serving cell</w:t>
      </w:r>
      <w:r w:rsidR="00836F12">
        <w:t>(s)</w:t>
      </w:r>
      <w:r w:rsidR="0041634E">
        <w:t xml:space="preserve"> needs to be in the LTE measurement report.</w:t>
      </w:r>
    </w:p>
    <w:p w14:paraId="2AE6D98D" w14:textId="77777777" w:rsidR="003E1A61" w:rsidRDefault="003E1A61" w:rsidP="00F13226">
      <w:pPr>
        <w:pStyle w:val="Heading1"/>
      </w:pPr>
      <w:r>
        <w:t>Discussion</w:t>
      </w:r>
    </w:p>
    <w:p w14:paraId="389A972E" w14:textId="6C1C4520" w:rsidR="001440DA" w:rsidRDefault="001440DA" w:rsidP="001440DA">
      <w:pPr>
        <w:pStyle w:val="Heading2"/>
      </w:pPr>
      <w:r>
        <w:t>LTE CA and DC</w:t>
      </w:r>
    </w:p>
    <w:p w14:paraId="1DA689BE" w14:textId="406B591E" w:rsidR="001440DA" w:rsidRDefault="001440DA" w:rsidP="000F1E75">
      <w:r>
        <w:t>In LTE CA and DC,</w:t>
      </w:r>
      <w:r w:rsidR="00215B7B">
        <w:t xml:space="preserve"> other than the mandatory </w:t>
      </w:r>
      <w:r>
        <w:t>measured result</w:t>
      </w:r>
      <w:r w:rsidR="00215B7B">
        <w:t xml:space="preserve"> for </w:t>
      </w:r>
      <w:proofErr w:type="spellStart"/>
      <w:r w:rsidR="00215B7B">
        <w:t>PCell</w:t>
      </w:r>
      <w:proofErr w:type="spellEnd"/>
      <w:r>
        <w:t xml:space="preserve"> and the neighbour cell measured result that </w:t>
      </w:r>
      <w:r w:rsidR="00836F12">
        <w:t xml:space="preserve">triggered </w:t>
      </w:r>
      <w:r>
        <w:t>the measure</w:t>
      </w:r>
      <w:r w:rsidR="00B17719">
        <w:t>ment report, the measured report</w:t>
      </w:r>
      <w:r>
        <w:t xml:space="preserve"> may </w:t>
      </w:r>
      <w:r w:rsidR="00215B7B">
        <w:t xml:space="preserve">also </w:t>
      </w:r>
      <w:r w:rsidR="00B17719">
        <w:t>contain the</w:t>
      </w:r>
      <w:r w:rsidR="00215B7B">
        <w:t xml:space="preserve"> measured result</w:t>
      </w:r>
      <w:r w:rsidR="00836F12">
        <w:t>s</w:t>
      </w:r>
      <w:r w:rsidR="00215B7B">
        <w:t xml:space="preserve"> for</w:t>
      </w:r>
      <w:r w:rsidR="00B17719">
        <w:t xml:space="preserve"> </w:t>
      </w:r>
      <w:proofErr w:type="spellStart"/>
      <w:r w:rsidR="00B17719">
        <w:t>SCell</w:t>
      </w:r>
      <w:r w:rsidR="00836F12">
        <w:t>s</w:t>
      </w:r>
      <w:proofErr w:type="spellEnd"/>
      <w:r w:rsidR="00215B7B">
        <w:t xml:space="preserve"> </w:t>
      </w:r>
      <w:r w:rsidR="00B17719">
        <w:t>as shown in the following</w:t>
      </w:r>
      <w:r>
        <w:t>:</w:t>
      </w:r>
    </w:p>
    <w:p w14:paraId="3F54CD35" w14:textId="77777777" w:rsidR="001440DA" w:rsidRDefault="001440DA" w:rsidP="001440DA">
      <w:pPr>
        <w:pStyle w:val="PL"/>
        <w:shd w:val="clear" w:color="auto" w:fill="E6E6E6"/>
      </w:pPr>
      <w:r>
        <w:rPr>
          <w:rFonts w:eastAsia="SimSun"/>
          <w:lang w:eastAsia="zh-CN"/>
        </w:rPr>
        <w:t>measResultServFreqList-r10</w:t>
      </w:r>
      <w:r>
        <w:rPr>
          <w:rFonts w:eastAsia="SimSun"/>
          <w:lang w:eastAsia="zh-CN"/>
        </w:rPr>
        <w:tab/>
      </w:r>
      <w:r>
        <w:rPr>
          <w:rFonts w:eastAsia="SimSun"/>
          <w:lang w:eastAsia="zh-CN"/>
        </w:rPr>
        <w:tab/>
      </w:r>
      <w:r>
        <w:rPr>
          <w:rFonts w:eastAsia="SimSun"/>
          <w:lang w:eastAsia="zh-CN"/>
        </w:rPr>
        <w:tab/>
        <w:t>MeasResultServFreqList-r10</w:t>
      </w:r>
      <w:r>
        <w:tab/>
      </w:r>
      <w:r>
        <w:tab/>
        <w:t>OPTIONAL</w:t>
      </w:r>
    </w:p>
    <w:p w14:paraId="1AD342B0" w14:textId="77777777" w:rsidR="001440DA" w:rsidRDefault="001440DA" w:rsidP="001440DA">
      <w:pPr>
        <w:pStyle w:val="PL"/>
        <w:shd w:val="clear" w:color="auto" w:fill="E6E6E6"/>
      </w:pPr>
      <w:r>
        <w:rPr>
          <w:rFonts w:eastAsia="SimSun"/>
          <w:lang w:eastAsia="zh-CN"/>
        </w:rPr>
        <w:t>MeasResultServFreqList-r10</w:t>
      </w:r>
      <w:r>
        <w:t xml:space="preserve"> ::=</w:t>
      </w:r>
      <w:r>
        <w:tab/>
        <w:t xml:space="preserve">SEQUENCE (SIZE (1..maxServCell-r10)) OF </w:t>
      </w:r>
      <w:r>
        <w:rPr>
          <w:rFonts w:eastAsia="SimSun"/>
          <w:lang w:eastAsia="zh-CN"/>
        </w:rPr>
        <w:t>MeasResultServFreq-r10</w:t>
      </w:r>
    </w:p>
    <w:p w14:paraId="7C584BD2" w14:textId="77777777" w:rsidR="001440DA" w:rsidRDefault="001440DA" w:rsidP="001440DA">
      <w:pPr>
        <w:pStyle w:val="PL"/>
        <w:shd w:val="clear" w:color="auto" w:fill="E6E6E6"/>
      </w:pPr>
      <w:r>
        <w:rPr>
          <w:rFonts w:eastAsia="SimSun"/>
          <w:lang w:eastAsia="zh-CN"/>
        </w:rPr>
        <w:t>MeasResultServFreq-r10</w:t>
      </w:r>
      <w:r>
        <w:t xml:space="preserve"> ::=</w:t>
      </w:r>
      <w:r>
        <w:tab/>
      </w:r>
      <w:r>
        <w:tab/>
      </w:r>
      <w:r>
        <w:tab/>
        <w:t>SEQUENCE {</w:t>
      </w:r>
    </w:p>
    <w:p w14:paraId="6261A355" w14:textId="77777777" w:rsidR="001440DA" w:rsidRDefault="001440DA" w:rsidP="001440DA">
      <w:pPr>
        <w:pStyle w:val="PL"/>
        <w:shd w:val="clear" w:color="auto" w:fill="E6E6E6"/>
      </w:pPr>
      <w:r>
        <w:tab/>
        <w:t>servFreqId-r10</w:t>
      </w:r>
      <w:r>
        <w:tab/>
      </w:r>
      <w:r>
        <w:tab/>
      </w:r>
      <w:r>
        <w:tab/>
      </w:r>
      <w:r>
        <w:tab/>
      </w:r>
      <w:r>
        <w:tab/>
      </w:r>
      <w:r>
        <w:tab/>
        <w:t>ServCellIndex-r10,</w:t>
      </w:r>
    </w:p>
    <w:p w14:paraId="56C3F162" w14:textId="77777777" w:rsidR="001440DA" w:rsidRDefault="001440DA" w:rsidP="001440DA">
      <w:pPr>
        <w:pStyle w:val="PL"/>
        <w:shd w:val="clear" w:color="auto" w:fill="E6E6E6"/>
      </w:pPr>
      <w:r>
        <w:tab/>
        <w:t>measResultSCell-r10</w:t>
      </w:r>
      <w:r>
        <w:tab/>
      </w:r>
      <w:r>
        <w:tab/>
      </w:r>
      <w:r>
        <w:tab/>
      </w:r>
      <w:r>
        <w:tab/>
      </w:r>
      <w:r>
        <w:tab/>
        <w:t>SEQUENCE {</w:t>
      </w:r>
    </w:p>
    <w:p w14:paraId="36101FF5" w14:textId="77777777" w:rsidR="001440DA" w:rsidRDefault="001440DA" w:rsidP="001440DA">
      <w:pPr>
        <w:pStyle w:val="PL"/>
        <w:shd w:val="clear" w:color="auto" w:fill="E6E6E6"/>
      </w:pPr>
      <w:r>
        <w:tab/>
      </w:r>
      <w:r>
        <w:tab/>
        <w:t>rsrpResultSCell-r10</w:t>
      </w:r>
      <w:r>
        <w:tab/>
      </w:r>
      <w:r>
        <w:tab/>
      </w:r>
      <w:r>
        <w:tab/>
      </w:r>
      <w:r>
        <w:tab/>
      </w:r>
      <w:r>
        <w:tab/>
        <w:t>RSRP-Range,</w:t>
      </w:r>
    </w:p>
    <w:p w14:paraId="23A6CE4D" w14:textId="77777777" w:rsidR="001440DA" w:rsidRDefault="001440DA" w:rsidP="001440DA">
      <w:pPr>
        <w:pStyle w:val="PL"/>
        <w:shd w:val="clear" w:color="auto" w:fill="E6E6E6"/>
      </w:pPr>
      <w:r>
        <w:tab/>
      </w:r>
      <w:r>
        <w:tab/>
        <w:t>rsrqResultSCell-r10</w:t>
      </w:r>
      <w:r>
        <w:tab/>
      </w:r>
      <w:r>
        <w:tab/>
      </w:r>
      <w:r>
        <w:tab/>
      </w:r>
      <w:r>
        <w:tab/>
      </w:r>
      <w:r>
        <w:tab/>
        <w:t>RSRQ-Range</w:t>
      </w:r>
    </w:p>
    <w:p w14:paraId="514520B6" w14:textId="77777777" w:rsidR="001440DA" w:rsidRDefault="001440DA" w:rsidP="001440DA">
      <w:pPr>
        <w:pStyle w:val="PL"/>
        <w:shd w:val="clear" w:color="auto" w:fill="E6E6E6"/>
      </w:pPr>
      <w:r>
        <w:tab/>
        <w:t>}</w:t>
      </w:r>
      <w:r>
        <w:tab/>
      </w:r>
      <w:r>
        <w:tab/>
      </w:r>
      <w:r>
        <w:tab/>
      </w:r>
      <w:r>
        <w:tab/>
      </w:r>
      <w:r>
        <w:tab/>
      </w:r>
      <w:r>
        <w:tab/>
      </w:r>
      <w:r>
        <w:tab/>
      </w:r>
      <w:r>
        <w:tab/>
      </w:r>
      <w:r>
        <w:tab/>
      </w:r>
      <w:r>
        <w:tab/>
      </w:r>
      <w:r>
        <w:tab/>
      </w:r>
      <w:r>
        <w:tab/>
      </w:r>
      <w:r>
        <w:tab/>
      </w:r>
      <w:r>
        <w:tab/>
      </w:r>
      <w:r>
        <w:tab/>
        <w:t>OPTIONAL,</w:t>
      </w:r>
    </w:p>
    <w:p w14:paraId="6404BD8E" w14:textId="77777777" w:rsidR="001440DA" w:rsidRDefault="001440DA" w:rsidP="001440DA">
      <w:pPr>
        <w:pStyle w:val="PL"/>
        <w:shd w:val="clear" w:color="auto" w:fill="E6E6E6"/>
      </w:pPr>
      <w:r>
        <w:tab/>
        <w:t>measResultBestNeighCell-r10</w:t>
      </w:r>
      <w:r>
        <w:tab/>
      </w:r>
      <w:r>
        <w:tab/>
      </w:r>
      <w:r>
        <w:tab/>
        <w:t>SEQUENCE {</w:t>
      </w:r>
    </w:p>
    <w:p w14:paraId="24E8EFD1" w14:textId="77777777" w:rsidR="001440DA" w:rsidRDefault="001440DA" w:rsidP="001440DA">
      <w:pPr>
        <w:pStyle w:val="PL"/>
        <w:shd w:val="clear" w:color="auto" w:fill="E6E6E6"/>
      </w:pPr>
      <w:r>
        <w:tab/>
      </w:r>
      <w:r>
        <w:tab/>
        <w:t>physCellId-r10</w:t>
      </w:r>
      <w:r>
        <w:tab/>
      </w:r>
      <w:r>
        <w:tab/>
      </w:r>
      <w:r>
        <w:tab/>
      </w:r>
      <w:r>
        <w:tab/>
      </w:r>
      <w:r>
        <w:tab/>
      </w:r>
      <w:r>
        <w:tab/>
        <w:t>PhysCellId,</w:t>
      </w:r>
    </w:p>
    <w:p w14:paraId="1744E8BD" w14:textId="77777777" w:rsidR="001440DA" w:rsidRDefault="001440DA" w:rsidP="001440DA">
      <w:pPr>
        <w:pStyle w:val="PL"/>
        <w:shd w:val="clear" w:color="auto" w:fill="E6E6E6"/>
      </w:pPr>
      <w:r>
        <w:tab/>
      </w:r>
      <w:r>
        <w:tab/>
        <w:t>rsrpResultNCell-r10</w:t>
      </w:r>
      <w:r>
        <w:tab/>
      </w:r>
      <w:r>
        <w:tab/>
      </w:r>
      <w:r>
        <w:tab/>
      </w:r>
      <w:r>
        <w:tab/>
      </w:r>
      <w:r>
        <w:tab/>
        <w:t>RSRP-Range,</w:t>
      </w:r>
    </w:p>
    <w:p w14:paraId="49A15CE6" w14:textId="77777777" w:rsidR="001440DA" w:rsidRDefault="001440DA" w:rsidP="001440DA">
      <w:pPr>
        <w:pStyle w:val="PL"/>
        <w:shd w:val="clear" w:color="auto" w:fill="E6E6E6"/>
      </w:pPr>
      <w:r>
        <w:tab/>
      </w:r>
      <w:r>
        <w:tab/>
        <w:t>rsrqResultNCell-r10</w:t>
      </w:r>
      <w:r>
        <w:tab/>
      </w:r>
      <w:r>
        <w:tab/>
      </w:r>
      <w:r>
        <w:tab/>
      </w:r>
      <w:r>
        <w:tab/>
      </w:r>
      <w:r>
        <w:tab/>
        <w:t>RSRQ-Range</w:t>
      </w:r>
    </w:p>
    <w:p w14:paraId="4E75ACE9" w14:textId="77777777" w:rsidR="001440DA" w:rsidRDefault="001440DA" w:rsidP="001440DA">
      <w:pPr>
        <w:pStyle w:val="PL"/>
        <w:shd w:val="clear" w:color="auto" w:fill="E6E6E6"/>
      </w:pPr>
      <w:r>
        <w:tab/>
        <w:t>}</w:t>
      </w:r>
      <w:r>
        <w:tab/>
      </w:r>
      <w:r>
        <w:tab/>
      </w:r>
      <w:r>
        <w:tab/>
      </w:r>
      <w:r>
        <w:tab/>
      </w:r>
      <w:r>
        <w:tab/>
      </w:r>
      <w:r>
        <w:tab/>
      </w:r>
      <w:r>
        <w:tab/>
      </w:r>
      <w:r>
        <w:tab/>
      </w:r>
      <w:r>
        <w:tab/>
      </w:r>
      <w:r>
        <w:tab/>
      </w:r>
      <w:r>
        <w:tab/>
      </w:r>
      <w:r>
        <w:tab/>
      </w:r>
      <w:r>
        <w:tab/>
      </w:r>
      <w:r>
        <w:tab/>
      </w:r>
      <w:r>
        <w:tab/>
        <w:t>OPTIONAL,</w:t>
      </w:r>
    </w:p>
    <w:p w14:paraId="5ABF34BE" w14:textId="77777777" w:rsidR="001440DA" w:rsidRDefault="001440DA" w:rsidP="000F1E75"/>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40DA" w14:paraId="5E955CB0" w14:textId="77777777" w:rsidTr="001440D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38ABCA" w14:textId="77777777" w:rsidR="001440DA" w:rsidRDefault="001440DA">
            <w:pPr>
              <w:pStyle w:val="TAL"/>
              <w:rPr>
                <w:b/>
                <w:bCs/>
                <w:i/>
                <w:noProof/>
                <w:lang w:val="en-GB" w:eastAsia="en-GB"/>
              </w:rPr>
            </w:pPr>
            <w:r>
              <w:rPr>
                <w:b/>
                <w:bCs/>
                <w:i/>
                <w:noProof/>
                <w:lang w:val="en-GB" w:eastAsia="en-GB"/>
              </w:rPr>
              <w:t>MeasResultServFreqList</w:t>
            </w:r>
          </w:p>
          <w:p w14:paraId="37234185" w14:textId="77777777" w:rsidR="001440DA" w:rsidRDefault="001440DA">
            <w:pPr>
              <w:pStyle w:val="TAL"/>
              <w:rPr>
                <w:b/>
                <w:bCs/>
                <w:i/>
                <w:noProof/>
                <w:lang w:val="en-GB" w:eastAsia="en-GB"/>
              </w:rPr>
            </w:pPr>
            <w:r>
              <w:rPr>
                <w:lang w:val="en-GB" w:eastAsia="en-GB"/>
              </w:rPr>
              <w:t xml:space="preserve">Measured results of the serving frequencies: the measurement result of each </w:t>
            </w:r>
            <w:proofErr w:type="spellStart"/>
            <w:r>
              <w:rPr>
                <w:lang w:val="en-GB" w:eastAsia="en-GB"/>
              </w:rPr>
              <w:t>SCell</w:t>
            </w:r>
            <w:proofErr w:type="spellEnd"/>
            <w:r>
              <w:rPr>
                <w:lang w:val="en-GB" w:eastAsia="en-GB"/>
              </w:rPr>
              <w:t>, if any, and of the best neighbouring cell on each serving frequency.</w:t>
            </w:r>
            <w:r>
              <w:rPr>
                <w:bCs/>
                <w:noProof/>
                <w:lang w:val="en-GB" w:eastAsia="en-GB"/>
              </w:rPr>
              <w:t xml:space="preserve"> For BL UEs or UEs in CE, when operating in CE Mode B, </w:t>
            </w:r>
            <w:r>
              <w:rPr>
                <w:bCs/>
                <w:i/>
                <w:noProof/>
                <w:lang w:val="en-GB" w:eastAsia="en-GB"/>
              </w:rPr>
              <w:t>measResultBestNeighCell-v1360</w:t>
            </w:r>
            <w:r>
              <w:rPr>
                <w:bCs/>
                <w:noProof/>
                <w:lang w:val="en-GB" w:eastAsia="en-GB"/>
              </w:rPr>
              <w:t xml:space="preserve"> is reported if the measured RSRP is less than -140 dBm.</w:t>
            </w:r>
          </w:p>
        </w:tc>
      </w:tr>
    </w:tbl>
    <w:p w14:paraId="500617C9" w14:textId="353F4317" w:rsidR="001440DA" w:rsidRDefault="001440DA" w:rsidP="000F1E75">
      <w:r>
        <w:t>In the procedure text, this is further specified as follow:</w:t>
      </w:r>
    </w:p>
    <w:p w14:paraId="75C0D0E4" w14:textId="77777777" w:rsidR="001440DA" w:rsidRPr="00883B61" w:rsidRDefault="001440DA" w:rsidP="001440DA">
      <w:pPr>
        <w:pStyle w:val="B1"/>
        <w:rPr>
          <w:sz w:val="18"/>
          <w:szCs w:val="18"/>
        </w:rPr>
      </w:pPr>
      <w:r w:rsidRPr="00883B61">
        <w:rPr>
          <w:sz w:val="18"/>
          <w:szCs w:val="18"/>
        </w:rPr>
        <w:t>1&gt;</w:t>
      </w:r>
      <w:r w:rsidRPr="00883B61">
        <w:rPr>
          <w:sz w:val="18"/>
          <w:szCs w:val="18"/>
        </w:rPr>
        <w:tab/>
        <w:t xml:space="preserve">set the </w:t>
      </w:r>
      <w:proofErr w:type="spellStart"/>
      <w:r w:rsidRPr="00883B61">
        <w:rPr>
          <w:i/>
          <w:sz w:val="18"/>
          <w:szCs w:val="18"/>
        </w:rPr>
        <w:t>measResultServFreqList</w:t>
      </w:r>
      <w:proofErr w:type="spellEnd"/>
      <w:r w:rsidRPr="00883B61">
        <w:rPr>
          <w:sz w:val="18"/>
          <w:szCs w:val="18"/>
        </w:rPr>
        <w:t xml:space="preserve"> to include for each </w:t>
      </w:r>
      <w:proofErr w:type="spellStart"/>
      <w:r w:rsidRPr="00883B61">
        <w:rPr>
          <w:sz w:val="18"/>
          <w:szCs w:val="18"/>
        </w:rPr>
        <w:t>SCell</w:t>
      </w:r>
      <w:proofErr w:type="spellEnd"/>
      <w:r w:rsidRPr="00883B61">
        <w:rPr>
          <w:sz w:val="18"/>
          <w:szCs w:val="18"/>
        </w:rPr>
        <w:t xml:space="preserve"> that is configured, if any, within </w:t>
      </w:r>
      <w:proofErr w:type="spellStart"/>
      <w:r w:rsidRPr="00883B61">
        <w:rPr>
          <w:i/>
          <w:sz w:val="18"/>
          <w:szCs w:val="18"/>
        </w:rPr>
        <w:t>measResultSCell</w:t>
      </w:r>
      <w:proofErr w:type="spellEnd"/>
      <w:r w:rsidRPr="00883B61">
        <w:rPr>
          <w:sz w:val="18"/>
          <w:szCs w:val="18"/>
        </w:rPr>
        <w:t xml:space="preserve"> the quantities of the concerned </w:t>
      </w:r>
      <w:proofErr w:type="spellStart"/>
      <w:r w:rsidRPr="00883B61">
        <w:rPr>
          <w:sz w:val="18"/>
          <w:szCs w:val="18"/>
        </w:rPr>
        <w:t>SCell</w:t>
      </w:r>
      <w:proofErr w:type="spellEnd"/>
      <w:r w:rsidRPr="00883B61">
        <w:rPr>
          <w:sz w:val="18"/>
          <w:szCs w:val="18"/>
        </w:rPr>
        <w:t xml:space="preserve">, if available according to performance requirements in [16], except if </w:t>
      </w:r>
      <w:r w:rsidRPr="00883B61">
        <w:rPr>
          <w:i/>
          <w:sz w:val="18"/>
          <w:szCs w:val="18"/>
        </w:rPr>
        <w:t>purpose</w:t>
      </w:r>
      <w:r w:rsidRPr="00883B61">
        <w:rPr>
          <w:sz w:val="18"/>
          <w:szCs w:val="18"/>
        </w:rPr>
        <w:t xml:space="preserve"> for the</w:t>
      </w:r>
      <w:r w:rsidRPr="00883B61">
        <w:rPr>
          <w:i/>
          <w:sz w:val="18"/>
          <w:szCs w:val="18"/>
        </w:rPr>
        <w:t xml:space="preserve"> </w:t>
      </w:r>
      <w:proofErr w:type="spellStart"/>
      <w:r w:rsidRPr="00883B61">
        <w:rPr>
          <w:i/>
          <w:sz w:val="18"/>
          <w:szCs w:val="18"/>
        </w:rPr>
        <w:t>reportConfig</w:t>
      </w:r>
      <w:proofErr w:type="spellEnd"/>
      <w:r w:rsidRPr="00883B61">
        <w:rPr>
          <w:sz w:val="18"/>
          <w:szCs w:val="18"/>
        </w:rPr>
        <w:t xml:space="preserve"> associated with the </w:t>
      </w:r>
      <w:proofErr w:type="spellStart"/>
      <w:r w:rsidRPr="00883B61">
        <w:rPr>
          <w:i/>
          <w:sz w:val="18"/>
          <w:szCs w:val="18"/>
        </w:rPr>
        <w:t>measId</w:t>
      </w:r>
      <w:proofErr w:type="spellEnd"/>
      <w:r w:rsidRPr="00883B61">
        <w:rPr>
          <w:i/>
          <w:sz w:val="18"/>
          <w:szCs w:val="18"/>
        </w:rPr>
        <w:t xml:space="preserve"> </w:t>
      </w:r>
      <w:r w:rsidRPr="00883B61">
        <w:rPr>
          <w:sz w:val="18"/>
          <w:szCs w:val="18"/>
        </w:rPr>
        <w:t xml:space="preserve">that triggered the measurement reporting is set to </w:t>
      </w:r>
      <w:proofErr w:type="spellStart"/>
      <w:r w:rsidRPr="00883B61">
        <w:rPr>
          <w:i/>
          <w:sz w:val="18"/>
          <w:szCs w:val="18"/>
        </w:rPr>
        <w:t>reportLocation</w:t>
      </w:r>
      <w:proofErr w:type="spellEnd"/>
      <w:r w:rsidRPr="00883B61">
        <w:rPr>
          <w:sz w:val="18"/>
          <w:szCs w:val="18"/>
        </w:rPr>
        <w:t>;</w:t>
      </w:r>
    </w:p>
    <w:p w14:paraId="011AADC6" w14:textId="77777777" w:rsidR="001440DA" w:rsidRPr="00883B61" w:rsidRDefault="001440DA" w:rsidP="001440DA">
      <w:pPr>
        <w:pStyle w:val="B1"/>
        <w:rPr>
          <w:sz w:val="18"/>
          <w:szCs w:val="18"/>
        </w:rPr>
      </w:pPr>
      <w:r w:rsidRPr="00883B61">
        <w:rPr>
          <w:sz w:val="18"/>
          <w:szCs w:val="18"/>
        </w:rPr>
        <w:t>1&gt;</w:t>
      </w:r>
      <w:r w:rsidRPr="00883B61">
        <w:rPr>
          <w:sz w:val="18"/>
          <w:szCs w:val="18"/>
        </w:rPr>
        <w:tab/>
        <w:t xml:space="preserve">if the </w:t>
      </w:r>
      <w:proofErr w:type="spellStart"/>
      <w:r w:rsidRPr="00883B61">
        <w:rPr>
          <w:i/>
          <w:sz w:val="18"/>
          <w:szCs w:val="18"/>
        </w:rPr>
        <w:t>reportConfig</w:t>
      </w:r>
      <w:proofErr w:type="spellEnd"/>
      <w:r w:rsidRPr="00883B61">
        <w:rPr>
          <w:sz w:val="18"/>
          <w:szCs w:val="18"/>
        </w:rPr>
        <w:t xml:space="preserve"> associated with the </w:t>
      </w:r>
      <w:proofErr w:type="spellStart"/>
      <w:r w:rsidRPr="00883B61">
        <w:rPr>
          <w:i/>
          <w:sz w:val="18"/>
          <w:szCs w:val="18"/>
        </w:rPr>
        <w:t>measId</w:t>
      </w:r>
      <w:proofErr w:type="spellEnd"/>
      <w:r w:rsidRPr="00883B61">
        <w:rPr>
          <w:sz w:val="18"/>
          <w:szCs w:val="18"/>
        </w:rPr>
        <w:t xml:space="preserve"> that triggered the measurement reporting includes </w:t>
      </w:r>
      <w:proofErr w:type="spellStart"/>
      <w:r w:rsidRPr="00883B61">
        <w:rPr>
          <w:i/>
          <w:sz w:val="18"/>
          <w:szCs w:val="18"/>
        </w:rPr>
        <w:t>reportAddNeighMeas</w:t>
      </w:r>
      <w:proofErr w:type="spellEnd"/>
      <w:r w:rsidRPr="00883B61">
        <w:rPr>
          <w:sz w:val="18"/>
          <w:szCs w:val="18"/>
        </w:rPr>
        <w:t>:</w:t>
      </w:r>
    </w:p>
    <w:p w14:paraId="77893601" w14:textId="77777777" w:rsidR="001440DA" w:rsidRPr="00883B61" w:rsidRDefault="001440DA" w:rsidP="001440DA">
      <w:pPr>
        <w:pStyle w:val="B2"/>
        <w:rPr>
          <w:sz w:val="18"/>
          <w:szCs w:val="18"/>
        </w:rPr>
      </w:pPr>
      <w:r w:rsidRPr="00883B61">
        <w:rPr>
          <w:sz w:val="18"/>
          <w:szCs w:val="18"/>
        </w:rPr>
        <w:lastRenderedPageBreak/>
        <w:t>2&gt;</w:t>
      </w:r>
      <w:r w:rsidRPr="00883B61">
        <w:rPr>
          <w:sz w:val="18"/>
          <w:szCs w:val="18"/>
        </w:rPr>
        <w:tab/>
        <w:t>for each serving frequency for which</w:t>
      </w:r>
      <w:r w:rsidRPr="00883B61">
        <w:rPr>
          <w:i/>
          <w:sz w:val="18"/>
          <w:szCs w:val="18"/>
        </w:rPr>
        <w:t xml:space="preserve"> </w:t>
      </w:r>
      <w:proofErr w:type="spellStart"/>
      <w:r w:rsidRPr="00883B61">
        <w:rPr>
          <w:i/>
          <w:sz w:val="18"/>
          <w:szCs w:val="18"/>
        </w:rPr>
        <w:t>measObjectId</w:t>
      </w:r>
      <w:proofErr w:type="spellEnd"/>
      <w:r w:rsidRPr="00883B61">
        <w:rPr>
          <w:sz w:val="18"/>
          <w:szCs w:val="18"/>
        </w:rPr>
        <w:t xml:space="preserve"> is referenced</w:t>
      </w:r>
      <w:r w:rsidRPr="00883B61">
        <w:rPr>
          <w:i/>
          <w:sz w:val="18"/>
          <w:szCs w:val="18"/>
        </w:rPr>
        <w:t xml:space="preserve"> </w:t>
      </w:r>
      <w:r w:rsidRPr="00883B61">
        <w:rPr>
          <w:sz w:val="18"/>
          <w:szCs w:val="18"/>
        </w:rPr>
        <w:t xml:space="preserve">in the </w:t>
      </w:r>
      <w:proofErr w:type="spellStart"/>
      <w:r w:rsidRPr="00883B61">
        <w:rPr>
          <w:i/>
          <w:sz w:val="18"/>
          <w:szCs w:val="18"/>
        </w:rPr>
        <w:t>measIdList</w:t>
      </w:r>
      <w:proofErr w:type="spellEnd"/>
      <w:r w:rsidRPr="00883B61">
        <w:rPr>
          <w:sz w:val="18"/>
          <w:szCs w:val="18"/>
        </w:rPr>
        <w:t xml:space="preserve">, other than the frequency corresponding with the </w:t>
      </w:r>
      <w:proofErr w:type="spellStart"/>
      <w:r w:rsidRPr="00883B61">
        <w:rPr>
          <w:i/>
          <w:sz w:val="18"/>
          <w:szCs w:val="18"/>
        </w:rPr>
        <w:t>measId</w:t>
      </w:r>
      <w:proofErr w:type="spellEnd"/>
      <w:r w:rsidRPr="00883B61">
        <w:rPr>
          <w:sz w:val="18"/>
          <w:szCs w:val="18"/>
        </w:rPr>
        <w:t xml:space="preserve"> that triggered the measurement reporting</w:t>
      </w:r>
      <w:r w:rsidRPr="00883B61">
        <w:rPr>
          <w:noProof/>
          <w:sz w:val="18"/>
          <w:szCs w:val="18"/>
        </w:rPr>
        <w:t>:</w:t>
      </w:r>
    </w:p>
    <w:p w14:paraId="65E9C397" w14:textId="77777777" w:rsidR="001440DA" w:rsidRPr="00883B61" w:rsidRDefault="001440DA" w:rsidP="001440DA">
      <w:pPr>
        <w:pStyle w:val="B3"/>
        <w:rPr>
          <w:sz w:val="18"/>
          <w:szCs w:val="18"/>
          <w:lang w:val="en-GB"/>
        </w:rPr>
      </w:pPr>
      <w:r w:rsidRPr="00883B61">
        <w:rPr>
          <w:sz w:val="18"/>
          <w:szCs w:val="18"/>
          <w:lang w:val="en-GB" w:eastAsia="ko-KR"/>
        </w:rPr>
        <w:t>3&gt;</w:t>
      </w:r>
      <w:r w:rsidRPr="00883B61">
        <w:rPr>
          <w:sz w:val="18"/>
          <w:szCs w:val="18"/>
          <w:lang w:val="en-GB" w:eastAsia="ko-KR"/>
        </w:rPr>
        <w:tab/>
        <w:t xml:space="preserve">set the </w:t>
      </w:r>
      <w:proofErr w:type="spellStart"/>
      <w:r w:rsidRPr="00883B61">
        <w:rPr>
          <w:i/>
          <w:sz w:val="18"/>
          <w:szCs w:val="18"/>
          <w:lang w:val="en-GB"/>
        </w:rPr>
        <w:t>measResultServFreqList</w:t>
      </w:r>
      <w:proofErr w:type="spellEnd"/>
      <w:r w:rsidRPr="00883B61">
        <w:rPr>
          <w:sz w:val="18"/>
          <w:szCs w:val="18"/>
          <w:lang w:val="en-GB"/>
        </w:rPr>
        <w:t xml:space="preserve"> </w:t>
      </w:r>
      <w:r w:rsidRPr="00883B61">
        <w:rPr>
          <w:sz w:val="18"/>
          <w:szCs w:val="18"/>
          <w:lang w:val="en-GB" w:eastAsia="ko-KR"/>
        </w:rPr>
        <w:t xml:space="preserve">to include </w:t>
      </w:r>
      <w:r w:rsidRPr="00883B61">
        <w:rPr>
          <w:sz w:val="18"/>
          <w:szCs w:val="18"/>
          <w:lang w:val="en-GB"/>
        </w:rPr>
        <w:t xml:space="preserve">within </w:t>
      </w:r>
      <w:proofErr w:type="spellStart"/>
      <w:r w:rsidRPr="00883B61">
        <w:rPr>
          <w:i/>
          <w:sz w:val="18"/>
          <w:szCs w:val="18"/>
          <w:lang w:val="en-GB"/>
        </w:rPr>
        <w:t>measResultBestNeighCell</w:t>
      </w:r>
      <w:proofErr w:type="spellEnd"/>
      <w:r w:rsidRPr="00883B61">
        <w:rPr>
          <w:sz w:val="18"/>
          <w:szCs w:val="18"/>
          <w:lang w:val="en-GB"/>
        </w:rPr>
        <w:t xml:space="preserve"> </w:t>
      </w:r>
      <w:r w:rsidRPr="00883B61">
        <w:rPr>
          <w:sz w:val="18"/>
          <w:szCs w:val="18"/>
          <w:lang w:val="en-GB" w:eastAsia="ko-KR"/>
        </w:rPr>
        <w:t xml:space="preserve">the </w:t>
      </w:r>
      <w:proofErr w:type="spellStart"/>
      <w:r w:rsidRPr="00883B61">
        <w:rPr>
          <w:i/>
          <w:sz w:val="18"/>
          <w:szCs w:val="18"/>
          <w:lang w:val="en-GB" w:eastAsia="ko-KR"/>
        </w:rPr>
        <w:t>physCellId</w:t>
      </w:r>
      <w:proofErr w:type="spellEnd"/>
      <w:r w:rsidRPr="00883B61">
        <w:rPr>
          <w:sz w:val="18"/>
          <w:szCs w:val="18"/>
          <w:lang w:val="en-GB" w:eastAsia="ko-KR"/>
        </w:rPr>
        <w:t xml:space="preserve"> and the </w:t>
      </w:r>
      <w:r w:rsidRPr="00883B61">
        <w:rPr>
          <w:sz w:val="18"/>
          <w:szCs w:val="18"/>
          <w:lang w:val="en-GB"/>
        </w:rPr>
        <w:t xml:space="preserve">quantities of the </w:t>
      </w:r>
      <w:r w:rsidRPr="00883B61">
        <w:rPr>
          <w:sz w:val="18"/>
          <w:szCs w:val="18"/>
          <w:lang w:val="en-GB" w:eastAsia="ko-KR"/>
        </w:rPr>
        <w:t>best non-serving cell, based on RSRP,</w:t>
      </w:r>
      <w:r w:rsidRPr="00883B61">
        <w:rPr>
          <w:sz w:val="18"/>
          <w:szCs w:val="18"/>
          <w:lang w:val="en-GB"/>
        </w:rPr>
        <w:t xml:space="preserve"> on the concerned serving frequency;</w:t>
      </w:r>
    </w:p>
    <w:p w14:paraId="56FDA85D" w14:textId="051B4FE1" w:rsidR="001440DA" w:rsidRDefault="004D7AA0" w:rsidP="000F1E75">
      <w:r>
        <w:t xml:space="preserve">From the above, the </w:t>
      </w:r>
      <w:r w:rsidR="00215B7B">
        <w:t xml:space="preserve">measured result for </w:t>
      </w:r>
      <w:proofErr w:type="spellStart"/>
      <w:r w:rsidR="00215B7B">
        <w:t>SCell</w:t>
      </w:r>
      <w:proofErr w:type="spellEnd"/>
      <w:r>
        <w:t xml:space="preserve"> is provided for every measurement reporting except for reporting location.  </w:t>
      </w:r>
    </w:p>
    <w:p w14:paraId="14CB59DB" w14:textId="06FB0497" w:rsidR="001440DA" w:rsidRDefault="004D7AA0" w:rsidP="000F1E75">
      <w:r w:rsidRPr="004D7AA0">
        <w:rPr>
          <w:b/>
        </w:rPr>
        <w:t>Observation#1:</w:t>
      </w:r>
      <w:r>
        <w:t xml:space="preserve"> </w:t>
      </w:r>
      <w:r w:rsidR="00883B61">
        <w:t xml:space="preserve">Measured result for </w:t>
      </w:r>
      <w:proofErr w:type="spellStart"/>
      <w:r w:rsidR="00883B61">
        <w:t>SCell</w:t>
      </w:r>
      <w:r w:rsidR="003E7FEC">
        <w:t>s</w:t>
      </w:r>
      <w:proofErr w:type="spellEnd"/>
      <w:r w:rsidR="003E7FEC">
        <w:t xml:space="preserve"> (both from MCG and SCG)</w:t>
      </w:r>
      <w:r w:rsidR="00883B61">
        <w:t xml:space="preserve"> </w:t>
      </w:r>
      <w:r>
        <w:t xml:space="preserve">is provided for every measurement reporting except for reporting location. </w:t>
      </w:r>
    </w:p>
    <w:p w14:paraId="5842E63F" w14:textId="271245C1" w:rsidR="001440DA" w:rsidRDefault="00C617AB" w:rsidP="00C617AB">
      <w:pPr>
        <w:pStyle w:val="Heading2"/>
      </w:pPr>
      <w:r>
        <w:t xml:space="preserve">EN-DC and NGEN-DC </w:t>
      </w:r>
    </w:p>
    <w:p w14:paraId="272391F7" w14:textId="34C3FA14" w:rsidR="000B6F71" w:rsidRPr="000B6F71" w:rsidRDefault="00A75B9B" w:rsidP="000B6F71">
      <w:pPr>
        <w:pStyle w:val="Heading3"/>
      </w:pPr>
      <w:r>
        <w:t>Need of NR SN serving cell measurement</w:t>
      </w:r>
      <w:r w:rsidR="000B6F71">
        <w:t xml:space="preserve"> by MN for SN management</w:t>
      </w:r>
    </w:p>
    <w:p w14:paraId="3E65BD71" w14:textId="295BF179" w:rsidR="00D94159" w:rsidRDefault="00EB5B61" w:rsidP="000F1E75">
      <w:r>
        <w:t>It is agreed in the last meeting:</w:t>
      </w:r>
    </w:p>
    <w:p w14:paraId="6C0DC893" w14:textId="77777777" w:rsidR="00EB5B61" w:rsidRDefault="00EB5B61" w:rsidP="00EB5B61">
      <w:pPr>
        <w:pStyle w:val="Doc-text2"/>
        <w:pBdr>
          <w:top w:val="single" w:sz="4" w:space="1" w:color="auto"/>
          <w:left w:val="single" w:sz="4" w:space="4" w:color="auto"/>
          <w:bottom w:val="single" w:sz="4" w:space="1" w:color="auto"/>
          <w:right w:val="single" w:sz="4" w:space="4" w:color="auto"/>
        </w:pBdr>
      </w:pPr>
      <w:r w:rsidRPr="00EB5B61">
        <w:rPr>
          <w:color w:val="auto"/>
        </w:rPr>
        <w:t>Agreements related to SCG cell related parameters (at least for EN-DC)</w:t>
      </w:r>
    </w:p>
    <w:p w14:paraId="7C4D4847" w14:textId="03B2C264" w:rsidR="00D94159" w:rsidRPr="00D94159" w:rsidRDefault="00D94159" w:rsidP="00D9415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D94159">
        <w:rPr>
          <w:rFonts w:ascii="Arial" w:eastAsia="MS Mincho" w:hAnsi="Arial" w:cs="Arial"/>
          <w:szCs w:val="24"/>
        </w:rPr>
        <w:t>1</w:t>
      </w:r>
      <w:r w:rsidRPr="00D94159">
        <w:rPr>
          <w:rFonts w:ascii="Arial" w:eastAsia="MS Mincho" w:hAnsi="Arial" w:cs="Arial"/>
          <w:szCs w:val="24"/>
        </w:rPr>
        <w:tab/>
        <w:t xml:space="preserve">RAN2 confirm that MN only initiates SN addition/ release i.e. that MN initiated SCG </w:t>
      </w:r>
      <w:r>
        <w:rPr>
          <w:rFonts w:ascii="Arial" w:eastAsia="MS Mincho" w:hAnsi="Arial" w:cs="Arial"/>
          <w:szCs w:val="24"/>
        </w:rPr>
        <w:t xml:space="preserve">(cell) </w:t>
      </w:r>
      <w:r w:rsidRPr="00D94159">
        <w:rPr>
          <w:rFonts w:ascii="Arial" w:eastAsia="MS Mincho" w:hAnsi="Arial" w:cs="Arial"/>
          <w:szCs w:val="24"/>
        </w:rPr>
        <w:t>addition/ release is not supported</w:t>
      </w:r>
    </w:p>
    <w:p w14:paraId="3BDACFD1" w14:textId="77777777" w:rsidR="00D94159" w:rsidRPr="00D94159" w:rsidRDefault="00D94159" w:rsidP="00D9415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D94159">
        <w:rPr>
          <w:rFonts w:ascii="Arial" w:eastAsia="MS Mincho" w:hAnsi="Arial" w:cs="Arial"/>
          <w:szCs w:val="24"/>
        </w:rPr>
        <w:t>2.1</w:t>
      </w:r>
      <w:r w:rsidRPr="00D94159">
        <w:rPr>
          <w:rFonts w:ascii="Arial" w:eastAsia="MS Mincho" w:hAnsi="Arial" w:cs="Arial"/>
          <w:szCs w:val="24"/>
        </w:rPr>
        <w:tab/>
        <w:t>(At SN addition) MN provides measurement results rather than explicitly indicating the SCG cell to be added</w:t>
      </w:r>
    </w:p>
    <w:p w14:paraId="546360DD" w14:textId="77777777" w:rsidR="00D94159" w:rsidRPr="00D94159" w:rsidRDefault="00D94159" w:rsidP="00D9415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D94159">
        <w:rPr>
          <w:rFonts w:ascii="Arial" w:eastAsia="MS Mincho" w:hAnsi="Arial" w:cs="Arial"/>
          <w:szCs w:val="24"/>
        </w:rPr>
        <w:t>2.2</w:t>
      </w:r>
      <w:r w:rsidRPr="00D94159">
        <w:rPr>
          <w:rFonts w:ascii="Arial" w:eastAsia="MS Mincho" w:hAnsi="Arial" w:cs="Arial"/>
          <w:szCs w:val="24"/>
        </w:rPr>
        <w:tab/>
        <w:t>No further SCG cell related parameters(beyond the measurements) need to be exchanged (i.e. no need for inter-node signalling regarding SCG cell addition assuming UE capability related info is indicated differently)</w:t>
      </w:r>
    </w:p>
    <w:p w14:paraId="0387D342" w14:textId="77777777" w:rsidR="00D94159" w:rsidRPr="00D94159" w:rsidRDefault="00D94159" w:rsidP="00D9415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D94159">
        <w:rPr>
          <w:rFonts w:ascii="Arial" w:eastAsia="MS Mincho" w:hAnsi="Arial" w:cs="Arial"/>
          <w:szCs w:val="24"/>
        </w:rPr>
        <w:t>3</w:t>
      </w:r>
      <w:r w:rsidRPr="00D94159">
        <w:rPr>
          <w:rFonts w:ascii="Arial" w:eastAsia="MS Mincho" w:hAnsi="Arial" w:cs="Arial"/>
          <w:szCs w:val="24"/>
        </w:rPr>
        <w:tab/>
        <w:t>Measurement results provided by MN to SN at SN addition are specified by RRC (inter node message). FFS whether encoding of measurements is defined in NR or LTE RRC.</w:t>
      </w:r>
    </w:p>
    <w:p w14:paraId="1327EF7E" w14:textId="77777777" w:rsidR="00D94159" w:rsidRDefault="00D94159" w:rsidP="000F1E75"/>
    <w:p w14:paraId="4075A67F" w14:textId="77777777" w:rsidR="00741BA0" w:rsidRDefault="00741BA0" w:rsidP="00741BA0">
      <w:r>
        <w:t>And on the inter-RAT event:</w:t>
      </w:r>
    </w:p>
    <w:p w14:paraId="7C81307F" w14:textId="77777777" w:rsidR="00741BA0" w:rsidRDefault="00741BA0" w:rsidP="00741BA0">
      <w:pPr>
        <w:pStyle w:val="Doc-text2"/>
      </w:pPr>
    </w:p>
    <w:p w14:paraId="032E7A97" w14:textId="77777777" w:rsidR="00741BA0" w:rsidRPr="00EB5B61" w:rsidRDefault="00741BA0" w:rsidP="00741BA0">
      <w:pPr>
        <w:pStyle w:val="Doc-text2"/>
        <w:pBdr>
          <w:top w:val="single" w:sz="4" w:space="1" w:color="auto"/>
          <w:left w:val="single" w:sz="4" w:space="4" w:color="auto"/>
          <w:bottom w:val="single" w:sz="4" w:space="1" w:color="auto"/>
          <w:right w:val="single" w:sz="4" w:space="4" w:color="auto"/>
        </w:pBdr>
        <w:rPr>
          <w:color w:val="auto"/>
        </w:rPr>
      </w:pPr>
      <w:r w:rsidRPr="00EB5B61">
        <w:rPr>
          <w:color w:val="auto"/>
        </w:rPr>
        <w:t>Agreements</w:t>
      </w:r>
    </w:p>
    <w:p w14:paraId="2921AF79" w14:textId="77777777" w:rsidR="00741BA0" w:rsidRPr="00EB5B61" w:rsidRDefault="00741BA0" w:rsidP="00741BA0">
      <w:pPr>
        <w:pStyle w:val="Doc-text2"/>
        <w:pBdr>
          <w:top w:val="single" w:sz="4" w:space="1" w:color="auto"/>
          <w:left w:val="single" w:sz="4" w:space="4" w:color="auto"/>
          <w:bottom w:val="single" w:sz="4" w:space="1" w:color="auto"/>
          <w:right w:val="single" w:sz="4" w:space="4" w:color="auto"/>
        </w:pBdr>
        <w:rPr>
          <w:color w:val="auto"/>
        </w:rPr>
      </w:pPr>
      <w:r w:rsidRPr="00EB5B61">
        <w:rPr>
          <w:color w:val="auto"/>
        </w:rPr>
        <w:t>1</w:t>
      </w:r>
      <w:r w:rsidRPr="00EB5B61">
        <w:rPr>
          <w:color w:val="auto"/>
        </w:rPr>
        <w:tab/>
        <w:t>LTE inter-RAT measurement trigger event B1 for NR to be supported</w:t>
      </w:r>
    </w:p>
    <w:p w14:paraId="0C558CC7" w14:textId="77777777" w:rsidR="00741BA0" w:rsidRPr="00EB5B61" w:rsidRDefault="00741BA0" w:rsidP="00741BA0">
      <w:pPr>
        <w:pStyle w:val="Doc-text2"/>
        <w:pBdr>
          <w:top w:val="single" w:sz="4" w:space="1" w:color="auto"/>
          <w:left w:val="single" w:sz="4" w:space="4" w:color="auto"/>
          <w:bottom w:val="single" w:sz="4" w:space="1" w:color="auto"/>
          <w:right w:val="single" w:sz="4" w:space="4" w:color="auto"/>
        </w:pBdr>
        <w:rPr>
          <w:color w:val="auto"/>
        </w:rPr>
      </w:pPr>
      <w:r w:rsidRPr="00EB5B61">
        <w:rPr>
          <w:color w:val="auto"/>
        </w:rPr>
        <w:t xml:space="preserve">FFS Whether a measurement trigger event is needed in LTE which is triggered when NR </w:t>
      </w:r>
      <w:proofErr w:type="spellStart"/>
      <w:r w:rsidRPr="00EB5B61">
        <w:rPr>
          <w:color w:val="auto"/>
        </w:rPr>
        <w:t>PSCell</w:t>
      </w:r>
      <w:proofErr w:type="spellEnd"/>
      <w:r w:rsidRPr="00EB5B61">
        <w:rPr>
          <w:color w:val="auto"/>
        </w:rPr>
        <w:t xml:space="preserve"> becomes worse than an absolute threshold.</w:t>
      </w:r>
    </w:p>
    <w:p w14:paraId="49067447" w14:textId="77777777" w:rsidR="00741BA0" w:rsidRPr="00EB5B61" w:rsidRDefault="00741BA0" w:rsidP="00741BA0">
      <w:pPr>
        <w:pStyle w:val="Doc-text2"/>
        <w:pBdr>
          <w:top w:val="single" w:sz="4" w:space="1" w:color="auto"/>
          <w:left w:val="single" w:sz="4" w:space="4" w:color="auto"/>
          <w:bottom w:val="single" w:sz="4" w:space="1" w:color="auto"/>
          <w:right w:val="single" w:sz="4" w:space="4" w:color="auto"/>
        </w:pBdr>
        <w:rPr>
          <w:color w:val="auto"/>
        </w:rPr>
      </w:pPr>
      <w:r w:rsidRPr="00EB5B61">
        <w:rPr>
          <w:color w:val="auto"/>
        </w:rPr>
        <w:t xml:space="preserve">FFS A measurement trigger event is needed in LTE which is triggered when NR </w:t>
      </w:r>
      <w:proofErr w:type="spellStart"/>
      <w:r w:rsidRPr="00EB5B61">
        <w:rPr>
          <w:color w:val="auto"/>
        </w:rPr>
        <w:t>PSCell</w:t>
      </w:r>
      <w:proofErr w:type="spellEnd"/>
      <w:r w:rsidRPr="00EB5B61">
        <w:rPr>
          <w:color w:val="auto"/>
        </w:rPr>
        <w:t xml:space="preserve"> becomes worse than absolute threshold1 and NR neighbour cell on a different carrier becomes better than absolute threshold2.</w:t>
      </w:r>
    </w:p>
    <w:p w14:paraId="0BE934FA" w14:textId="77777777" w:rsidR="00741BA0" w:rsidRDefault="00741BA0" w:rsidP="000F1E75"/>
    <w:p w14:paraId="738EB032" w14:textId="6FA47907" w:rsidR="00741BA0" w:rsidRDefault="00BC31E7" w:rsidP="00BC31E7">
      <w:r>
        <w:t>From the above agreement</w:t>
      </w:r>
      <w:r w:rsidR="000B6F71">
        <w:t>s</w:t>
      </w:r>
      <w:r>
        <w:t>, MN only initiates SN addition base</w:t>
      </w:r>
      <w:r w:rsidR="002966A2">
        <w:t xml:space="preserve">d on </w:t>
      </w:r>
      <w:r w:rsidR="00D63E9A">
        <w:t xml:space="preserve">the </w:t>
      </w:r>
      <w:r w:rsidR="002966A2">
        <w:t>received</w:t>
      </w:r>
      <w:r>
        <w:t xml:space="preserve"> measurement report from </w:t>
      </w:r>
      <w:r w:rsidR="00D63E9A">
        <w:t xml:space="preserve">the MN </w:t>
      </w:r>
      <w:r>
        <w:t xml:space="preserve">measurement configuration. </w:t>
      </w:r>
      <w:r w:rsidR="002966A2">
        <w:t>Such measurement configuration for SN addition can be performed by configuring an Event B1 for NR. Based on the above, it will seem useful in the case of SN change</w:t>
      </w:r>
      <w:r w:rsidR="00F1029A">
        <w:t xml:space="preserve"> (if Event B1 is used to find new SN)</w:t>
      </w:r>
      <w:r w:rsidR="002966A2">
        <w:t xml:space="preserve"> to provide the </w:t>
      </w:r>
      <w:r w:rsidR="00D63E9A">
        <w:t xml:space="preserve">SN </w:t>
      </w:r>
      <w:r w:rsidR="004B463C">
        <w:t xml:space="preserve">NR </w:t>
      </w:r>
      <w:r w:rsidR="002966A2">
        <w:t>serving cells measurement</w:t>
      </w:r>
      <w:r w:rsidR="00D63E9A">
        <w:t>s</w:t>
      </w:r>
      <w:r w:rsidR="002966A2">
        <w:t xml:space="preserve"> in the same LTE measurement report</w:t>
      </w:r>
      <w:r w:rsidR="00BC16F3">
        <w:t xml:space="preserve"> as the Event B1 that triggers</w:t>
      </w:r>
      <w:r w:rsidR="00A75B9B">
        <w:t xml:space="preserve"> the report. In the case that a specific</w:t>
      </w:r>
      <w:r w:rsidR="00BC16F3">
        <w:t xml:space="preserve"> event for LTE</w:t>
      </w:r>
      <w:r w:rsidR="00A75B9B">
        <w:t xml:space="preserve"> MN</w:t>
      </w:r>
      <w:r w:rsidR="00BC16F3">
        <w:t xml:space="preserve"> trigger SN change is agreed</w:t>
      </w:r>
      <w:r w:rsidR="00A75B9B">
        <w:t xml:space="preserve"> (e.g. </w:t>
      </w:r>
      <w:r w:rsidR="00A75B9B" w:rsidRPr="00EB5B61">
        <w:t xml:space="preserve">when NR </w:t>
      </w:r>
      <w:proofErr w:type="spellStart"/>
      <w:r w:rsidR="00A75B9B" w:rsidRPr="00EB5B61">
        <w:t>PSCell</w:t>
      </w:r>
      <w:proofErr w:type="spellEnd"/>
      <w:r w:rsidR="00A75B9B" w:rsidRPr="00EB5B61">
        <w:t xml:space="preserve"> becomes worse than absolute threshold1 and NR neighbour cell on a different carrier becomes better than absolute threshold2</w:t>
      </w:r>
      <w:r w:rsidR="00A75B9B">
        <w:t>)</w:t>
      </w:r>
      <w:r w:rsidR="00BC16F3">
        <w:t>, there is also a</w:t>
      </w:r>
      <w:r w:rsidR="00A75B9B">
        <w:t xml:space="preserve"> need to provide the measured</w:t>
      </w:r>
      <w:r w:rsidR="00BC16F3">
        <w:t xml:space="preserve"> result of at least the </w:t>
      </w:r>
      <w:proofErr w:type="spellStart"/>
      <w:r w:rsidR="00BC16F3">
        <w:t>PSCell</w:t>
      </w:r>
      <w:proofErr w:type="spellEnd"/>
      <w:r w:rsidR="00BC16F3">
        <w:t xml:space="preserve"> to the </w:t>
      </w:r>
      <w:proofErr w:type="spellStart"/>
      <w:r w:rsidR="00BC16F3">
        <w:t>eNB</w:t>
      </w:r>
      <w:proofErr w:type="spellEnd"/>
      <w:r w:rsidR="00BC16F3">
        <w:t xml:space="preserve">, on top of the </w:t>
      </w:r>
      <w:r w:rsidR="00A75B9B">
        <w:t xml:space="preserve">NR </w:t>
      </w:r>
      <w:r w:rsidR="00BC16F3">
        <w:t>neighbour cell</w:t>
      </w:r>
      <w:r w:rsidR="00A75B9B">
        <w:t>s</w:t>
      </w:r>
      <w:r w:rsidR="00BC16F3">
        <w:t xml:space="preserve"> that trigger the event.</w:t>
      </w:r>
      <w:r w:rsidR="002966A2">
        <w:t xml:space="preserve"> </w:t>
      </w:r>
    </w:p>
    <w:p w14:paraId="5D05773E" w14:textId="21D666DF" w:rsidR="00741BA0" w:rsidRDefault="00A75B9B" w:rsidP="00BC31E7">
      <w:r>
        <w:rPr>
          <w:b/>
        </w:rPr>
        <w:t>Observation#2</w:t>
      </w:r>
      <w:r w:rsidR="00BC16F3" w:rsidRPr="00BC16F3">
        <w:rPr>
          <w:b/>
        </w:rPr>
        <w:t>:</w:t>
      </w:r>
      <w:r w:rsidR="00BC16F3">
        <w:t xml:space="preserve"> It would be beneficial for the MN to know the NR SN serving cell</w:t>
      </w:r>
      <w:r w:rsidR="00FE17D3">
        <w:t xml:space="preserve"> measurement</w:t>
      </w:r>
      <w:r w:rsidR="00BC16F3">
        <w:t xml:space="preserve"> for NR related event </w:t>
      </w:r>
      <w:r w:rsidR="00FE17D3">
        <w:t xml:space="preserve">reporting </w:t>
      </w:r>
      <w:r w:rsidR="00BC16F3">
        <w:t xml:space="preserve">(e.g. event </w:t>
      </w:r>
      <w:r w:rsidR="00FE17D3">
        <w:t xml:space="preserve">reporting such </w:t>
      </w:r>
      <w:r w:rsidR="00BC16F3">
        <w:t>as LTE inter-RAT measurement trigger event B1 for NR neighbour)</w:t>
      </w:r>
      <w:r w:rsidR="00FE17D3">
        <w:t>.</w:t>
      </w:r>
    </w:p>
    <w:p w14:paraId="221E60B7" w14:textId="45265F85" w:rsidR="00F75607" w:rsidRDefault="00F75607" w:rsidP="00BC31E7">
      <w:r>
        <w:lastRenderedPageBreak/>
        <w:t>Hence it is proposed:</w:t>
      </w:r>
    </w:p>
    <w:p w14:paraId="11F9CE6C" w14:textId="2F8B9F89" w:rsidR="009D258F" w:rsidRDefault="009D258F" w:rsidP="00BC31E7">
      <w:r w:rsidRPr="009D258F">
        <w:rPr>
          <w:b/>
        </w:rPr>
        <w:t>Proposal#1:</w:t>
      </w:r>
      <w:r>
        <w:t xml:space="preserve"> NR SN serving cell measurement</w:t>
      </w:r>
      <w:r w:rsidR="001D3529">
        <w:t>s</w:t>
      </w:r>
      <w:r>
        <w:t xml:space="preserve"> are provided in NR related event reporting (e.g. Event B1 where the event is linked to measurement object related to NR frequency) </w:t>
      </w:r>
    </w:p>
    <w:p w14:paraId="35BC67FB" w14:textId="605CF7DE" w:rsidR="00741BA0" w:rsidRDefault="00A75B9B" w:rsidP="00BC16F3">
      <w:pPr>
        <w:pStyle w:val="Heading3"/>
      </w:pPr>
      <w:r>
        <w:t>Need of NR SN serving cell measurement</w:t>
      </w:r>
      <w:r w:rsidR="00BC16F3">
        <w:t xml:space="preserve"> by MN for intra-LTE </w:t>
      </w:r>
      <w:r>
        <w:t>or non-NR</w:t>
      </w:r>
      <w:r w:rsidR="006A68B1">
        <w:t xml:space="preserve"> inter-RAT</w:t>
      </w:r>
      <w:r>
        <w:t xml:space="preserve"> events</w:t>
      </w:r>
    </w:p>
    <w:p w14:paraId="1C83E79E" w14:textId="51DFB07C" w:rsidR="00780E29" w:rsidRDefault="00780E29" w:rsidP="00BC16F3">
      <w:r>
        <w:t>Event A series</w:t>
      </w:r>
      <w:r w:rsidR="00ED5497">
        <w:t xml:space="preserve"> are used for intra-LTE handover and for </w:t>
      </w:r>
      <w:r w:rsidR="00F75607">
        <w:t xml:space="preserve">LTE </w:t>
      </w:r>
      <w:proofErr w:type="spellStart"/>
      <w:r w:rsidR="00ED5497">
        <w:t>SCell</w:t>
      </w:r>
      <w:proofErr w:type="spellEnd"/>
      <w:r w:rsidR="00ED5497">
        <w:t xml:space="preserve"> management.  For intra-LTE handover, Event A3 and A5 are typically used </w:t>
      </w:r>
      <w:r w:rsidR="005F6752">
        <w:t xml:space="preserve">which </w:t>
      </w:r>
      <w:r w:rsidR="00ED5497">
        <w:t>co</w:t>
      </w:r>
      <w:r w:rsidR="005F6752">
        <w:t xml:space="preserve">mpare between the </w:t>
      </w:r>
      <w:proofErr w:type="spellStart"/>
      <w:r w:rsidR="005F6752">
        <w:t>PCell</w:t>
      </w:r>
      <w:proofErr w:type="spellEnd"/>
      <w:r w:rsidR="005F6752">
        <w:t xml:space="preserve"> and </w:t>
      </w:r>
      <w:r w:rsidR="00ED5497">
        <w:t>neighbour</w:t>
      </w:r>
      <w:r w:rsidR="005F6752">
        <w:t>ing</w:t>
      </w:r>
      <w:r w:rsidR="00ED5497">
        <w:t xml:space="preserve"> LTE cell</w:t>
      </w:r>
      <w:r w:rsidR="005F6752">
        <w:t>(</w:t>
      </w:r>
      <w:r w:rsidR="00ED5497">
        <w:t>s</w:t>
      </w:r>
      <w:r w:rsidR="005F6752">
        <w:t>)</w:t>
      </w:r>
      <w:r w:rsidR="00ED5497">
        <w:t>.</w:t>
      </w:r>
      <w:r w:rsidR="005F6752">
        <w:t xml:space="preserve"> Knowing the measured results for NR serving cells do not seem useful here. For </w:t>
      </w:r>
      <w:r w:rsidR="00770385">
        <w:t xml:space="preserve">LTE </w:t>
      </w:r>
      <w:proofErr w:type="spellStart"/>
      <w:r w:rsidR="005F6752">
        <w:t>SCell</w:t>
      </w:r>
      <w:proofErr w:type="spellEnd"/>
      <w:r w:rsidR="005F6752">
        <w:t xml:space="preserve"> management, Event A2 (</w:t>
      </w:r>
      <w:proofErr w:type="spellStart"/>
      <w:r w:rsidR="005F6752">
        <w:t>SCell</w:t>
      </w:r>
      <w:proofErr w:type="spellEnd"/>
      <w:r w:rsidR="005F6752">
        <w:t xml:space="preserve"> release), Event A3/A4/A5 (</w:t>
      </w:r>
      <w:proofErr w:type="spellStart"/>
      <w:r w:rsidR="005F6752">
        <w:t>SCell</w:t>
      </w:r>
      <w:proofErr w:type="spellEnd"/>
      <w:r w:rsidR="005F6752">
        <w:t xml:space="preserve"> addition) and Event A6 (</w:t>
      </w:r>
      <w:proofErr w:type="spellStart"/>
      <w:r w:rsidR="005F6752">
        <w:t>SCell</w:t>
      </w:r>
      <w:proofErr w:type="spellEnd"/>
      <w:r w:rsidR="005F6752">
        <w:t xml:space="preserve"> replacement) are typically used. Again the measured results for </w:t>
      </w:r>
      <w:r w:rsidR="004B463C">
        <w:t xml:space="preserve">SN </w:t>
      </w:r>
      <w:r w:rsidR="005F6752">
        <w:t>NR serving cells do not seem useful as well</w:t>
      </w:r>
      <w:r w:rsidR="006A68B1">
        <w:t xml:space="preserve"> for MN to manage its </w:t>
      </w:r>
      <w:proofErr w:type="spellStart"/>
      <w:r w:rsidR="006A68B1">
        <w:t>SCell</w:t>
      </w:r>
      <w:proofErr w:type="spellEnd"/>
      <w:r w:rsidR="00BE1F35">
        <w:t>(s)</w:t>
      </w:r>
      <w:r w:rsidR="005F6752">
        <w:t>. Furthermore</w:t>
      </w:r>
      <w:r w:rsidR="006A68B1">
        <w:t xml:space="preserve">, </w:t>
      </w:r>
      <w:r>
        <w:t>a</w:t>
      </w:r>
      <w:r w:rsidR="00A54D2C">
        <w:t>s in the agreement shown in Section 2.2.1</w:t>
      </w:r>
      <w:r w:rsidR="00F04303">
        <w:t xml:space="preserve"> (i.e. </w:t>
      </w:r>
      <w:r w:rsidR="00F04303" w:rsidRPr="00F04303">
        <w:rPr>
          <w:rFonts w:ascii="Arial" w:eastAsia="MS Mincho" w:hAnsi="Arial" w:cs="Arial"/>
          <w:sz w:val="16"/>
          <w:szCs w:val="16"/>
        </w:rPr>
        <w:t>RAN2 confirm that MN only initiates SN addition/ release i.e. that MN initiated SCG (cell) addition/ release is not supported</w:t>
      </w:r>
      <w:r w:rsidR="00F04303">
        <w:rPr>
          <w:rFonts w:ascii="Arial" w:eastAsia="MS Mincho" w:hAnsi="Arial" w:cs="Arial"/>
          <w:szCs w:val="24"/>
        </w:rPr>
        <w:t>)</w:t>
      </w:r>
      <w:r w:rsidR="00A54D2C">
        <w:t xml:space="preserve">, SN will perform </w:t>
      </w:r>
      <w:r w:rsidR="00770385">
        <w:t xml:space="preserve">NR </w:t>
      </w:r>
      <w:proofErr w:type="spellStart"/>
      <w:r w:rsidR="00A54D2C">
        <w:t>SCell</w:t>
      </w:r>
      <w:proofErr w:type="spellEnd"/>
      <w:r w:rsidR="00A54D2C">
        <w:t xml:space="preserve"> management (NR </w:t>
      </w:r>
      <w:proofErr w:type="spellStart"/>
      <w:r w:rsidR="00A54D2C">
        <w:t>SCell</w:t>
      </w:r>
      <w:proofErr w:type="spellEnd"/>
      <w:r w:rsidR="00A54D2C">
        <w:t xml:space="preserve"> addition/relea</w:t>
      </w:r>
      <w:r w:rsidR="006A68B1">
        <w:t xml:space="preserve">se, </w:t>
      </w:r>
      <w:proofErr w:type="spellStart"/>
      <w:r w:rsidR="006A68B1">
        <w:t>PSCell</w:t>
      </w:r>
      <w:proofErr w:type="spellEnd"/>
      <w:r w:rsidR="006A68B1">
        <w:t xml:space="preserve"> change) on its own. </w:t>
      </w:r>
    </w:p>
    <w:p w14:paraId="7CF16B56" w14:textId="5F8FE457" w:rsidR="00780E29" w:rsidRDefault="006A68B1" w:rsidP="00BC16F3">
      <w:r>
        <w:t xml:space="preserve">Also it </w:t>
      </w:r>
      <w:r w:rsidR="00770385">
        <w:t xml:space="preserve">does not seem useful to </w:t>
      </w:r>
      <w:r>
        <w:t>provid</w:t>
      </w:r>
      <w:r w:rsidR="00EF5FAE">
        <w:t>e</w:t>
      </w:r>
      <w:r>
        <w:t xml:space="preserve"> the measured result for NR serving cell for Event B series when it is used for handover to other non-NR RAT</w:t>
      </w:r>
      <w:r w:rsidR="00BE1F35">
        <w:t>s</w:t>
      </w:r>
      <w:r>
        <w:t xml:space="preserve">. </w:t>
      </w:r>
    </w:p>
    <w:p w14:paraId="6F02835D" w14:textId="76D4C2FA" w:rsidR="000704FD" w:rsidRDefault="009D258F" w:rsidP="00BC16F3">
      <w:r>
        <w:rPr>
          <w:b/>
        </w:rPr>
        <w:t>Observation#3</w:t>
      </w:r>
      <w:r w:rsidR="00A54D2C" w:rsidRPr="00FE17D3">
        <w:rPr>
          <w:b/>
        </w:rPr>
        <w:t>:</w:t>
      </w:r>
      <w:r w:rsidR="00A54D2C">
        <w:t xml:space="preserve"> </w:t>
      </w:r>
      <w:r w:rsidR="006A68B1">
        <w:t>There seems no benefit to include NR serving cell measurement</w:t>
      </w:r>
      <w:r w:rsidR="00BE1F35">
        <w:t>s</w:t>
      </w:r>
      <w:r w:rsidR="006A68B1">
        <w:t xml:space="preserve"> in measurement reporting for events not related to NR neighbours (e.g. Event </w:t>
      </w:r>
      <w:proofErr w:type="gramStart"/>
      <w:r w:rsidR="006A68B1">
        <w:t>A</w:t>
      </w:r>
      <w:proofErr w:type="gramEnd"/>
      <w:r w:rsidR="006A68B1">
        <w:t xml:space="preserve"> series as well as Event B series not related to NR neighbours)</w:t>
      </w:r>
    </w:p>
    <w:p w14:paraId="2EAC660F" w14:textId="687D5FE6" w:rsidR="00A54D2C" w:rsidRDefault="000704FD" w:rsidP="00BC16F3">
      <w:r w:rsidRPr="000704FD">
        <w:rPr>
          <w:b/>
        </w:rPr>
        <w:t>Proposal#2:</w:t>
      </w:r>
      <w:r>
        <w:t xml:space="preserve"> </w:t>
      </w:r>
      <w:r w:rsidR="00A54D2C">
        <w:t>NR serving cell measurement shou</w:t>
      </w:r>
      <w:r w:rsidR="00FE17D3">
        <w:t xml:space="preserve">ld not be included in measurement reporting for events not related to NR neighbours (e.g. Event </w:t>
      </w:r>
      <w:proofErr w:type="gramStart"/>
      <w:r w:rsidR="00FE17D3">
        <w:t>A</w:t>
      </w:r>
      <w:proofErr w:type="gramEnd"/>
      <w:r w:rsidR="00FE17D3">
        <w:t xml:space="preserve"> series and Event B series not related to NR neighbours).</w:t>
      </w:r>
    </w:p>
    <w:p w14:paraId="731477A0" w14:textId="1FA19A29" w:rsidR="00BC16F3" w:rsidRPr="00BC16F3" w:rsidRDefault="00BC16F3" w:rsidP="00BC16F3">
      <w:pPr>
        <w:pStyle w:val="Heading3"/>
      </w:pPr>
      <w:r>
        <w:t>How to provide the NR serving cell in the LTE Measurement Report</w:t>
      </w:r>
    </w:p>
    <w:p w14:paraId="0A7DF968" w14:textId="143CF401" w:rsidR="00FE17D3" w:rsidRDefault="00FE17D3" w:rsidP="00BC31E7">
      <w:r>
        <w:t xml:space="preserve">As </w:t>
      </w:r>
      <w:r w:rsidR="00BE1F35">
        <w:t xml:space="preserve">explained </w:t>
      </w:r>
      <w:r>
        <w:t>in Section 2.2.1, it would seem beneficial to include the NR serving cell measurement for NR related event</w:t>
      </w:r>
      <w:r w:rsidR="00BE1F35">
        <w:t>s</w:t>
      </w:r>
      <w:r>
        <w:t xml:space="preserve"> such as Event B1 for SN addition for the case if it is used for SN change.</w:t>
      </w:r>
    </w:p>
    <w:p w14:paraId="5CB4DFDD" w14:textId="444B8583" w:rsidR="00FE17D3" w:rsidRDefault="00FE17D3" w:rsidP="00BC31E7">
      <w:r>
        <w:t xml:space="preserve">As in Section 2.1 for LTE CA and DC, </w:t>
      </w:r>
      <w:r w:rsidR="00E40A6B">
        <w:t xml:space="preserve">the </w:t>
      </w:r>
      <w:r>
        <w:t xml:space="preserve">serving cell measurement is sent together with the serving cell index which is linked to a serving frequency. </w:t>
      </w:r>
      <w:r w:rsidR="00E40A6B">
        <w:t xml:space="preserve">This linkage is managed by the MN as MN is the node managing the </w:t>
      </w:r>
      <w:proofErr w:type="spellStart"/>
      <w:r w:rsidR="00E40A6B">
        <w:t>SCell</w:t>
      </w:r>
      <w:proofErr w:type="spellEnd"/>
      <w:r w:rsidR="00E40A6B">
        <w:t xml:space="preserve"> for the SN. Based on this linkage between the serving cell index and the serving frequency,</w:t>
      </w:r>
      <w:r>
        <w:t xml:space="preserve"> the MN knows the serving frequency of the reported serving cell and the best ne</w:t>
      </w:r>
      <w:r w:rsidR="00E40A6B">
        <w:t>ighbour in the measurement report</w:t>
      </w:r>
      <w:r>
        <w:t>.</w:t>
      </w:r>
    </w:p>
    <w:p w14:paraId="707F9EB1" w14:textId="7B2CF650" w:rsidR="00EB4D49" w:rsidRDefault="00E40A6B" w:rsidP="00BC31E7">
      <w:r>
        <w:t xml:space="preserve">However, for EN-DC and NGEN-DC, the management of the </w:t>
      </w:r>
      <w:proofErr w:type="spellStart"/>
      <w:r>
        <w:t>SCell</w:t>
      </w:r>
      <w:proofErr w:type="spellEnd"/>
      <w:r>
        <w:t xml:space="preserve"> is done by the SN itself</w:t>
      </w:r>
      <w:r w:rsidR="00EF5FAE">
        <w:t xml:space="preserve"> and is not visible to the MN</w:t>
      </w:r>
      <w:r>
        <w:t>. Hence the same approach cannot be used</w:t>
      </w:r>
      <w:r w:rsidR="00A841C8">
        <w:t xml:space="preserve"> since the allocated serving cell indices are not known to the MN</w:t>
      </w:r>
      <w:r>
        <w:t>. Furthermore, it is agreed that the MN and SN can configure measurement</w:t>
      </w:r>
      <w:r w:rsidR="00302282">
        <w:t>s</w:t>
      </w:r>
      <w:r>
        <w:t xml:space="preserve"> independently</w:t>
      </w:r>
      <w:r w:rsidR="00EB4D49">
        <w:t xml:space="preserve"> as below</w:t>
      </w:r>
      <w:r>
        <w:t xml:space="preserve">. </w:t>
      </w:r>
    </w:p>
    <w:p w14:paraId="7CF5CF2A" w14:textId="77777777" w:rsidR="00EB4D49" w:rsidRPr="00CF68DC" w:rsidRDefault="00EB4D49" w:rsidP="00EB4D4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CF68DC">
        <w:rPr>
          <w:rFonts w:ascii="Arial" w:eastAsia="MS Mincho" w:hAnsi="Arial" w:cs="Times New Roman"/>
          <w:sz w:val="20"/>
          <w:szCs w:val="24"/>
          <w:lang w:eastAsia="en-GB"/>
        </w:rPr>
        <w:t>Agreements:</w:t>
      </w:r>
    </w:p>
    <w:p w14:paraId="7D196B20" w14:textId="77777777" w:rsidR="00EB4D49" w:rsidRPr="00CF68DC" w:rsidRDefault="00EB4D49" w:rsidP="00EB4D4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CF68DC">
        <w:rPr>
          <w:rFonts w:ascii="Arial" w:eastAsia="MS Mincho" w:hAnsi="Arial" w:cs="Times New Roman"/>
          <w:sz w:val="20"/>
          <w:szCs w:val="24"/>
          <w:lang w:eastAsia="en-GB"/>
        </w:rPr>
        <w:t xml:space="preserve">2: </w:t>
      </w:r>
      <w:r w:rsidRPr="00CF68DC">
        <w:rPr>
          <w:rFonts w:ascii="Arial" w:eastAsia="MS Mincho" w:hAnsi="Arial" w:cs="Times New Roman"/>
          <w:sz w:val="20"/>
          <w:szCs w:val="24"/>
          <w:lang w:eastAsia="en-GB"/>
        </w:rPr>
        <w:tab/>
        <w:t>If MN and SN both configure a measurement object on the same carrier frequency then the measurement objects need to be configured consistently.</w:t>
      </w:r>
    </w:p>
    <w:p w14:paraId="532FA7FB" w14:textId="77777777" w:rsidR="00EB4D49" w:rsidRPr="00CF68DC" w:rsidRDefault="00EB4D49" w:rsidP="00EB4D4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CF68DC">
        <w:rPr>
          <w:rFonts w:ascii="Arial" w:eastAsia="MS Mincho" w:hAnsi="Arial" w:cs="Times New Roman"/>
          <w:sz w:val="20"/>
          <w:szCs w:val="24"/>
          <w:lang w:eastAsia="en-GB"/>
        </w:rPr>
        <w:t>FFS which parts of the object need to be configured the same and which can be allowed to differ.</w:t>
      </w:r>
    </w:p>
    <w:p w14:paraId="664C1DAD" w14:textId="77777777" w:rsidR="00EB4D49" w:rsidRPr="00CF68DC" w:rsidRDefault="00EB4D49" w:rsidP="00EB4D4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CF68DC">
        <w:rPr>
          <w:rFonts w:ascii="Arial" w:eastAsia="MS Mincho" w:hAnsi="Arial" w:cs="Times New Roman"/>
          <w:sz w:val="20"/>
          <w:szCs w:val="24"/>
          <w:lang w:eastAsia="en-GB"/>
        </w:rPr>
        <w:t>3</w:t>
      </w:r>
      <w:r w:rsidRPr="00CF68DC">
        <w:rPr>
          <w:rFonts w:ascii="Arial" w:eastAsia="MS Mincho" w:hAnsi="Arial" w:cs="Times New Roman"/>
          <w:sz w:val="20"/>
          <w:szCs w:val="24"/>
          <w:lang w:eastAsia="en-GB"/>
        </w:rPr>
        <w:tab/>
        <w:t>For MCG and SCG, measurements (objects/ID/</w:t>
      </w:r>
      <w:proofErr w:type="spellStart"/>
      <w:r w:rsidRPr="00CF68DC">
        <w:rPr>
          <w:rFonts w:ascii="Arial" w:eastAsia="MS Mincho" w:hAnsi="Arial" w:cs="Times New Roman"/>
          <w:sz w:val="20"/>
          <w:szCs w:val="24"/>
          <w:lang w:eastAsia="en-GB"/>
        </w:rPr>
        <w:t>reportConfigs</w:t>
      </w:r>
      <w:proofErr w:type="spellEnd"/>
      <w:r w:rsidRPr="00CF68DC">
        <w:rPr>
          <w:rFonts w:ascii="Arial" w:eastAsia="MS Mincho" w:hAnsi="Arial" w:cs="Times New Roman"/>
          <w:sz w:val="20"/>
          <w:szCs w:val="24"/>
          <w:lang w:eastAsia="en-GB"/>
        </w:rPr>
        <w:t xml:space="preserve">) can be configured independently by LTE RRC (inter-RAT measurement on NR) and NR RRC (intra-NR measurements on serving and </w:t>
      </w:r>
      <w:proofErr w:type="spellStart"/>
      <w:r w:rsidRPr="00CF68DC">
        <w:rPr>
          <w:rFonts w:ascii="Arial" w:eastAsia="MS Mincho" w:hAnsi="Arial" w:cs="Times New Roman"/>
          <w:sz w:val="20"/>
          <w:szCs w:val="24"/>
          <w:lang w:eastAsia="en-GB"/>
        </w:rPr>
        <w:t>non serving</w:t>
      </w:r>
      <w:proofErr w:type="spellEnd"/>
      <w:r w:rsidRPr="00CF68DC">
        <w:rPr>
          <w:rFonts w:ascii="Arial" w:eastAsia="MS Mincho" w:hAnsi="Arial" w:cs="Times New Roman"/>
          <w:sz w:val="20"/>
          <w:szCs w:val="24"/>
          <w:lang w:eastAsia="en-GB"/>
        </w:rPr>
        <w:t xml:space="preserve"> frequencies). (</w:t>
      </w:r>
      <w:proofErr w:type="gramStart"/>
      <w:r w:rsidRPr="00CF68DC">
        <w:rPr>
          <w:rFonts w:ascii="Arial" w:eastAsia="MS Mincho" w:hAnsi="Arial" w:cs="Times New Roman"/>
          <w:sz w:val="20"/>
          <w:szCs w:val="24"/>
          <w:lang w:eastAsia="en-GB"/>
        </w:rPr>
        <w:t>noting</w:t>
      </w:r>
      <w:proofErr w:type="gramEnd"/>
      <w:r w:rsidRPr="00CF68DC">
        <w:rPr>
          <w:rFonts w:ascii="Arial" w:eastAsia="MS Mincho" w:hAnsi="Arial" w:cs="Times New Roman"/>
          <w:sz w:val="20"/>
          <w:szCs w:val="24"/>
          <w:lang w:eastAsia="en-GB"/>
        </w:rPr>
        <w:t xml:space="preserve"> that for the objects will be configured consistently as described by agreement 2)</w:t>
      </w:r>
    </w:p>
    <w:p w14:paraId="111B595B" w14:textId="77777777" w:rsidR="00EB4D49" w:rsidRPr="00CF68DC" w:rsidRDefault="00EB4D49" w:rsidP="00EB4D4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CF68DC">
        <w:rPr>
          <w:rFonts w:ascii="Arial" w:eastAsia="MS Mincho" w:hAnsi="Arial" w:cs="Times New Roman"/>
          <w:sz w:val="20"/>
          <w:szCs w:val="24"/>
          <w:lang w:eastAsia="en-GB"/>
        </w:rPr>
        <w:lastRenderedPageBreak/>
        <w:t>=&gt;</w:t>
      </w:r>
      <w:r w:rsidRPr="00CF68DC">
        <w:rPr>
          <w:rFonts w:ascii="Arial" w:eastAsia="MS Mincho" w:hAnsi="Arial" w:cs="Times New Roman"/>
          <w:sz w:val="20"/>
          <w:szCs w:val="24"/>
          <w:lang w:eastAsia="en-GB"/>
        </w:rPr>
        <w:tab/>
        <w:t>Ask RAN4 which parts of the objects (we can provide details for the object parameters) from MN and SN should be the same. If RAN4 response indicates further problems then we can reconsider these agreements.</w:t>
      </w:r>
    </w:p>
    <w:p w14:paraId="613FB3ED" w14:textId="77777777" w:rsidR="00EB4D49" w:rsidRDefault="00EB4D49" w:rsidP="00BC31E7"/>
    <w:p w14:paraId="54A42EEC" w14:textId="527FF930" w:rsidR="00A841C8" w:rsidRDefault="004B463C" w:rsidP="00BC31E7">
      <w:r>
        <w:t>I</w:t>
      </w:r>
      <w:r w:rsidR="00E40A6B">
        <w:t xml:space="preserve">t is also not possible to use </w:t>
      </w:r>
      <w:proofErr w:type="spellStart"/>
      <w:r w:rsidR="00E40A6B">
        <w:t>measID</w:t>
      </w:r>
      <w:proofErr w:type="spellEnd"/>
      <w:r w:rsidR="00E40A6B">
        <w:t xml:space="preserve"> </w:t>
      </w:r>
      <w:r w:rsidR="00952965">
        <w:t>as</w:t>
      </w:r>
      <w:r w:rsidR="00E40A6B">
        <w:t xml:space="preserve"> the link between the measured result</w:t>
      </w:r>
      <w:r w:rsidR="006A68B1">
        <w:t xml:space="preserve"> and the frequency as the MN </w:t>
      </w:r>
      <w:r w:rsidR="0069556C">
        <w:t>does</w:t>
      </w:r>
      <w:r w:rsidR="00E40A6B">
        <w:t xml:space="preserve"> not know which measurement object the </w:t>
      </w:r>
      <w:proofErr w:type="spellStart"/>
      <w:r w:rsidR="00E40A6B">
        <w:t>measID</w:t>
      </w:r>
      <w:proofErr w:type="spellEnd"/>
      <w:r w:rsidR="00E40A6B">
        <w:t xml:space="preserve"> is associated with</w:t>
      </w:r>
      <w:r w:rsidR="00A72CB2">
        <w:t xml:space="preserve"> since SN can configure measurement configuration independently</w:t>
      </w:r>
      <w:r w:rsidR="00E40A6B">
        <w:t>.</w:t>
      </w:r>
      <w:r w:rsidR="00EB4D49">
        <w:t xml:space="preserve"> </w:t>
      </w:r>
      <w:r w:rsidR="006A68B1">
        <w:t xml:space="preserve">Furthermore, </w:t>
      </w:r>
      <w:proofErr w:type="spellStart"/>
      <w:r w:rsidR="006A68B1">
        <w:t>mea</w:t>
      </w:r>
      <w:r w:rsidR="006011DC">
        <w:t>sID</w:t>
      </w:r>
      <w:proofErr w:type="spellEnd"/>
      <w:r w:rsidR="006011DC">
        <w:t xml:space="preserve"> is not sufficient to identify the NR serving cell</w:t>
      </w:r>
      <w:r>
        <w:t xml:space="preserve"> as it only identify the measurement object which is just the frequency</w:t>
      </w:r>
      <w:r w:rsidR="006011DC">
        <w:t xml:space="preserve">. </w:t>
      </w:r>
    </w:p>
    <w:p w14:paraId="1DD5B75E" w14:textId="522FB773" w:rsidR="00FE17D3" w:rsidRDefault="00A841C8" w:rsidP="00BC31E7">
      <w:r>
        <w:t>One</w:t>
      </w:r>
      <w:r w:rsidR="006011DC">
        <w:t xml:space="preserve"> way to identify the NR serving cell </w:t>
      </w:r>
      <w:r w:rsidR="00EB4D49">
        <w:t>is via the frequency number (i.e. DL NR ARFCN)</w:t>
      </w:r>
      <w:r w:rsidR="006011DC">
        <w:t xml:space="preserve"> and the physical cell ID.</w:t>
      </w:r>
      <w:r w:rsidR="00E40A6B">
        <w:t xml:space="preserve"> </w:t>
      </w:r>
    </w:p>
    <w:p w14:paraId="2AE8478C" w14:textId="5CB5B486" w:rsidR="00FE17D3" w:rsidRDefault="00EB4D49" w:rsidP="00BC31E7">
      <w:r w:rsidRPr="00EB4D49">
        <w:rPr>
          <w:b/>
        </w:rPr>
        <w:t>Proposal#3:</w:t>
      </w:r>
      <w:r>
        <w:t xml:space="preserve"> For e</w:t>
      </w:r>
      <w:r w:rsidR="00A841C8">
        <w:t>vent reporting involving NR, the measured result of a NR serving cell</w:t>
      </w:r>
      <w:r>
        <w:t xml:space="preserve"> is sent together with the corresponding DL NR ARFCN</w:t>
      </w:r>
      <w:r w:rsidR="00A841C8">
        <w:t xml:space="preserve"> and its</w:t>
      </w:r>
      <w:r w:rsidR="006A68B1">
        <w:t xml:space="preserve"> </w:t>
      </w:r>
      <w:r w:rsidR="006011DC">
        <w:t>physical cell ID.</w:t>
      </w:r>
    </w:p>
    <w:p w14:paraId="2AE6D99F" w14:textId="77777777" w:rsidR="00FB082B" w:rsidRDefault="00FB082B" w:rsidP="00FB082B">
      <w:pPr>
        <w:pStyle w:val="Heading1"/>
      </w:pPr>
      <w:r>
        <w:t>Conclusion and proposals</w:t>
      </w:r>
    </w:p>
    <w:p w14:paraId="2AE6D9A0" w14:textId="77777777" w:rsidR="00FB082B" w:rsidRDefault="00E30DAC" w:rsidP="00FB082B">
      <w:r>
        <w:t>It is requested that RAN 2 discuss and agree on the following proposal:</w:t>
      </w:r>
    </w:p>
    <w:p w14:paraId="00A5626C" w14:textId="77777777" w:rsidR="0069556C" w:rsidRDefault="0069556C" w:rsidP="0069556C">
      <w:r w:rsidRPr="004D7AA0">
        <w:rPr>
          <w:b/>
        </w:rPr>
        <w:t>Observation#1:</w:t>
      </w:r>
      <w:r>
        <w:t xml:space="preserve"> Measured result for </w:t>
      </w:r>
      <w:proofErr w:type="spellStart"/>
      <w:r>
        <w:t>SCells</w:t>
      </w:r>
      <w:proofErr w:type="spellEnd"/>
      <w:r>
        <w:t xml:space="preserve"> (both from MCG and SCG) is provided for every measurement reporting except for reporting location. </w:t>
      </w:r>
    </w:p>
    <w:p w14:paraId="0A3A7D6C" w14:textId="77777777" w:rsidR="0069556C" w:rsidRDefault="0069556C" w:rsidP="0069556C">
      <w:r>
        <w:rPr>
          <w:b/>
        </w:rPr>
        <w:t>Observation#2</w:t>
      </w:r>
      <w:r w:rsidRPr="00BC16F3">
        <w:rPr>
          <w:b/>
        </w:rPr>
        <w:t>:</w:t>
      </w:r>
      <w:r>
        <w:t xml:space="preserve"> It would be beneficial for the MN to know the NR SN serving cell measurement for NR related event reporting (e.g. event reporting such as LTE inter-RAT measurement trigger event B1 for NR neighbour).</w:t>
      </w:r>
    </w:p>
    <w:p w14:paraId="1AB07E91" w14:textId="77777777" w:rsidR="0069556C" w:rsidRDefault="0069556C" w:rsidP="0069556C">
      <w:r>
        <w:rPr>
          <w:b/>
        </w:rPr>
        <w:t>Observation#3</w:t>
      </w:r>
      <w:r w:rsidRPr="00FE17D3">
        <w:rPr>
          <w:b/>
        </w:rPr>
        <w:t>:</w:t>
      </w:r>
      <w:r>
        <w:t xml:space="preserve"> There seems no benefit to include NR serving cell measurements in measurement reporting for events not related to NR neighbours (e.g. Event </w:t>
      </w:r>
      <w:proofErr w:type="gramStart"/>
      <w:r>
        <w:t>A</w:t>
      </w:r>
      <w:proofErr w:type="gramEnd"/>
      <w:r>
        <w:t xml:space="preserve"> series as well as Event B series not related to NR neighbours)</w:t>
      </w:r>
    </w:p>
    <w:p w14:paraId="5F63C8EF" w14:textId="7AFB07C5" w:rsidR="006A68B1" w:rsidRDefault="006A68B1" w:rsidP="006A68B1">
      <w:r w:rsidRPr="009D258F">
        <w:rPr>
          <w:b/>
        </w:rPr>
        <w:t>Proposal#1:</w:t>
      </w:r>
      <w:r>
        <w:t xml:space="preserve"> NR SN serving cell measurement</w:t>
      </w:r>
      <w:r w:rsidR="00A72CB2">
        <w:t>s</w:t>
      </w:r>
      <w:r>
        <w:t xml:space="preserve"> are provided in NR related event reporting (e.g. Event B1 where the event is linked to measurement object related to NR frequency) </w:t>
      </w:r>
    </w:p>
    <w:p w14:paraId="65CCF499" w14:textId="77777777" w:rsidR="0069556C" w:rsidRDefault="0069556C" w:rsidP="0069556C">
      <w:r w:rsidRPr="000704FD">
        <w:rPr>
          <w:b/>
        </w:rPr>
        <w:t>Proposal#2:</w:t>
      </w:r>
      <w:r>
        <w:t xml:space="preserve"> NR serving cell measurement should not be included in measurement reporting for events not related to NR neighbours (e.g. Event </w:t>
      </w:r>
      <w:proofErr w:type="gramStart"/>
      <w:r>
        <w:t>A</w:t>
      </w:r>
      <w:proofErr w:type="gramEnd"/>
      <w:r>
        <w:t xml:space="preserve"> series and Event B series not related to NR neighbours).</w:t>
      </w:r>
    </w:p>
    <w:p w14:paraId="17555A58" w14:textId="77777777" w:rsidR="00A841C8" w:rsidRDefault="00A841C8" w:rsidP="00A841C8">
      <w:r w:rsidRPr="00EB4D49">
        <w:rPr>
          <w:b/>
        </w:rPr>
        <w:t>Proposal#3:</w:t>
      </w:r>
      <w:r>
        <w:t xml:space="preserve"> For event reporting involving NR, the measured result of a NR serving cell is sent together with the corresponding DL NR ARFCN and its physical cell ID.</w:t>
      </w:r>
    </w:p>
    <w:p w14:paraId="740CDD1F" w14:textId="77777777" w:rsidR="00FE17D3" w:rsidRDefault="00FE17D3" w:rsidP="00FE17D3"/>
    <w:p w14:paraId="2AE6D9A3" w14:textId="77777777" w:rsidR="00E30DAC" w:rsidRPr="006F7A26" w:rsidRDefault="00E30DAC" w:rsidP="00E30DAC">
      <w:r>
        <w:t xml:space="preserve">  </w:t>
      </w:r>
    </w:p>
    <w:p w14:paraId="2AE6D9A4" w14:textId="77777777" w:rsidR="00FB082B" w:rsidRPr="00FB082B" w:rsidRDefault="00FB082B" w:rsidP="00FB082B"/>
    <w:sectPr w:rsidR="00FB082B"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6"/>
  </w:num>
  <w:num w:numId="5">
    <w:abstractNumId w:val="8"/>
  </w:num>
  <w:num w:numId="6">
    <w:abstractNumId w:val="16"/>
  </w:num>
  <w:num w:numId="7">
    <w:abstractNumId w:val="17"/>
  </w:num>
  <w:num w:numId="8">
    <w:abstractNumId w:val="9"/>
  </w:num>
  <w:num w:numId="9">
    <w:abstractNumId w:val="6"/>
  </w:num>
  <w:num w:numId="10">
    <w:abstractNumId w:val="2"/>
  </w:num>
  <w:num w:numId="11">
    <w:abstractNumId w:val="12"/>
  </w:num>
  <w:num w:numId="12">
    <w:abstractNumId w:val="0"/>
  </w:num>
  <w:num w:numId="13">
    <w:abstractNumId w:val="7"/>
  </w:num>
  <w:num w:numId="14">
    <w:abstractNumId w:val="3"/>
  </w:num>
  <w:num w:numId="15">
    <w:abstractNumId w:val="4"/>
  </w:num>
  <w:num w:numId="16">
    <w:abstractNumId w:val="14"/>
  </w:num>
  <w:num w:numId="17">
    <w:abstractNumId w:val="10"/>
  </w:num>
  <w:num w:numId="18">
    <w:abstractNumId w:val="5"/>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34C"/>
    <w:rsid w:val="000864BA"/>
    <w:rsid w:val="00086B88"/>
    <w:rsid w:val="00090F4D"/>
    <w:rsid w:val="000927B0"/>
    <w:rsid w:val="00095A4A"/>
    <w:rsid w:val="0009652D"/>
    <w:rsid w:val="000A0D11"/>
    <w:rsid w:val="000A0E9B"/>
    <w:rsid w:val="000A31A1"/>
    <w:rsid w:val="000A5529"/>
    <w:rsid w:val="000A647B"/>
    <w:rsid w:val="000A6AC1"/>
    <w:rsid w:val="000A6C96"/>
    <w:rsid w:val="000A6F4D"/>
    <w:rsid w:val="000A75B0"/>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6F72"/>
    <w:rsid w:val="0016368A"/>
    <w:rsid w:val="00164CF9"/>
    <w:rsid w:val="00165AAC"/>
    <w:rsid w:val="00171235"/>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21D2"/>
    <w:rsid w:val="001E4937"/>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B7B"/>
    <w:rsid w:val="00215D01"/>
    <w:rsid w:val="002163FB"/>
    <w:rsid w:val="0022098F"/>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72D8"/>
    <w:rsid w:val="00301541"/>
    <w:rsid w:val="003019C6"/>
    <w:rsid w:val="00301BA2"/>
    <w:rsid w:val="0030228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401E"/>
    <w:rsid w:val="00394688"/>
    <w:rsid w:val="003956E8"/>
    <w:rsid w:val="00395782"/>
    <w:rsid w:val="00395B4A"/>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272A"/>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463C"/>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2161"/>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5660"/>
    <w:rsid w:val="00646761"/>
    <w:rsid w:val="00646933"/>
    <w:rsid w:val="006470E3"/>
    <w:rsid w:val="006504A5"/>
    <w:rsid w:val="00651ABA"/>
    <w:rsid w:val="0065261C"/>
    <w:rsid w:val="0065268C"/>
    <w:rsid w:val="00652EC5"/>
    <w:rsid w:val="00653D5B"/>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301E"/>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4D1B"/>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3F3"/>
    <w:rsid w:val="00764628"/>
    <w:rsid w:val="00764899"/>
    <w:rsid w:val="00764965"/>
    <w:rsid w:val="00764F1B"/>
    <w:rsid w:val="00764F3E"/>
    <w:rsid w:val="007671CA"/>
    <w:rsid w:val="00770385"/>
    <w:rsid w:val="007713D9"/>
    <w:rsid w:val="007716F1"/>
    <w:rsid w:val="00771F63"/>
    <w:rsid w:val="00776F5F"/>
    <w:rsid w:val="00777CC7"/>
    <w:rsid w:val="00780E29"/>
    <w:rsid w:val="007820F7"/>
    <w:rsid w:val="00782905"/>
    <w:rsid w:val="00783CAF"/>
    <w:rsid w:val="007844A1"/>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787"/>
    <w:rsid w:val="00813B5F"/>
    <w:rsid w:val="00813C21"/>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6F12"/>
    <w:rsid w:val="00837D12"/>
    <w:rsid w:val="00840285"/>
    <w:rsid w:val="00841BDA"/>
    <w:rsid w:val="00845886"/>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5834"/>
    <w:rsid w:val="00916944"/>
    <w:rsid w:val="00920769"/>
    <w:rsid w:val="00921D6A"/>
    <w:rsid w:val="00921EAE"/>
    <w:rsid w:val="00921FB8"/>
    <w:rsid w:val="009221C1"/>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50E8"/>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2965"/>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09E7"/>
    <w:rsid w:val="009C30C1"/>
    <w:rsid w:val="009C376B"/>
    <w:rsid w:val="009C5833"/>
    <w:rsid w:val="009C7D34"/>
    <w:rsid w:val="009D067A"/>
    <w:rsid w:val="009D1071"/>
    <w:rsid w:val="009D2422"/>
    <w:rsid w:val="009D258F"/>
    <w:rsid w:val="009D383F"/>
    <w:rsid w:val="009D412A"/>
    <w:rsid w:val="009D49F1"/>
    <w:rsid w:val="009D7417"/>
    <w:rsid w:val="009D76A7"/>
    <w:rsid w:val="009D76F4"/>
    <w:rsid w:val="009D792E"/>
    <w:rsid w:val="009E0861"/>
    <w:rsid w:val="009E0C33"/>
    <w:rsid w:val="009E14D0"/>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4D2C"/>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2CB2"/>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78B4"/>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39BD"/>
    <w:rsid w:val="00B34B55"/>
    <w:rsid w:val="00B35470"/>
    <w:rsid w:val="00B35688"/>
    <w:rsid w:val="00B36871"/>
    <w:rsid w:val="00B37060"/>
    <w:rsid w:val="00B3756B"/>
    <w:rsid w:val="00B403A6"/>
    <w:rsid w:val="00B40902"/>
    <w:rsid w:val="00B41FDA"/>
    <w:rsid w:val="00B42FA0"/>
    <w:rsid w:val="00B44C5F"/>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D21"/>
    <w:rsid w:val="00CA6A0E"/>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780"/>
    <w:rsid w:val="00D63E9A"/>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772F1"/>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5FAE"/>
    <w:rsid w:val="00EF6B2A"/>
    <w:rsid w:val="00EF7F3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1733</Words>
  <Characters>9043</Characters>
  <Application>Microsoft Office Word</Application>
  <DocSecurity>0</DocSecurity>
  <Lines>165</Lines>
  <Paragraphs>77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4</cp:revision>
  <dcterms:created xsi:type="dcterms:W3CDTF">2017-08-12T00:57:00Z</dcterms:created>
  <dcterms:modified xsi:type="dcterms:W3CDTF">2017-08-12T02:21:00Z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d591d220-3cf1-4f6d-8e42-8bee12ec4a22</vt:lpwstr>
  </property>
  <property fmtid="{D5CDD505-2E9C-101B-9397-08002B2CF9AE}" pid="3" name="CTP_BU">
    <vt:lpwstr>NEXT GEN AND STANDARDS GROUP</vt:lpwstr>
  </property>
  <property fmtid="{D5CDD505-2E9C-101B-9397-08002B2CF9AE}" pid="4" name="CTP_TimeStamp">
    <vt:lpwstr>2017-08-12 02:21:21Z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