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71E874" w14:textId="520A9D1E" w:rsidR="00591969" w:rsidRPr="0031551B" w:rsidRDefault="00D5259B" w:rsidP="00591969">
      <w:pPr>
        <w:pStyle w:val="Header"/>
        <w:jc w:val="center"/>
        <w:rPr>
          <w:rFonts w:ascii="Intel Clear" w:hAnsi="Intel Clear" w:cs="Intel Clear"/>
        </w:rPr>
      </w:pPr>
      <w:r>
        <w:rPr>
          <w:rFonts w:ascii="Intel Clear" w:hAnsi="Intel Clear" w:cs="Intel Clear"/>
        </w:rPr>
        <w:t>3GPP TSG-RAN WG2 Meeting #98</w:t>
      </w:r>
      <w:r w:rsidR="00591969" w:rsidRPr="0031551B">
        <w:rPr>
          <w:rFonts w:ascii="Intel Clear" w:hAnsi="Intel Clear" w:cs="Intel Clear"/>
        </w:rPr>
        <w:tab/>
      </w:r>
      <w:r>
        <w:rPr>
          <w:rFonts w:ascii="Intel Clear" w:hAnsi="Intel Clear" w:cs="Intel Clear"/>
        </w:rPr>
        <w:t>R2-170</w:t>
      </w:r>
      <w:r w:rsidR="00764DAF">
        <w:rPr>
          <w:rFonts w:ascii="Intel Clear" w:hAnsi="Intel Clear" w:cs="Intel Clear"/>
        </w:rPr>
        <w:t>4796</w:t>
      </w:r>
    </w:p>
    <w:p w14:paraId="3671E875" w14:textId="0EE76698" w:rsidR="00591969" w:rsidRPr="0031551B" w:rsidRDefault="00D5259B" w:rsidP="00591969">
      <w:pPr>
        <w:pStyle w:val="Header"/>
        <w:rPr>
          <w:rFonts w:ascii="Intel Clear" w:hAnsi="Intel Clear" w:cs="Intel Clear"/>
        </w:rPr>
      </w:pPr>
      <w:r>
        <w:rPr>
          <w:rFonts w:ascii="Intel Clear" w:hAnsi="Intel Clear" w:cs="Intel Clear"/>
        </w:rPr>
        <w:t>Hangzhou, China, 15th – 19th May</w:t>
      </w:r>
      <w:r w:rsidR="00591969" w:rsidRPr="0031551B">
        <w:rPr>
          <w:rFonts w:ascii="Intel Clear" w:hAnsi="Intel Clear" w:cs="Intel Clear"/>
        </w:rPr>
        <w:t xml:space="preserve"> 2017</w:t>
      </w:r>
    </w:p>
    <w:p w14:paraId="3671E876" w14:textId="77777777" w:rsidR="00591969" w:rsidRPr="0031551B" w:rsidRDefault="00591969" w:rsidP="00591969">
      <w:pPr>
        <w:pStyle w:val="Header"/>
        <w:rPr>
          <w:rFonts w:ascii="Intel Clear" w:hAnsi="Intel Clear" w:cs="Intel Clear"/>
        </w:rPr>
      </w:pPr>
    </w:p>
    <w:p w14:paraId="3671E877" w14:textId="70039632" w:rsidR="00591969" w:rsidRPr="0031551B" w:rsidRDefault="00591969" w:rsidP="00591969">
      <w:pPr>
        <w:ind w:left="1988" w:hanging="1988"/>
        <w:jc w:val="both"/>
        <w:rPr>
          <w:rFonts w:ascii="Intel Clear" w:hAnsi="Intel Clear" w:cs="Intel Clear"/>
          <w:sz w:val="24"/>
        </w:rPr>
      </w:pPr>
      <w:r w:rsidRPr="0031551B">
        <w:rPr>
          <w:rFonts w:ascii="Intel Clear" w:hAnsi="Intel Clear" w:cs="Intel Clear"/>
          <w:b/>
          <w:sz w:val="24"/>
        </w:rPr>
        <w:t>Title:</w:t>
      </w:r>
      <w:r w:rsidRPr="0031551B">
        <w:rPr>
          <w:rFonts w:ascii="Intel Clear" w:hAnsi="Intel Clear" w:cs="Intel Clear"/>
          <w:sz w:val="24"/>
        </w:rPr>
        <w:t xml:space="preserve"> </w:t>
      </w:r>
      <w:r w:rsidRPr="0031551B">
        <w:rPr>
          <w:rFonts w:ascii="Intel Clear" w:hAnsi="Intel Clear" w:cs="Intel Clear"/>
        </w:rPr>
        <w:tab/>
      </w:r>
      <w:r w:rsidR="000434C3">
        <w:rPr>
          <w:rFonts w:ascii="Intel Clear" w:hAnsi="Intel Clear" w:cs="Intel Clear"/>
          <w:sz w:val="24"/>
        </w:rPr>
        <w:t>EN-</w:t>
      </w:r>
      <w:r w:rsidRPr="007019D5">
        <w:rPr>
          <w:rFonts w:ascii="Intel Clear" w:hAnsi="Intel Clear" w:cs="Intel Clear"/>
          <w:sz w:val="24"/>
        </w:rPr>
        <w:t xml:space="preserve">DC </w:t>
      </w:r>
      <w:r>
        <w:rPr>
          <w:rFonts w:ascii="Intel Clear" w:hAnsi="Intel Clear" w:cs="Intel Clear"/>
          <w:sz w:val="24"/>
        </w:rPr>
        <w:t xml:space="preserve">procedures </w:t>
      </w:r>
      <w:r w:rsidR="006B049E">
        <w:rPr>
          <w:rFonts w:ascii="Intel Clear" w:hAnsi="Intel Clear" w:cs="Intel Clear"/>
          <w:sz w:val="24"/>
        </w:rPr>
        <w:t>and network handling</w:t>
      </w:r>
    </w:p>
    <w:p w14:paraId="3671E878" w14:textId="77777777" w:rsidR="00591969" w:rsidRPr="0031551B" w:rsidRDefault="00591969" w:rsidP="00591969">
      <w:pPr>
        <w:tabs>
          <w:tab w:val="left" w:pos="1985"/>
        </w:tabs>
        <w:ind w:left="1980" w:hanging="1980"/>
        <w:jc w:val="both"/>
        <w:rPr>
          <w:rFonts w:ascii="Intel Clear" w:hAnsi="Intel Clear" w:cs="Intel Clear"/>
          <w:sz w:val="24"/>
        </w:rPr>
      </w:pPr>
      <w:r w:rsidRPr="0031551B">
        <w:rPr>
          <w:rFonts w:ascii="Intel Clear" w:hAnsi="Intel Clear" w:cs="Intel Clear"/>
          <w:b/>
          <w:sz w:val="24"/>
        </w:rPr>
        <w:t xml:space="preserve">Source: </w:t>
      </w:r>
      <w:r w:rsidRPr="0031551B">
        <w:rPr>
          <w:rFonts w:ascii="Intel Clear" w:hAnsi="Intel Clear" w:cs="Intel Clear"/>
          <w:b/>
          <w:sz w:val="24"/>
        </w:rPr>
        <w:tab/>
      </w:r>
      <w:r w:rsidRPr="0031551B">
        <w:rPr>
          <w:rFonts w:ascii="Intel Clear" w:hAnsi="Intel Clear" w:cs="Intel Clear"/>
          <w:sz w:val="24"/>
        </w:rPr>
        <w:t>Intel Corporation</w:t>
      </w:r>
    </w:p>
    <w:p w14:paraId="3671E879" w14:textId="2EA26D0B" w:rsidR="00591969" w:rsidRPr="0031551B" w:rsidRDefault="00591969" w:rsidP="00591969">
      <w:pPr>
        <w:tabs>
          <w:tab w:val="left" w:pos="1985"/>
        </w:tabs>
        <w:jc w:val="both"/>
        <w:rPr>
          <w:rFonts w:ascii="Intel Clear" w:hAnsi="Intel Clear" w:cs="Intel Clear"/>
          <w:sz w:val="24"/>
        </w:rPr>
      </w:pPr>
      <w:r w:rsidRPr="0031551B">
        <w:rPr>
          <w:rFonts w:ascii="Intel Clear" w:hAnsi="Intel Clear" w:cs="Intel Clear"/>
          <w:b/>
          <w:sz w:val="24"/>
        </w:rPr>
        <w:t>Agenda item:</w:t>
      </w:r>
      <w:r w:rsidRPr="0031551B">
        <w:rPr>
          <w:rFonts w:ascii="Intel Clear" w:hAnsi="Intel Clear" w:cs="Intel Clear"/>
          <w:sz w:val="24"/>
        </w:rPr>
        <w:tab/>
        <w:t>10.2.</w:t>
      </w:r>
      <w:r w:rsidR="00764DAF">
        <w:rPr>
          <w:rFonts w:ascii="Intel Clear" w:hAnsi="Intel Clear" w:cs="Intel Clear"/>
          <w:sz w:val="24"/>
        </w:rPr>
        <w:t>3</w:t>
      </w:r>
    </w:p>
    <w:p w14:paraId="3671E87A" w14:textId="77777777" w:rsidR="00591969" w:rsidRPr="0031551B" w:rsidRDefault="00591969" w:rsidP="00591969">
      <w:pPr>
        <w:pBdr>
          <w:bottom w:val="single" w:sz="6" w:space="1" w:color="auto"/>
        </w:pBdr>
        <w:tabs>
          <w:tab w:val="left" w:pos="1985"/>
        </w:tabs>
        <w:ind w:right="-441"/>
        <w:jc w:val="both"/>
        <w:rPr>
          <w:rFonts w:ascii="Intel Clear" w:hAnsi="Intel Clear" w:cs="Intel Clear"/>
          <w:sz w:val="24"/>
        </w:rPr>
      </w:pPr>
      <w:r w:rsidRPr="0031551B">
        <w:rPr>
          <w:rFonts w:ascii="Intel Clear" w:hAnsi="Intel Clear" w:cs="Intel Clear"/>
          <w:b/>
          <w:sz w:val="24"/>
        </w:rPr>
        <w:t>Document for:</w:t>
      </w:r>
      <w:r w:rsidRPr="0031551B">
        <w:rPr>
          <w:rFonts w:ascii="Intel Clear" w:hAnsi="Intel Clear" w:cs="Intel Clear"/>
          <w:sz w:val="24"/>
        </w:rPr>
        <w:tab/>
        <w:t>Discussion and Decision</w:t>
      </w:r>
    </w:p>
    <w:p w14:paraId="3671E87B" w14:textId="77777777" w:rsidR="00681090" w:rsidRDefault="00591969" w:rsidP="00591969">
      <w:pPr>
        <w:pStyle w:val="Heading1"/>
      </w:pPr>
      <w:r>
        <w:t>Introduction</w:t>
      </w:r>
    </w:p>
    <w:p w14:paraId="3671E87C" w14:textId="504AEBF1" w:rsidR="00AA2817" w:rsidRDefault="00591969">
      <w:r>
        <w:t xml:space="preserve">The following decisions were made on </w:t>
      </w:r>
      <w:r w:rsidR="00F3206A">
        <w:t>SCG SRB and SCG split bearer</w:t>
      </w:r>
      <w:r>
        <w:t>:</w:t>
      </w:r>
    </w:p>
    <w:p w14:paraId="71AA176F" w14:textId="77777777" w:rsidR="00F3206A" w:rsidRDefault="00F3206A" w:rsidP="00F3206A">
      <w:pPr>
        <w:pStyle w:val="Doc-text2"/>
        <w:ind w:left="1083"/>
      </w:pPr>
      <w:r w:rsidRPr="001349C4">
        <w:t>=&gt;</w:t>
      </w:r>
      <w:r w:rsidRPr="001349C4">
        <w:tab/>
        <w:t>Split SCG SRB for LTE/NR dual connectivity will not be supported in Rel-15</w:t>
      </w:r>
    </w:p>
    <w:p w14:paraId="40DE2FBC" w14:textId="77777777" w:rsidR="00F3206A" w:rsidRPr="001349C4" w:rsidRDefault="00F3206A" w:rsidP="00F3206A">
      <w:pPr>
        <w:pStyle w:val="Doc-text2"/>
        <w:ind w:left="1083"/>
      </w:pPr>
    </w:p>
    <w:p w14:paraId="3E558523" w14:textId="77777777" w:rsidR="00F3206A" w:rsidRPr="001349C4" w:rsidRDefault="00F3206A" w:rsidP="00F3206A">
      <w:pPr>
        <w:pStyle w:val="Doc-text2"/>
        <w:pBdr>
          <w:top w:val="single" w:sz="4" w:space="1" w:color="auto"/>
          <w:left w:val="single" w:sz="4" w:space="4" w:color="auto"/>
          <w:bottom w:val="single" w:sz="4" w:space="1" w:color="auto"/>
          <w:right w:val="single" w:sz="4" w:space="4" w:color="auto"/>
        </w:pBdr>
      </w:pPr>
      <w:r w:rsidRPr="001349C4">
        <w:t>Agreements:</w:t>
      </w:r>
    </w:p>
    <w:p w14:paraId="71E162BC" w14:textId="77777777" w:rsidR="00F3206A" w:rsidRPr="001349C4" w:rsidRDefault="00F3206A" w:rsidP="00F3206A">
      <w:pPr>
        <w:pStyle w:val="Doc-text2"/>
        <w:pBdr>
          <w:top w:val="single" w:sz="4" w:space="1" w:color="auto"/>
          <w:left w:val="single" w:sz="4" w:space="4" w:color="auto"/>
          <w:bottom w:val="single" w:sz="4" w:space="1" w:color="auto"/>
          <w:right w:val="single" w:sz="4" w:space="4" w:color="auto"/>
        </w:pBdr>
      </w:pPr>
      <w:r w:rsidRPr="001349C4">
        <w:t>1</w:t>
      </w:r>
      <w:r w:rsidRPr="001349C4">
        <w:tab/>
        <w:t>SCG SRB can be configured based on network decision.</w:t>
      </w:r>
    </w:p>
    <w:p w14:paraId="6E95AA06" w14:textId="77777777" w:rsidR="00F3206A" w:rsidRPr="001349C4" w:rsidRDefault="00F3206A" w:rsidP="00F3206A">
      <w:pPr>
        <w:pStyle w:val="Doc-text2"/>
        <w:pBdr>
          <w:top w:val="single" w:sz="4" w:space="1" w:color="auto"/>
          <w:left w:val="single" w:sz="4" w:space="4" w:color="auto"/>
          <w:bottom w:val="single" w:sz="4" w:space="1" w:color="auto"/>
          <w:right w:val="single" w:sz="4" w:space="4" w:color="auto"/>
        </w:pBdr>
      </w:pPr>
      <w:r w:rsidRPr="001349C4">
        <w:t>2</w:t>
      </w:r>
      <w:r w:rsidRPr="001349C4">
        <w:tab/>
        <w:t>Addition of SCG SRB is decided by SN.</w:t>
      </w:r>
    </w:p>
    <w:p w14:paraId="7EA89F63" w14:textId="77777777" w:rsidR="00F3206A" w:rsidRPr="001349C4" w:rsidRDefault="00F3206A" w:rsidP="00F3206A">
      <w:pPr>
        <w:pStyle w:val="Doc-text2"/>
        <w:pBdr>
          <w:top w:val="single" w:sz="4" w:space="1" w:color="auto"/>
          <w:left w:val="single" w:sz="4" w:space="4" w:color="auto"/>
          <w:bottom w:val="single" w:sz="4" w:space="1" w:color="auto"/>
          <w:right w:val="single" w:sz="4" w:space="4" w:color="auto"/>
        </w:pBdr>
      </w:pPr>
      <w:r w:rsidRPr="001349C4">
        <w:t>FFS Whether the MN can request establishment of SCG SRB</w:t>
      </w:r>
    </w:p>
    <w:p w14:paraId="25F798DF" w14:textId="77777777" w:rsidR="00F3206A" w:rsidRPr="001349C4" w:rsidRDefault="00F3206A" w:rsidP="00F3206A">
      <w:pPr>
        <w:pStyle w:val="Doc-text2"/>
        <w:pBdr>
          <w:top w:val="single" w:sz="4" w:space="1" w:color="auto"/>
          <w:left w:val="single" w:sz="4" w:space="4" w:color="auto"/>
          <w:bottom w:val="single" w:sz="4" w:space="1" w:color="auto"/>
          <w:right w:val="single" w:sz="4" w:space="4" w:color="auto"/>
        </w:pBdr>
      </w:pPr>
      <w:r w:rsidRPr="001349C4">
        <w:t>3</w:t>
      </w:r>
      <w:r w:rsidRPr="001349C4">
        <w:tab/>
        <w:t>SCG SRB configuration is provided by NR RRC from SN.</w:t>
      </w:r>
    </w:p>
    <w:p w14:paraId="26B058E3" w14:textId="77777777" w:rsidR="00F3206A" w:rsidRPr="001349C4" w:rsidRDefault="00F3206A" w:rsidP="00F3206A">
      <w:pPr>
        <w:pStyle w:val="Doc-text2"/>
        <w:pBdr>
          <w:top w:val="single" w:sz="4" w:space="1" w:color="auto"/>
          <w:left w:val="single" w:sz="4" w:space="4" w:color="auto"/>
          <w:bottom w:val="single" w:sz="4" w:space="1" w:color="auto"/>
          <w:right w:val="single" w:sz="4" w:space="4" w:color="auto"/>
        </w:pBdr>
      </w:pPr>
      <w:r w:rsidRPr="001349C4">
        <w:t>4</w:t>
      </w:r>
      <w:r w:rsidRPr="001349C4">
        <w:tab/>
        <w:t>NR RRC complete messages and measurement reports are mapped to the same SRB as the message initiating the procedure.</w:t>
      </w:r>
    </w:p>
    <w:p w14:paraId="564EC6F1" w14:textId="77777777" w:rsidR="00F3206A" w:rsidRPr="001349C4" w:rsidRDefault="00F3206A" w:rsidP="00F3206A">
      <w:pPr>
        <w:pStyle w:val="Doc-text2"/>
        <w:pBdr>
          <w:top w:val="single" w:sz="4" w:space="1" w:color="auto"/>
          <w:left w:val="single" w:sz="4" w:space="4" w:color="auto"/>
          <w:bottom w:val="single" w:sz="4" w:space="1" w:color="auto"/>
          <w:right w:val="single" w:sz="4" w:space="4" w:color="auto"/>
        </w:pBdr>
      </w:pPr>
      <w:r w:rsidRPr="001349C4">
        <w:t>FFS Whether there are any exceptional cases for the complete messages</w:t>
      </w:r>
    </w:p>
    <w:p w14:paraId="2732FA85" w14:textId="77777777" w:rsidR="00F3206A" w:rsidRPr="001349C4" w:rsidRDefault="00F3206A" w:rsidP="00F3206A">
      <w:pPr>
        <w:pStyle w:val="Doc-text2"/>
        <w:pBdr>
          <w:top w:val="single" w:sz="4" w:space="1" w:color="auto"/>
          <w:left w:val="single" w:sz="4" w:space="4" w:color="auto"/>
          <w:bottom w:val="single" w:sz="4" w:space="1" w:color="auto"/>
          <w:right w:val="single" w:sz="4" w:space="4" w:color="auto"/>
        </w:pBdr>
      </w:pPr>
      <w:r w:rsidRPr="001349C4">
        <w:t>FFS Whether explicit configuration is also supported for measurement reports.</w:t>
      </w:r>
    </w:p>
    <w:p w14:paraId="69C19A87" w14:textId="77777777" w:rsidR="00F3206A" w:rsidRPr="001349C4" w:rsidRDefault="00F3206A" w:rsidP="00F3206A">
      <w:pPr>
        <w:pStyle w:val="Doc-text2"/>
        <w:pBdr>
          <w:top w:val="single" w:sz="4" w:space="1" w:color="auto"/>
          <w:left w:val="single" w:sz="4" w:space="4" w:color="auto"/>
          <w:bottom w:val="single" w:sz="4" w:space="1" w:color="auto"/>
          <w:right w:val="single" w:sz="4" w:space="4" w:color="auto"/>
        </w:pBdr>
      </w:pPr>
      <w:r w:rsidRPr="001349C4">
        <w:t>5</w:t>
      </w:r>
      <w:r w:rsidRPr="001349C4">
        <w:tab/>
        <w:t>All LTE RRC messages are mapped to MCG SRB.</w:t>
      </w:r>
    </w:p>
    <w:p w14:paraId="4352218E" w14:textId="77777777" w:rsidR="00F3206A" w:rsidRPr="001349C4" w:rsidRDefault="00F3206A" w:rsidP="00F3206A">
      <w:pPr>
        <w:pStyle w:val="Doc-text2"/>
        <w:pBdr>
          <w:top w:val="single" w:sz="4" w:space="1" w:color="auto"/>
          <w:left w:val="single" w:sz="4" w:space="4" w:color="auto"/>
          <w:bottom w:val="single" w:sz="4" w:space="1" w:color="auto"/>
          <w:right w:val="single" w:sz="4" w:space="4" w:color="auto"/>
        </w:pBdr>
      </w:pPr>
      <w:r w:rsidRPr="001349C4">
        <w:t>6</w:t>
      </w:r>
      <w:r w:rsidRPr="001349C4">
        <w:tab/>
        <w:t>EN-DC can only be configured after security activation on LTE.</w:t>
      </w:r>
    </w:p>
    <w:p w14:paraId="30592AA3" w14:textId="54581365" w:rsidR="00A812EC" w:rsidRDefault="00A812EC" w:rsidP="00591969"/>
    <w:p w14:paraId="38B28B4E" w14:textId="77777777" w:rsidR="00F3206A" w:rsidRPr="001349C4" w:rsidRDefault="00F3206A" w:rsidP="00F3206A">
      <w:pPr>
        <w:pStyle w:val="Doc-text2"/>
        <w:pBdr>
          <w:top w:val="single" w:sz="4" w:space="1" w:color="auto"/>
          <w:left w:val="single" w:sz="4" w:space="4" w:color="auto"/>
          <w:bottom w:val="single" w:sz="4" w:space="1" w:color="auto"/>
          <w:right w:val="single" w:sz="4" w:space="4" w:color="auto"/>
        </w:pBdr>
      </w:pPr>
      <w:r w:rsidRPr="001349C4">
        <w:t>Agreements</w:t>
      </w:r>
    </w:p>
    <w:p w14:paraId="3496F492" w14:textId="77777777" w:rsidR="00F3206A" w:rsidRPr="001349C4" w:rsidRDefault="00F3206A" w:rsidP="00F3206A">
      <w:pPr>
        <w:pStyle w:val="Doc-text2"/>
        <w:pBdr>
          <w:top w:val="single" w:sz="4" w:space="1" w:color="auto"/>
          <w:left w:val="single" w:sz="4" w:space="4" w:color="auto"/>
          <w:bottom w:val="single" w:sz="4" w:space="1" w:color="auto"/>
          <w:right w:val="single" w:sz="4" w:space="4" w:color="auto"/>
        </w:pBdr>
      </w:pPr>
      <w:r w:rsidRPr="001349C4">
        <w:t>1:</w:t>
      </w:r>
      <w:r w:rsidRPr="001349C4">
        <w:tab/>
        <w:t xml:space="preserve">EN-DC is only supported when there is a DRB mapped over the SCG. </w:t>
      </w:r>
    </w:p>
    <w:p w14:paraId="1E315896" w14:textId="77777777" w:rsidR="00F3206A" w:rsidRPr="001349C4" w:rsidRDefault="00F3206A" w:rsidP="00F3206A">
      <w:pPr>
        <w:pStyle w:val="Doc-text2"/>
        <w:pBdr>
          <w:top w:val="single" w:sz="4" w:space="1" w:color="auto"/>
          <w:left w:val="single" w:sz="4" w:space="4" w:color="auto"/>
          <w:bottom w:val="single" w:sz="4" w:space="1" w:color="auto"/>
          <w:right w:val="single" w:sz="4" w:space="4" w:color="auto"/>
        </w:pBdr>
      </w:pPr>
      <w:r w:rsidRPr="001349C4">
        <w:t>2</w:t>
      </w:r>
      <w:r w:rsidRPr="001349C4">
        <w:tab/>
        <w:t>When SCG is released, everything is released including the SRB and DRB configuration.</w:t>
      </w:r>
    </w:p>
    <w:p w14:paraId="26DA0F66" w14:textId="77777777" w:rsidR="00F3206A" w:rsidRDefault="00F3206A" w:rsidP="00591969"/>
    <w:p w14:paraId="689FA765" w14:textId="77777777" w:rsidR="00F3206A" w:rsidRPr="001349C4" w:rsidRDefault="00F3206A" w:rsidP="00F3206A">
      <w:pPr>
        <w:pStyle w:val="Doc-text2"/>
        <w:pBdr>
          <w:top w:val="single" w:sz="4" w:space="1" w:color="auto"/>
          <w:left w:val="single" w:sz="4" w:space="4" w:color="auto"/>
          <w:bottom w:val="single" w:sz="4" w:space="1" w:color="auto"/>
          <w:right w:val="single" w:sz="4" w:space="4" w:color="auto"/>
        </w:pBdr>
      </w:pPr>
      <w:r w:rsidRPr="001349C4">
        <w:t>Agreements</w:t>
      </w:r>
    </w:p>
    <w:p w14:paraId="4FE5C0DB" w14:textId="77777777" w:rsidR="00F3206A" w:rsidRPr="001349C4" w:rsidRDefault="00F3206A" w:rsidP="00F3206A">
      <w:pPr>
        <w:pStyle w:val="Doc-text2"/>
        <w:pBdr>
          <w:top w:val="single" w:sz="4" w:space="1" w:color="auto"/>
          <w:left w:val="single" w:sz="4" w:space="4" w:color="auto"/>
          <w:bottom w:val="single" w:sz="4" w:space="1" w:color="auto"/>
          <w:right w:val="single" w:sz="4" w:space="4" w:color="auto"/>
        </w:pBdr>
      </w:pPr>
      <w:r w:rsidRPr="001349C4">
        <w:t>1: SCG SRB is of higher scheduling priority than all DRBs.</w:t>
      </w:r>
    </w:p>
    <w:p w14:paraId="3C24725E" w14:textId="77777777" w:rsidR="00F3206A" w:rsidRPr="001349C4" w:rsidRDefault="00F3206A" w:rsidP="00F3206A">
      <w:pPr>
        <w:pStyle w:val="Doc-text2"/>
        <w:pBdr>
          <w:top w:val="single" w:sz="4" w:space="1" w:color="auto"/>
          <w:left w:val="single" w:sz="4" w:space="4" w:color="auto"/>
          <w:bottom w:val="single" w:sz="4" w:space="1" w:color="auto"/>
          <w:right w:val="single" w:sz="4" w:space="4" w:color="auto"/>
        </w:pBdr>
      </w:pPr>
      <w:r w:rsidRPr="001349C4">
        <w:t xml:space="preserve">2: UE processes messages received on SCG SRB one message at a time in the order received at the RRC. (i.e. same rules as in LTE). </w:t>
      </w:r>
    </w:p>
    <w:p w14:paraId="5D444DB3" w14:textId="77777777" w:rsidR="00F3206A" w:rsidRPr="001349C4" w:rsidRDefault="00F3206A" w:rsidP="00F3206A">
      <w:pPr>
        <w:pStyle w:val="Doc-text2"/>
        <w:pBdr>
          <w:top w:val="single" w:sz="4" w:space="1" w:color="auto"/>
          <w:left w:val="single" w:sz="4" w:space="4" w:color="auto"/>
          <w:bottom w:val="single" w:sz="4" w:space="1" w:color="auto"/>
          <w:right w:val="single" w:sz="4" w:space="4" w:color="auto"/>
        </w:pBdr>
      </w:pPr>
      <w:r w:rsidRPr="001349C4">
        <w:t>3: There is no requirement on the UE to perform any reordering of RRC messages between MCG SRB and SCG SRB.</w:t>
      </w:r>
    </w:p>
    <w:p w14:paraId="2065A5CB" w14:textId="77777777" w:rsidR="00F3206A" w:rsidRPr="001349C4" w:rsidRDefault="00F3206A" w:rsidP="00F3206A">
      <w:pPr>
        <w:pStyle w:val="Doc-text2"/>
        <w:pBdr>
          <w:top w:val="single" w:sz="4" w:space="1" w:color="auto"/>
          <w:left w:val="single" w:sz="4" w:space="4" w:color="auto"/>
          <w:bottom w:val="single" w:sz="4" w:space="1" w:color="auto"/>
          <w:right w:val="single" w:sz="4" w:space="4" w:color="auto"/>
        </w:pBdr>
      </w:pPr>
      <w:r w:rsidRPr="001349C4">
        <w:t>FFS: What terminology will be used to describe the SCG SRB.</w:t>
      </w:r>
    </w:p>
    <w:p w14:paraId="6FD20F3E" w14:textId="77777777" w:rsidR="00F3206A" w:rsidRDefault="00F3206A" w:rsidP="00591969"/>
    <w:p w14:paraId="5F6784DA" w14:textId="77777777" w:rsidR="00F3206A" w:rsidRPr="001349C4" w:rsidRDefault="00F3206A" w:rsidP="00F3206A">
      <w:pPr>
        <w:pStyle w:val="Doc-text2"/>
        <w:pBdr>
          <w:top w:val="single" w:sz="4" w:space="1" w:color="auto"/>
          <w:left w:val="single" w:sz="4" w:space="4" w:color="auto"/>
          <w:bottom w:val="single" w:sz="4" w:space="1" w:color="auto"/>
          <w:right w:val="single" w:sz="4" w:space="4" w:color="auto"/>
        </w:pBdr>
      </w:pPr>
      <w:r w:rsidRPr="001349C4">
        <w:t>Agreement</w:t>
      </w:r>
    </w:p>
    <w:p w14:paraId="21609B81" w14:textId="77777777" w:rsidR="00F3206A" w:rsidRPr="001349C4" w:rsidRDefault="00F3206A" w:rsidP="00F3206A">
      <w:pPr>
        <w:pStyle w:val="Doc-text2"/>
        <w:pBdr>
          <w:top w:val="single" w:sz="4" w:space="1" w:color="auto"/>
          <w:left w:val="single" w:sz="4" w:space="4" w:color="auto"/>
          <w:bottom w:val="single" w:sz="4" w:space="1" w:color="auto"/>
          <w:right w:val="single" w:sz="4" w:space="4" w:color="auto"/>
        </w:pBdr>
      </w:pPr>
      <w:r w:rsidRPr="001349C4">
        <w:t>1:</w:t>
      </w:r>
      <w:r w:rsidRPr="001349C4">
        <w:tab/>
        <w:t>The following RRC messages can be sent via the SRB in the SCG.</w:t>
      </w:r>
    </w:p>
    <w:p w14:paraId="123A6474" w14:textId="77777777" w:rsidR="00F3206A" w:rsidRPr="001349C4" w:rsidRDefault="00F3206A" w:rsidP="00F3206A">
      <w:pPr>
        <w:pStyle w:val="Doc-text2"/>
        <w:pBdr>
          <w:top w:val="single" w:sz="4" w:space="1" w:color="auto"/>
          <w:left w:val="single" w:sz="4" w:space="4" w:color="auto"/>
          <w:bottom w:val="single" w:sz="4" w:space="1" w:color="auto"/>
          <w:right w:val="single" w:sz="4" w:space="4" w:color="auto"/>
        </w:pBdr>
      </w:pPr>
      <w:r w:rsidRPr="001349C4">
        <w:t>•</w:t>
      </w:r>
      <w:r w:rsidRPr="001349C4">
        <w:tab/>
        <w:t>RRCConnectionReconfiguration and RRCConnectionReconfigurationComplete</w:t>
      </w:r>
    </w:p>
    <w:p w14:paraId="652C7FA5" w14:textId="77777777" w:rsidR="00F3206A" w:rsidRPr="001349C4" w:rsidRDefault="00F3206A" w:rsidP="00F3206A">
      <w:pPr>
        <w:pStyle w:val="Doc-text2"/>
        <w:pBdr>
          <w:top w:val="single" w:sz="4" w:space="1" w:color="auto"/>
          <w:left w:val="single" w:sz="4" w:space="4" w:color="auto"/>
          <w:bottom w:val="single" w:sz="4" w:space="1" w:color="auto"/>
          <w:right w:val="single" w:sz="4" w:space="4" w:color="auto"/>
        </w:pBdr>
      </w:pPr>
      <w:r w:rsidRPr="001349C4">
        <w:t>•</w:t>
      </w:r>
      <w:r w:rsidRPr="001349C4">
        <w:tab/>
        <w:t>MeasurementReport</w:t>
      </w:r>
    </w:p>
    <w:p w14:paraId="1F42C40A" w14:textId="77777777" w:rsidR="00F3206A" w:rsidRDefault="00F3206A" w:rsidP="00591969"/>
    <w:p w14:paraId="50867295" w14:textId="77777777" w:rsidR="00F3206A" w:rsidRPr="001349C4" w:rsidRDefault="00F3206A" w:rsidP="00F3206A">
      <w:pPr>
        <w:pStyle w:val="Doc-text2"/>
        <w:pBdr>
          <w:top w:val="single" w:sz="4" w:space="1" w:color="auto"/>
          <w:left w:val="single" w:sz="4" w:space="4" w:color="auto"/>
          <w:bottom w:val="single" w:sz="4" w:space="1" w:color="auto"/>
          <w:right w:val="single" w:sz="4" w:space="4" w:color="auto"/>
        </w:pBdr>
      </w:pPr>
      <w:r w:rsidRPr="001349C4">
        <w:t>Agreement</w:t>
      </w:r>
    </w:p>
    <w:p w14:paraId="50E69A97" w14:textId="77777777" w:rsidR="00F3206A" w:rsidRPr="001349C4" w:rsidRDefault="00F3206A" w:rsidP="00F3206A">
      <w:pPr>
        <w:pStyle w:val="Doc-text2"/>
        <w:pBdr>
          <w:top w:val="single" w:sz="4" w:space="1" w:color="auto"/>
          <w:left w:val="single" w:sz="4" w:space="4" w:color="auto"/>
          <w:bottom w:val="single" w:sz="4" w:space="1" w:color="auto"/>
          <w:right w:val="single" w:sz="4" w:space="4" w:color="auto"/>
        </w:pBdr>
      </w:pPr>
      <w:r w:rsidRPr="001349C4">
        <w:t>1</w:t>
      </w:r>
      <w:r w:rsidRPr="001349C4">
        <w:tab/>
        <w:t>For LTE-NR tight interworking where LTE is the MN with SCG SRB configured, only one SRB is required on the SN side, and only for messages corresponding to SRB1.</w:t>
      </w:r>
    </w:p>
    <w:p w14:paraId="39C5723D" w14:textId="77777777" w:rsidR="00F3206A" w:rsidRPr="001349C4" w:rsidRDefault="00F3206A" w:rsidP="00F3206A">
      <w:pPr>
        <w:pStyle w:val="Doc-text2"/>
        <w:pBdr>
          <w:top w:val="single" w:sz="4" w:space="1" w:color="auto"/>
          <w:left w:val="single" w:sz="4" w:space="4" w:color="auto"/>
          <w:bottom w:val="single" w:sz="4" w:space="1" w:color="auto"/>
          <w:right w:val="single" w:sz="4" w:space="4" w:color="auto"/>
        </w:pBdr>
      </w:pPr>
      <w:r w:rsidRPr="001349C4">
        <w:t>FFS is anything additional is needed for SN failure cases.</w:t>
      </w:r>
    </w:p>
    <w:p w14:paraId="3671E885" w14:textId="0B7205E7" w:rsidR="00591969" w:rsidRDefault="00A0719C" w:rsidP="00591969">
      <w:r>
        <w:lastRenderedPageBreak/>
        <w:t xml:space="preserve">In this contribution, it </w:t>
      </w:r>
      <w:r w:rsidR="00591969">
        <w:t>discusses the</w:t>
      </w:r>
      <w:r w:rsidR="002D65FE">
        <w:t xml:space="preserve"> remaining issues due to </w:t>
      </w:r>
      <w:r w:rsidR="00962EFB">
        <w:t>the introduction of SCG split bearer and SCG SRB</w:t>
      </w:r>
      <w:r w:rsidR="00591969">
        <w:t xml:space="preserve">. </w:t>
      </w:r>
    </w:p>
    <w:p w14:paraId="3671E887" w14:textId="77777777" w:rsidR="00591969" w:rsidRDefault="00591969" w:rsidP="00591969">
      <w:pPr>
        <w:pStyle w:val="Heading1"/>
      </w:pPr>
      <w:r>
        <w:t>Discussion</w:t>
      </w:r>
    </w:p>
    <w:p w14:paraId="24A0D101" w14:textId="03004AE3" w:rsidR="009F5363" w:rsidRDefault="004214FB" w:rsidP="009F5363">
      <w:pPr>
        <w:pStyle w:val="Heading2"/>
      </w:pPr>
      <w:r>
        <w:t xml:space="preserve">Establishment of a </w:t>
      </w:r>
      <w:r w:rsidR="00F3206A">
        <w:t>SCG split bearer</w:t>
      </w:r>
    </w:p>
    <w:p w14:paraId="07FB0C1B" w14:textId="7B8889AA" w:rsidR="00C4788C" w:rsidRDefault="002B07F2" w:rsidP="00402F1C">
      <w:pPr>
        <w:spacing w:after="0"/>
      </w:pPr>
      <w:r>
        <w:t>EN-DC is only supported when there is a DRB mapped over the SCG. This would also mean that</w:t>
      </w:r>
      <w:r w:rsidR="002E49BA">
        <w:t xml:space="preserve"> the MN has to request the S</w:t>
      </w:r>
      <w:r w:rsidR="00CC2DB9">
        <w:t>g</w:t>
      </w:r>
      <w:r w:rsidR="002E49BA">
        <w:t xml:space="preserve">NB to allocate radio resources for a </w:t>
      </w:r>
      <w:r w:rsidR="008C2CE9">
        <w:t xml:space="preserve">specific </w:t>
      </w:r>
      <w:r w:rsidR="00EC5857">
        <w:t>DRB</w:t>
      </w:r>
      <w:r w:rsidR="002E49BA">
        <w:t xml:space="preserve">. In LTE, there are only 2 bearer types </w:t>
      </w:r>
      <w:r w:rsidR="00EC5857">
        <w:t xml:space="preserve">that use radio resources </w:t>
      </w:r>
      <w:r w:rsidR="002E49BA">
        <w:t>on the SCG, either a M</w:t>
      </w:r>
      <w:r w:rsidR="00C4788C">
        <w:t xml:space="preserve">CG split bearer or a SCG bearer and the </w:t>
      </w:r>
      <w:r w:rsidR="004214FB">
        <w:t xml:space="preserve">MN </w:t>
      </w:r>
      <w:r w:rsidR="00C4788C">
        <w:t>decide</w:t>
      </w:r>
      <w:r w:rsidR="00EC5857">
        <w:t>s</w:t>
      </w:r>
      <w:r w:rsidR="00C4788C">
        <w:t xml:space="preserve"> on the bearer type (i.e. MCG split bearer or</w:t>
      </w:r>
      <w:r w:rsidR="009F5ABC">
        <w:t xml:space="preserve"> SCG bearer</w:t>
      </w:r>
      <w:r w:rsidR="00C4788C">
        <w:t xml:space="preserve">) for the </w:t>
      </w:r>
      <w:r w:rsidR="00CC2DB9">
        <w:t>DRB</w:t>
      </w:r>
      <w:r w:rsidR="00FA5B4B">
        <w:t xml:space="preserve"> </w:t>
      </w:r>
      <w:r w:rsidR="00C4788C">
        <w:t>and provide the SN with the QoS required</w:t>
      </w:r>
      <w:r w:rsidR="00FA5B4B">
        <w:t xml:space="preserve"> </w:t>
      </w:r>
      <w:r w:rsidR="00CC2DB9">
        <w:t>by DRB</w:t>
      </w:r>
      <w:r w:rsidR="00342D4D">
        <w:t xml:space="preserve"> for the SCG part</w:t>
      </w:r>
      <w:r w:rsidR="00C4788C">
        <w:t>.</w:t>
      </w:r>
    </w:p>
    <w:p w14:paraId="7EDE15E6" w14:textId="77777777" w:rsidR="00C4788C" w:rsidRDefault="00C4788C" w:rsidP="00402F1C">
      <w:pPr>
        <w:spacing w:after="0"/>
      </w:pPr>
    </w:p>
    <w:p w14:paraId="71D80A55" w14:textId="4C77C3DE" w:rsidR="009F5363" w:rsidRDefault="008C2CE9" w:rsidP="00402F1C">
      <w:pPr>
        <w:spacing w:after="0"/>
      </w:pPr>
      <w:r>
        <w:t>In EN-DC, there is also the possibil</w:t>
      </w:r>
      <w:r w:rsidR="005466CE">
        <w:t>ity to setup a bearer as a</w:t>
      </w:r>
      <w:r w:rsidR="00EC5857">
        <w:t>n</w:t>
      </w:r>
      <w:r>
        <w:t xml:space="preserve"> SCG split bearer</w:t>
      </w:r>
      <w:r w:rsidR="00BF32B5">
        <w:t xml:space="preserve">. MN </w:t>
      </w:r>
      <w:r w:rsidR="00EC5857">
        <w:t xml:space="preserve">can </w:t>
      </w:r>
      <w:r w:rsidR="00BF32B5">
        <w:t xml:space="preserve">request </w:t>
      </w:r>
      <w:r w:rsidR="00EC5857">
        <w:t xml:space="preserve">the SN </w:t>
      </w:r>
      <w:r w:rsidR="00BF32B5">
        <w:t>for a</w:t>
      </w:r>
      <w:r w:rsidR="00EC5857">
        <w:t>n</w:t>
      </w:r>
      <w:r w:rsidR="00BF32B5">
        <w:t xml:space="preserve"> SCG or SCG split bearer because the </w:t>
      </w:r>
      <w:r w:rsidR="00EC5857">
        <w:t xml:space="preserve">LTE </w:t>
      </w:r>
      <w:r w:rsidR="00BF32B5">
        <w:t xml:space="preserve">MN is unable to handle the high data rate </w:t>
      </w:r>
      <w:r w:rsidR="00EC5857">
        <w:t xml:space="preserve">via </w:t>
      </w:r>
      <w:r w:rsidR="00BF32B5">
        <w:t xml:space="preserve">the </w:t>
      </w:r>
      <w:r w:rsidR="004214FB">
        <w:t xml:space="preserve">MN </w:t>
      </w:r>
      <w:r w:rsidR="00BF32B5">
        <w:t>PDCP. A split bearer is normally to increase the DL/UL throughput for a bearer</w:t>
      </w:r>
      <w:r w:rsidR="004214FB">
        <w:t xml:space="preserve"> when the</w:t>
      </w:r>
      <w:r w:rsidR="00EC5857">
        <w:t>re</w:t>
      </w:r>
      <w:r w:rsidR="004214FB">
        <w:t xml:space="preserve"> is no ideal backhaul. But</w:t>
      </w:r>
      <w:r w:rsidR="00BF32B5">
        <w:t xml:space="preserve"> for an SCG split bearer, it is also to allow faster switching between the 2 legs due to the unpredictability of the </w:t>
      </w:r>
      <w:r w:rsidR="00EC5857">
        <w:t xml:space="preserve">NR </w:t>
      </w:r>
      <w:r w:rsidR="00BF32B5">
        <w:t xml:space="preserve">SN cell if it is in </w:t>
      </w:r>
      <w:r w:rsidR="00EC5857">
        <w:t xml:space="preserve">a </w:t>
      </w:r>
      <w:r w:rsidR="00BF32B5">
        <w:t>high frequency band. Hence</w:t>
      </w:r>
      <w:r w:rsidR="00EC5857">
        <w:t>,</w:t>
      </w:r>
      <w:r w:rsidR="00BF32B5">
        <w:t xml:space="preserve"> from this point of view, MN should be able to request for </w:t>
      </w:r>
      <w:r w:rsidR="00904E4D">
        <w:t>SCG split bearer directly</w:t>
      </w:r>
      <w:r w:rsidR="004214FB">
        <w:t xml:space="preserve"> as with other bearer types</w:t>
      </w:r>
      <w:r w:rsidR="00904E4D">
        <w:t xml:space="preserve">. </w:t>
      </w:r>
    </w:p>
    <w:p w14:paraId="3C8B9103" w14:textId="77777777" w:rsidR="00F37260" w:rsidRDefault="00F37260" w:rsidP="00402F1C">
      <w:pPr>
        <w:spacing w:after="0"/>
      </w:pPr>
    </w:p>
    <w:p w14:paraId="587E13D7" w14:textId="7B702EEF" w:rsidR="009A6CF9" w:rsidRDefault="009A6CF9" w:rsidP="009A6CF9">
      <w:pPr>
        <w:spacing w:after="0"/>
      </w:pPr>
      <w:r w:rsidRPr="001B7F30">
        <w:rPr>
          <w:b/>
        </w:rPr>
        <w:t>Proposal#1:</w:t>
      </w:r>
      <w:r>
        <w:t xml:space="preserve"> MN can request</w:t>
      </w:r>
      <w:r w:rsidR="00904E4D">
        <w:t xml:space="preserve"> SN</w:t>
      </w:r>
      <w:r>
        <w:t xml:space="preserve"> for a</w:t>
      </w:r>
      <w:r w:rsidR="00E2574C">
        <w:t>n</w:t>
      </w:r>
      <w:r>
        <w:t xml:space="preserve"> MCG split bearer or a</w:t>
      </w:r>
      <w:r w:rsidR="00E2574C">
        <w:t>n</w:t>
      </w:r>
      <w:r>
        <w:t xml:space="preserve"> SCG bearer</w:t>
      </w:r>
      <w:r w:rsidR="00904E4D">
        <w:t xml:space="preserve"> or a</w:t>
      </w:r>
      <w:r w:rsidR="00E2574C">
        <w:t>n</w:t>
      </w:r>
      <w:r w:rsidR="00904E4D">
        <w:t xml:space="preserve"> SCG split bearer for a</w:t>
      </w:r>
      <w:r w:rsidR="00342D4D">
        <w:t xml:space="preserve"> </w:t>
      </w:r>
      <w:r w:rsidR="00E2574C">
        <w:t>DRB</w:t>
      </w:r>
      <w:r>
        <w:t>.</w:t>
      </w:r>
    </w:p>
    <w:p w14:paraId="100BB807" w14:textId="77777777" w:rsidR="004214FB" w:rsidRDefault="004214FB" w:rsidP="009A6CF9">
      <w:pPr>
        <w:spacing w:after="0"/>
      </w:pPr>
    </w:p>
    <w:p w14:paraId="679B87C4" w14:textId="40163F1C" w:rsidR="009A6CF9" w:rsidRDefault="004214FB" w:rsidP="009A6CF9">
      <w:pPr>
        <w:spacing w:after="0"/>
      </w:pPr>
      <w:r>
        <w:t>Then the question is whether the SN can request a bearer type change from SCG bearer to SCG split bearer</w:t>
      </w:r>
      <w:r w:rsidR="00E2574C">
        <w:t>, for example</w:t>
      </w:r>
      <w:r>
        <w:t xml:space="preserve"> to increase of DL/UL throughput </w:t>
      </w:r>
      <w:r w:rsidR="00E2574C">
        <w:t xml:space="preserve">when there is </w:t>
      </w:r>
      <w:r>
        <w:t>non-ideal backhaul</w:t>
      </w:r>
      <w:r w:rsidR="00E2574C">
        <w:t>, or to enable faster switching</w:t>
      </w:r>
      <w:r w:rsidR="005C6D2A">
        <w:t>, or from SCG split bearer to SCG bearer</w:t>
      </w:r>
      <w:r>
        <w:t>.</w:t>
      </w:r>
      <w:r w:rsidR="00F06BCA">
        <w:t xml:space="preserve"> We do not see a strong need for this</w:t>
      </w:r>
      <w:r w:rsidR="006C4443">
        <w:t xml:space="preserve"> during the SgNB addition case</w:t>
      </w:r>
      <w:r w:rsidR="00E2574C">
        <w:t xml:space="preserve"> a</w:t>
      </w:r>
      <w:r w:rsidR="006C4443">
        <w:t>s</w:t>
      </w:r>
      <w:r w:rsidR="00E2574C">
        <w:t xml:space="preserve"> the MN should have had sufficient information to make an appropriate decision when the SCG bearer was set</w:t>
      </w:r>
      <w:r w:rsidR="005C6D2A">
        <w:t>up</w:t>
      </w:r>
      <w:r w:rsidR="00E2574C">
        <w:t xml:space="preserve">. </w:t>
      </w:r>
      <w:r w:rsidR="006C4443">
        <w:t>As on the SCG change due to mobility, the UE may move from low frequency SCG to/from high frequency SCG. In such cases, SN may request bearer type change from SCG bearer to/from SCG split bearer. Since who initiates the bearer type change is transparent to the UE, the decision can be made by</w:t>
      </w:r>
      <w:r w:rsidR="00BE6886">
        <w:t xml:space="preserve"> RAN 3.</w:t>
      </w:r>
    </w:p>
    <w:p w14:paraId="6D53246E" w14:textId="77777777" w:rsidR="004214FB" w:rsidRDefault="004214FB" w:rsidP="009A6CF9">
      <w:pPr>
        <w:spacing w:after="0"/>
        <w:rPr>
          <w:b/>
        </w:rPr>
      </w:pPr>
    </w:p>
    <w:p w14:paraId="77CBFC50" w14:textId="596DB0B3" w:rsidR="009A6CF9" w:rsidRDefault="009A6CF9" w:rsidP="009A6CF9">
      <w:pPr>
        <w:spacing w:after="0"/>
      </w:pPr>
      <w:r w:rsidRPr="001B7F30">
        <w:rPr>
          <w:b/>
        </w:rPr>
        <w:t>Proposal#2:</w:t>
      </w:r>
      <w:r w:rsidR="00904E4D">
        <w:t xml:space="preserve"> </w:t>
      </w:r>
      <w:r w:rsidR="00BE6886">
        <w:t xml:space="preserve">Whether the </w:t>
      </w:r>
      <w:r>
        <w:t>SN can request the MN to change a</w:t>
      </w:r>
      <w:r w:rsidR="00E2574C">
        <w:t>n</w:t>
      </w:r>
      <w:r>
        <w:t xml:space="preserve"> SCG bearer to</w:t>
      </w:r>
      <w:r w:rsidR="005C6D2A">
        <w:t>/from</w:t>
      </w:r>
      <w:r>
        <w:t xml:space="preserve"> a</w:t>
      </w:r>
      <w:r w:rsidR="00E2574C">
        <w:t>n</w:t>
      </w:r>
      <w:r>
        <w:t xml:space="preserve"> SCG split bearer</w:t>
      </w:r>
      <w:r w:rsidR="005C6D2A">
        <w:t xml:space="preserve"> subsequently</w:t>
      </w:r>
      <w:r w:rsidR="00904E4D">
        <w:t xml:space="preserve">, </w:t>
      </w:r>
      <w:r w:rsidR="0050106B">
        <w:t>after it has been setup</w:t>
      </w:r>
      <w:r w:rsidR="00F06BCA">
        <w:t xml:space="preserve"> by MN</w:t>
      </w:r>
      <w:r w:rsidR="00BE6886">
        <w:t xml:space="preserve"> can be left to RAN 3, </w:t>
      </w:r>
      <w:r w:rsidR="004072ED">
        <w:t>as long as</w:t>
      </w:r>
      <w:r w:rsidR="00BE6886">
        <w:t xml:space="preserve"> which node initiates the bearer type change is transparent to the UE</w:t>
      </w:r>
      <w:r>
        <w:t>.</w:t>
      </w:r>
    </w:p>
    <w:p w14:paraId="5039765B" w14:textId="77777777" w:rsidR="00AD2781" w:rsidRDefault="00AD2781" w:rsidP="00402F1C">
      <w:pPr>
        <w:spacing w:after="0"/>
      </w:pPr>
    </w:p>
    <w:p w14:paraId="3326B5A5" w14:textId="69034ABC" w:rsidR="00F06BCA" w:rsidRDefault="00F06BCA" w:rsidP="00F06BCA">
      <w:pPr>
        <w:pStyle w:val="Heading2"/>
      </w:pPr>
      <w:r>
        <w:t>Remaining issue</w:t>
      </w:r>
      <w:r w:rsidR="009240B0">
        <w:t>s</w:t>
      </w:r>
      <w:r>
        <w:t xml:space="preserve"> on the configuration of the SCG SRB</w:t>
      </w:r>
    </w:p>
    <w:p w14:paraId="1AA62392" w14:textId="447390A4" w:rsidR="0073406F" w:rsidRDefault="00AD2781" w:rsidP="00943FB8">
      <w:pPr>
        <w:spacing w:after="0"/>
      </w:pPr>
      <w:r>
        <w:t xml:space="preserve">It is agreed that the addition of SCG SRB is decided by SN. </w:t>
      </w:r>
      <w:r w:rsidR="0073406F">
        <w:t xml:space="preserve">It is FFS on whether the MN can request SN to establish </w:t>
      </w:r>
      <w:r w:rsidR="00E2574C">
        <w:t xml:space="preserve">an </w:t>
      </w:r>
      <w:r w:rsidR="0073406F">
        <w:t>SCG SRB</w:t>
      </w:r>
      <w:r w:rsidR="008333B6">
        <w:t>. It is also not clear whether the SCG SRB can be added by SN later after the SCG is added via SgNB Addition procedure.</w:t>
      </w:r>
    </w:p>
    <w:p w14:paraId="2EEDDE95" w14:textId="77777777" w:rsidR="008333B6" w:rsidRDefault="008333B6" w:rsidP="00943FB8">
      <w:pPr>
        <w:spacing w:after="0"/>
      </w:pPr>
    </w:p>
    <w:p w14:paraId="7680C521" w14:textId="602267FB" w:rsidR="008333B6" w:rsidRDefault="00471A8E" w:rsidP="00943FB8">
      <w:pPr>
        <w:spacing w:after="0"/>
      </w:pPr>
      <w:r>
        <w:t>As o</w:t>
      </w:r>
      <w:r w:rsidR="008333B6">
        <w:t xml:space="preserve">n the FFS, </w:t>
      </w:r>
      <w:r w:rsidR="0050106B">
        <w:t xml:space="preserve">we see some benefits that </w:t>
      </w:r>
      <w:r w:rsidR="008333B6">
        <w:t xml:space="preserve">the MN </w:t>
      </w:r>
      <w:r w:rsidR="0050106B">
        <w:t>can</w:t>
      </w:r>
      <w:r w:rsidR="008333B6">
        <w:t xml:space="preserve"> request the SN to establish SCG SRB during the SgNB Addition procedure</w:t>
      </w:r>
      <w:r w:rsidR="0050106B">
        <w:t>, e.g.</w:t>
      </w:r>
      <w:r>
        <w:t xml:space="preserve"> </w:t>
      </w:r>
      <w:r w:rsidR="0050106B">
        <w:t xml:space="preserve">for </w:t>
      </w:r>
      <w:r>
        <w:t xml:space="preserve">offloading some of the RRC messages over to the SN. </w:t>
      </w:r>
      <w:r w:rsidR="0050106B">
        <w:t>However, since</w:t>
      </w:r>
      <w:r>
        <w:t xml:space="preserve"> it is transparent </w:t>
      </w:r>
      <w:r w:rsidR="0050106B">
        <w:t xml:space="preserve">to the UE </w:t>
      </w:r>
      <w:r>
        <w:t xml:space="preserve">whether the SCG SRB </w:t>
      </w:r>
      <w:r w:rsidR="005305A2">
        <w:t>can be</w:t>
      </w:r>
      <w:r>
        <w:t xml:space="preserve"> requested by MN </w:t>
      </w:r>
      <w:r w:rsidR="005305A2">
        <w:t xml:space="preserve">(as agreed, the final decision on whether to establish the SCG SRB lies with </w:t>
      </w:r>
      <w:r>
        <w:t>SN</w:t>
      </w:r>
      <w:r w:rsidR="005305A2">
        <w:t>)</w:t>
      </w:r>
      <w:r w:rsidR="0050106B">
        <w:t>, the final decision</w:t>
      </w:r>
      <w:r>
        <w:t xml:space="preserve"> can be left to RAN3:</w:t>
      </w:r>
    </w:p>
    <w:p w14:paraId="6D28EF75" w14:textId="77777777" w:rsidR="00471A8E" w:rsidRDefault="00471A8E" w:rsidP="00943FB8">
      <w:pPr>
        <w:spacing w:after="0"/>
      </w:pPr>
    </w:p>
    <w:p w14:paraId="3C483488" w14:textId="3472EE02" w:rsidR="00471A8E" w:rsidRDefault="00471A8E" w:rsidP="00943FB8">
      <w:pPr>
        <w:spacing w:after="0"/>
      </w:pPr>
      <w:r w:rsidRPr="00471A8E">
        <w:rPr>
          <w:b/>
        </w:rPr>
        <w:t xml:space="preserve">Proposal#3: </w:t>
      </w:r>
      <w:r>
        <w:t>Whether the MN can request SN to establish SCG SRB</w:t>
      </w:r>
      <w:r w:rsidR="005305A2">
        <w:t xml:space="preserve"> during the SgNB addition procedure</w:t>
      </w:r>
      <w:r>
        <w:t xml:space="preserve"> can be left to network implementation (RAN3)</w:t>
      </w:r>
      <w:r w:rsidR="004072ED" w:rsidRPr="004072ED">
        <w:t xml:space="preserve"> </w:t>
      </w:r>
      <w:r w:rsidR="004072ED">
        <w:t xml:space="preserve">as long as which node initiates the </w:t>
      </w:r>
      <w:r w:rsidR="004072ED">
        <w:t>establishment of the SCG SRB</w:t>
      </w:r>
      <w:r w:rsidR="004072ED">
        <w:t xml:space="preserve"> is transparent to the UE</w:t>
      </w:r>
      <w:r w:rsidR="004072ED">
        <w:t>.</w:t>
      </w:r>
    </w:p>
    <w:p w14:paraId="4D8E6EFB" w14:textId="77777777" w:rsidR="0073406F" w:rsidRDefault="0073406F" w:rsidP="00943FB8">
      <w:pPr>
        <w:spacing w:after="0"/>
      </w:pPr>
    </w:p>
    <w:p w14:paraId="29B26F13" w14:textId="267EFE58" w:rsidR="00943FB8" w:rsidRDefault="00471A8E" w:rsidP="00943FB8">
      <w:pPr>
        <w:spacing w:after="0"/>
        <w:rPr>
          <w:rFonts w:cs="Intel Clear"/>
        </w:rPr>
      </w:pPr>
      <w:r>
        <w:t xml:space="preserve">As on whether the SCG SRB can be added by SN or requested by </w:t>
      </w:r>
      <w:r w:rsidR="00641ACD">
        <w:t>MN</w:t>
      </w:r>
      <w:r w:rsidR="0050106B">
        <w:t xml:space="preserve"> subsequently after SgNB addition</w:t>
      </w:r>
      <w:r w:rsidR="00AD2781">
        <w:t xml:space="preserve">, we think that </w:t>
      </w:r>
      <w:r w:rsidR="00AD2781">
        <w:rPr>
          <w:rFonts w:cs="Intel Clear"/>
        </w:rPr>
        <w:t>the SCG SRB</w:t>
      </w:r>
      <w:r w:rsidR="00AD2781" w:rsidRPr="00AD2781">
        <w:rPr>
          <w:rFonts w:cs="Intel Clear"/>
        </w:rPr>
        <w:t xml:space="preserve"> can be configured when the SCG is added (including SCG change).  There is no strong need to introduce the possibility to configure the </w:t>
      </w:r>
      <w:r w:rsidR="00943FB8">
        <w:rPr>
          <w:rFonts w:cs="Intel Clear"/>
        </w:rPr>
        <w:t>SCG SRB</w:t>
      </w:r>
      <w:r w:rsidR="00AD2781" w:rsidRPr="00AD2781">
        <w:rPr>
          <w:rFonts w:cs="Intel Clear"/>
        </w:rPr>
        <w:t xml:space="preserve"> at some later point after the SCG is configured.  Thus</w:t>
      </w:r>
      <w:r w:rsidR="00943FB8">
        <w:rPr>
          <w:rFonts w:cs="Intel Clear"/>
        </w:rPr>
        <w:t>, the configuration for the SCG SRB</w:t>
      </w:r>
      <w:r w:rsidR="00AD2781" w:rsidRPr="00AD2781">
        <w:rPr>
          <w:rFonts w:cs="Intel Clear"/>
        </w:rPr>
        <w:t xml:space="preserve"> can be part of the SCG addition procedure; that is in the reconfiguration message provided by SN for SN addition.</w:t>
      </w:r>
    </w:p>
    <w:p w14:paraId="0A362B29" w14:textId="77777777" w:rsidR="00943FB8" w:rsidRDefault="00943FB8" w:rsidP="00943FB8">
      <w:pPr>
        <w:spacing w:after="0"/>
        <w:rPr>
          <w:rFonts w:cs="Intel Clear"/>
        </w:rPr>
      </w:pPr>
    </w:p>
    <w:p w14:paraId="24EFB065" w14:textId="3B81F510" w:rsidR="00943FB8" w:rsidRDefault="00641ACD" w:rsidP="00943FB8">
      <w:pPr>
        <w:spacing w:after="0"/>
        <w:rPr>
          <w:rFonts w:cs="Intel Clear"/>
        </w:rPr>
      </w:pPr>
      <w:r>
        <w:rPr>
          <w:rFonts w:cs="Intel Clear"/>
          <w:b/>
        </w:rPr>
        <w:t>Proposal #4</w:t>
      </w:r>
      <w:r w:rsidR="00AD2781" w:rsidRPr="00AD2781">
        <w:rPr>
          <w:rFonts w:cs="Intel Clear"/>
          <w:b/>
        </w:rPr>
        <w:t xml:space="preserve">: </w:t>
      </w:r>
      <w:r w:rsidR="00AD2781" w:rsidRPr="00943FB8">
        <w:rPr>
          <w:rFonts w:cs="Intel Clear"/>
        </w:rPr>
        <w:t>SCG SRB can be optionally configured as part of the SCG addition (including SCG change) procedu</w:t>
      </w:r>
      <w:r w:rsidR="00AD2781" w:rsidRPr="00AD2781">
        <w:rPr>
          <w:rFonts w:cs="Intel Clear"/>
        </w:rPr>
        <w:t>re.</w:t>
      </w:r>
      <w:r w:rsidR="005305A2">
        <w:rPr>
          <w:rFonts w:cs="Intel Clear"/>
        </w:rPr>
        <w:t xml:space="preserve"> SCG SRB should not be allowed to</w:t>
      </w:r>
      <w:r w:rsidR="00764DAF">
        <w:rPr>
          <w:rFonts w:cs="Intel Clear"/>
        </w:rPr>
        <w:t xml:space="preserve"> configure</w:t>
      </w:r>
      <w:r w:rsidR="005305A2">
        <w:rPr>
          <w:rFonts w:cs="Intel Clear"/>
        </w:rPr>
        <w:t xml:space="preserve"> as part of the SCG Modification procedure.</w:t>
      </w:r>
    </w:p>
    <w:p w14:paraId="5F707F1D" w14:textId="77777777" w:rsidR="00943FB8" w:rsidRDefault="00943FB8" w:rsidP="00943FB8">
      <w:pPr>
        <w:spacing w:after="0"/>
        <w:rPr>
          <w:rFonts w:cs="Intel Clear"/>
        </w:rPr>
      </w:pPr>
    </w:p>
    <w:p w14:paraId="2DA46D8D" w14:textId="44B25284" w:rsidR="00641ACD" w:rsidRDefault="00641ACD" w:rsidP="00402F1C">
      <w:pPr>
        <w:spacing w:after="0"/>
      </w:pPr>
      <w:r>
        <w:t xml:space="preserve">As was agreed, </w:t>
      </w:r>
      <w:r w:rsidRPr="001349C4">
        <w:t>NR RRC complete messages and measurement reports are mapped to the same SRB as the message initiating the procedure.</w:t>
      </w:r>
      <w:r>
        <w:t xml:space="preserve"> It is FFS on whether there are exceptional case</w:t>
      </w:r>
      <w:r w:rsidR="00590493">
        <w:t>s</w:t>
      </w:r>
      <w:r>
        <w:t xml:space="preserve"> that a complete message can be sent over a diff</w:t>
      </w:r>
      <w:r w:rsidR="00940A6D">
        <w:t>erent SRB. There is already one</w:t>
      </w:r>
      <w:r>
        <w:t xml:space="preserve"> case</w:t>
      </w:r>
      <w:r w:rsidR="00940A6D">
        <w:t xml:space="preserve"> where the response message (i.e. SCG configuration failure message) is sent in a different SRB. Another possible case, depending on the MN/SN measurement discussion, the measurement configuration is configured by a</w:t>
      </w:r>
      <w:r w:rsidR="00590493">
        <w:t>n</w:t>
      </w:r>
      <w:r w:rsidR="00940A6D">
        <w:t xml:space="preserve"> S</w:t>
      </w:r>
      <w:r w:rsidR="00590493">
        <w:t>CG</w:t>
      </w:r>
      <w:r w:rsidR="00940A6D">
        <w:t xml:space="preserve"> but the measurement reporting is to both SN and MN (e.g. the measurement configuration is fully </w:t>
      </w:r>
      <w:r w:rsidR="00590493">
        <w:t>shared between the SN and MN</w:t>
      </w:r>
      <w:r w:rsidR="00940A6D">
        <w:t xml:space="preserve">). However, we think such </w:t>
      </w:r>
      <w:r w:rsidR="00590493">
        <w:t xml:space="preserve">a </w:t>
      </w:r>
      <w:r w:rsidR="00940A6D">
        <w:t>case is rare and should be explicitly specified, but the baseline should be that the complete messages and measurement</w:t>
      </w:r>
      <w:r w:rsidR="005305A2">
        <w:t xml:space="preserve"> are mapped to the same SRB as the message initiating the procedure.</w:t>
      </w:r>
      <w:r w:rsidR="00940A6D">
        <w:t xml:space="preserve"> </w:t>
      </w:r>
    </w:p>
    <w:p w14:paraId="180B884D" w14:textId="77777777" w:rsidR="00641ACD" w:rsidRDefault="00641ACD" w:rsidP="00402F1C">
      <w:pPr>
        <w:spacing w:after="0"/>
      </w:pPr>
    </w:p>
    <w:p w14:paraId="210ACC48" w14:textId="394AD61B" w:rsidR="00940A6D" w:rsidRDefault="00940A6D" w:rsidP="00402F1C">
      <w:pPr>
        <w:spacing w:after="0"/>
      </w:pPr>
      <w:r w:rsidRPr="00940A6D">
        <w:rPr>
          <w:b/>
        </w:rPr>
        <w:t>Proposal#5:</w:t>
      </w:r>
      <w:r>
        <w:t xml:space="preserve"> RRC complete message and measurement reports are mapped to the same SRB as the message initiating the procedure</w:t>
      </w:r>
      <w:r w:rsidR="005305A2">
        <w:t>, unless specified otherwise</w:t>
      </w:r>
      <w:r>
        <w:t>.</w:t>
      </w:r>
    </w:p>
    <w:p w14:paraId="0369525D" w14:textId="77777777" w:rsidR="00940A6D" w:rsidRDefault="00940A6D" w:rsidP="00402F1C">
      <w:pPr>
        <w:spacing w:after="0"/>
      </w:pPr>
    </w:p>
    <w:p w14:paraId="27676481" w14:textId="07048B13" w:rsidR="00F366F1" w:rsidRDefault="00590493" w:rsidP="00F366F1">
      <w:r>
        <w:t>If</w:t>
      </w:r>
      <w:r w:rsidR="00D241CA">
        <w:t xml:space="preserve"> SCG SRB is configured, the </w:t>
      </w:r>
      <w:r>
        <w:t xml:space="preserve">SN </w:t>
      </w:r>
      <w:r w:rsidR="00D241CA">
        <w:t>RRC messages can be routed either via the SRB of the MN or the SCG SRB of the SN</w:t>
      </w:r>
      <w:r>
        <w:t xml:space="preserve">, </w:t>
      </w:r>
      <w:r w:rsidR="00D241CA">
        <w:t>depend</w:t>
      </w:r>
      <w:r>
        <w:t>ing</w:t>
      </w:r>
      <w:r w:rsidR="00D241CA">
        <w:t xml:space="preserve"> on whether MN is involved in the construction of the RRC message. In the SgNB addition and the MN initiated SgNB </w:t>
      </w:r>
      <w:r w:rsidR="003912E9">
        <w:t>m</w:t>
      </w:r>
      <w:r w:rsidR="00D241CA">
        <w:t xml:space="preserve">odification cases, MN is involved in not just the coordination but also </w:t>
      </w:r>
      <w:r w:rsidR="00F366F1">
        <w:t>the generation of the final RRC messages. In the case of SN initiated SgNB modification, the final RRC message can be either from MN or from SN (via SCG SRB). The overall agreed RRC framework from the network side for LTE-NR interworking can be summarised as follows:</w:t>
      </w:r>
    </w:p>
    <w:p w14:paraId="4487670E" w14:textId="77777777" w:rsidR="00F366F1" w:rsidRDefault="00F366F1" w:rsidP="00F366F1">
      <w:r>
        <w:t>1) Final RRC message generated by LTE MN or in some cases, by NR SN if SCG SRB is configured. In the case the final RRC message is generated by LTE MN, it may include an encapsulated NR SN RRC message.  The SN RRC message itself is transparent to the MN.</w:t>
      </w:r>
    </w:p>
    <w:p w14:paraId="198954C9" w14:textId="2BA210DE" w:rsidR="00F366F1" w:rsidRDefault="00F366F1" w:rsidP="00F366F1">
      <w:r>
        <w:t xml:space="preserve">2) MN RRC message is processed by MN RRC entity and SN RRC message by SN </w:t>
      </w:r>
      <w:r w:rsidR="00590493">
        <w:t xml:space="preserve">RRC </w:t>
      </w:r>
      <w:r>
        <w:t xml:space="preserve">entity (from modelling perspective) in the UE. </w:t>
      </w:r>
    </w:p>
    <w:p w14:paraId="44866E8C" w14:textId="77777777" w:rsidR="00F366F1" w:rsidRDefault="00F366F1" w:rsidP="00F366F1">
      <w:r>
        <w:t>3) The MN and SN RRC message contain configuration information for the MN and SN protocol stacks respectively, and each RRC entity configures their lower layers based on the received configuration in their respective RRC messages.</w:t>
      </w:r>
    </w:p>
    <w:p w14:paraId="744BCE4B" w14:textId="77777777" w:rsidR="00F366F1" w:rsidRDefault="00F366F1" w:rsidP="00F366F1">
      <w:r>
        <w:t>This is shown in the figure 1 below.</w:t>
      </w:r>
    </w:p>
    <w:p w14:paraId="1B36007E" w14:textId="77777777" w:rsidR="00F366F1" w:rsidRDefault="00F366F1" w:rsidP="00F366F1">
      <w:pPr>
        <w:jc w:val="center"/>
      </w:pPr>
      <w:r>
        <w:object w:dxaOrig="8295" w:dyaOrig="3150" w14:anchorId="432CC3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87.75pt" o:ole="">
            <v:imagedata r:id="rId10" o:title=""/>
          </v:shape>
          <o:OLEObject Type="Embed" ProgID="Visio.Drawing.15" ShapeID="_x0000_i1025" DrawAspect="Content" ObjectID="_1555525210" r:id="rId11"/>
        </w:object>
      </w:r>
    </w:p>
    <w:p w14:paraId="01BDB553" w14:textId="77777777" w:rsidR="00F366F1" w:rsidRDefault="00F366F1" w:rsidP="00F366F1">
      <w:pPr>
        <w:jc w:val="center"/>
      </w:pPr>
      <w:r>
        <w:t>Figure 1: EN-DC RRC message structure and associated lower layer configurations</w:t>
      </w:r>
    </w:p>
    <w:p w14:paraId="7A89628B" w14:textId="6F17F691" w:rsidR="00940A6D" w:rsidRDefault="00822E62" w:rsidP="00402F1C">
      <w:pPr>
        <w:spacing w:after="0"/>
      </w:pPr>
      <w:r>
        <w:t>As SCG SRB is optionally configured, the MN RRC message</w:t>
      </w:r>
      <w:r w:rsidR="005237F8">
        <w:t xml:space="preserve"> via MCG SRB</w:t>
      </w:r>
      <w:r>
        <w:t xml:space="preserve"> should be able to contain only MCG configuration, only SCG configuration or both MCG and SCG configurations. On the other hand, </w:t>
      </w:r>
      <w:r w:rsidR="00884DA1">
        <w:t xml:space="preserve">the SN RRC message that can be sent encapsulated in an MN RRC message or via </w:t>
      </w:r>
      <w:r>
        <w:t xml:space="preserve">SCG SRB should only contain SCG configuration. The following </w:t>
      </w:r>
      <w:r w:rsidR="00D21901">
        <w:t xml:space="preserve">example procedure </w:t>
      </w:r>
      <w:r>
        <w:t>sc</w:t>
      </w:r>
      <w:r w:rsidR="00D21901">
        <w:t>enarios where SCG SRB can be used</w:t>
      </w:r>
    </w:p>
    <w:p w14:paraId="3F32674F" w14:textId="67E0580B" w:rsidR="007E79B1" w:rsidRDefault="007E79B1" w:rsidP="00402F1C">
      <w:pPr>
        <w:spacing w:after="0"/>
      </w:pPr>
    </w:p>
    <w:tbl>
      <w:tblPr>
        <w:tblStyle w:val="TableGrid"/>
        <w:tblW w:w="8789" w:type="dxa"/>
        <w:tblInd w:w="137" w:type="dxa"/>
        <w:tblLook w:val="04A0" w:firstRow="1" w:lastRow="0" w:firstColumn="1" w:lastColumn="0" w:noHBand="0" w:noVBand="1"/>
      </w:tblPr>
      <w:tblGrid>
        <w:gridCol w:w="3544"/>
        <w:gridCol w:w="5245"/>
      </w:tblGrid>
      <w:tr w:rsidR="00C373BE" w:rsidRPr="00FC0689" w14:paraId="1960084C" w14:textId="77777777" w:rsidTr="00C373BE">
        <w:tc>
          <w:tcPr>
            <w:tcW w:w="3544" w:type="dxa"/>
          </w:tcPr>
          <w:p w14:paraId="3299046E" w14:textId="77777777" w:rsidR="00C373BE" w:rsidRPr="00FC0689" w:rsidRDefault="00C373BE" w:rsidP="009917AD">
            <w:pPr>
              <w:ind w:hanging="51"/>
              <w:rPr>
                <w:b/>
                <w:i/>
              </w:rPr>
            </w:pPr>
            <w:r w:rsidRPr="00FC0689">
              <w:rPr>
                <w:b/>
                <w:i/>
              </w:rPr>
              <w:t>Procedure</w:t>
            </w:r>
            <w:r>
              <w:rPr>
                <w:b/>
                <w:i/>
              </w:rPr>
              <w:t xml:space="preserve"> Scenario</w:t>
            </w:r>
          </w:p>
        </w:tc>
        <w:tc>
          <w:tcPr>
            <w:tcW w:w="5245" w:type="dxa"/>
          </w:tcPr>
          <w:p w14:paraId="5DF84AF2" w14:textId="7D997018" w:rsidR="00C373BE" w:rsidRPr="00FC0689" w:rsidRDefault="00C373BE" w:rsidP="009917AD">
            <w:pPr>
              <w:rPr>
                <w:b/>
                <w:i/>
              </w:rPr>
            </w:pPr>
            <w:r>
              <w:rPr>
                <w:b/>
                <w:i/>
              </w:rPr>
              <w:t>MN involvement</w:t>
            </w:r>
          </w:p>
        </w:tc>
      </w:tr>
      <w:tr w:rsidR="00C373BE" w:rsidRPr="00B62314" w14:paraId="208263B4" w14:textId="77777777" w:rsidTr="00C373BE">
        <w:tc>
          <w:tcPr>
            <w:tcW w:w="3544" w:type="dxa"/>
          </w:tcPr>
          <w:p w14:paraId="142B120C" w14:textId="77777777" w:rsidR="00C373BE" w:rsidRPr="00B62314" w:rsidRDefault="00C373BE" w:rsidP="009917AD">
            <w:r>
              <w:t>Intra-freq, intra-SgNB - no change of Xn and no change of RRC configuration that needs coordination with MN</w:t>
            </w:r>
          </w:p>
        </w:tc>
        <w:tc>
          <w:tcPr>
            <w:tcW w:w="5245" w:type="dxa"/>
          </w:tcPr>
          <w:p w14:paraId="349A3988" w14:textId="78FB74ED" w:rsidR="009567AA" w:rsidRDefault="009567AA" w:rsidP="009917AD">
            <w:r>
              <w:t>This scenario is associated with the case where an existing SCell is replaced with another intra-frequency SCell within the SN</w:t>
            </w:r>
            <w:r w:rsidR="00312BF3">
              <w:t xml:space="preserve"> or release of an existing SCell</w:t>
            </w:r>
            <w:r>
              <w:t>.</w:t>
            </w:r>
          </w:p>
          <w:p w14:paraId="1B9DF2DF" w14:textId="77777777" w:rsidR="009567AA" w:rsidRDefault="009567AA" w:rsidP="009917AD"/>
          <w:p w14:paraId="5BDAAA54" w14:textId="3A3B7178" w:rsidR="00C373BE" w:rsidRPr="00B62314" w:rsidRDefault="00C373BE" w:rsidP="009917AD">
            <w:r>
              <w:t>No MN involvement for coordination</w:t>
            </w:r>
            <w:r w:rsidR="009567AA">
              <w:t xml:space="preserve"> is needed</w:t>
            </w:r>
            <w:r>
              <w:t xml:space="preserve">.   </w:t>
            </w:r>
          </w:p>
          <w:p w14:paraId="1653FEA8" w14:textId="77777777" w:rsidR="00C373BE" w:rsidRDefault="00C373BE" w:rsidP="009917AD"/>
          <w:p w14:paraId="6EC54203" w14:textId="0160047E" w:rsidR="00C373BE" w:rsidRPr="00B62314" w:rsidRDefault="00C373BE" w:rsidP="009917AD">
            <w:r>
              <w:t>SCG change procedure can be done directly either via SCG SRB if configured or via an encapsulated container in the MN generated RRC message.</w:t>
            </w:r>
          </w:p>
        </w:tc>
      </w:tr>
      <w:tr w:rsidR="00C373BE" w14:paraId="0B979B4B" w14:textId="77777777" w:rsidTr="00C373BE">
        <w:tc>
          <w:tcPr>
            <w:tcW w:w="3544" w:type="dxa"/>
          </w:tcPr>
          <w:p w14:paraId="1B59D3B5" w14:textId="77777777" w:rsidR="00C373BE" w:rsidRDefault="00C373BE" w:rsidP="009917AD">
            <w:r>
              <w:t>Intra-freq, inter-SgNB - with change of Xn but without change of RRC configuration that needs coordination with MN</w:t>
            </w:r>
          </w:p>
        </w:tc>
        <w:tc>
          <w:tcPr>
            <w:tcW w:w="5245" w:type="dxa"/>
          </w:tcPr>
          <w:p w14:paraId="5D3EBF73" w14:textId="0237459E" w:rsidR="009567AA" w:rsidRDefault="009567AA" w:rsidP="00EF3EB2">
            <w:r>
              <w:t>This scenario is mainly associated with the case where the SN detects a need to change the SN, but there is no change of RRC configuration</w:t>
            </w:r>
            <w:r w:rsidR="00312BF3">
              <w:t xml:space="preserve"> (i.e. no bearer modification)</w:t>
            </w:r>
            <w:r>
              <w:t>.</w:t>
            </w:r>
          </w:p>
          <w:p w14:paraId="4B437971" w14:textId="77777777" w:rsidR="009567AA" w:rsidRDefault="009567AA" w:rsidP="00EF3EB2"/>
          <w:p w14:paraId="7E2A9C34" w14:textId="7DAE734E" w:rsidR="00C373BE" w:rsidRDefault="00312BF3" w:rsidP="00EF3EB2">
            <w:r>
              <w:t>Require</w:t>
            </w:r>
            <w:r w:rsidR="00C373BE">
              <w:t xml:space="preserve"> MN involvement - for change of Xn (dependent on the LS to RAN 3 R2-1703957).  </w:t>
            </w:r>
          </w:p>
          <w:p w14:paraId="71383BD7" w14:textId="77777777" w:rsidR="00C373BE" w:rsidRDefault="00C373BE" w:rsidP="00EF3EB2"/>
          <w:p w14:paraId="06A1E33F" w14:textId="7549411D" w:rsidR="00C373BE" w:rsidRDefault="00C373BE" w:rsidP="00EF3EB2">
            <w:r>
              <w:t>SCG change procedure can be done directly either via SCG SRB if configured or via an encapsulated container in the MN generated RRC message.</w:t>
            </w:r>
          </w:p>
        </w:tc>
      </w:tr>
    </w:tbl>
    <w:p w14:paraId="4883E7AC" w14:textId="6288A4B9" w:rsidR="00C373BE" w:rsidRDefault="00C373BE" w:rsidP="00402F1C">
      <w:pPr>
        <w:spacing w:after="0"/>
      </w:pPr>
    </w:p>
    <w:p w14:paraId="2EC13EA4" w14:textId="055B1057" w:rsidR="00286C9D" w:rsidRDefault="00D21901" w:rsidP="009F6719">
      <w:pPr>
        <w:spacing w:after="0"/>
      </w:pPr>
      <w:r>
        <w:rPr>
          <w:b/>
        </w:rPr>
        <w:t>Proposal#6</w:t>
      </w:r>
      <w:r w:rsidR="009C595D" w:rsidRPr="009F6719">
        <w:rPr>
          <w:b/>
        </w:rPr>
        <w:t>:</w:t>
      </w:r>
      <w:r w:rsidR="009F6719" w:rsidRPr="009F6719">
        <w:t xml:space="preserve"> </w:t>
      </w:r>
      <w:r w:rsidR="00884DA1">
        <w:t>T</w:t>
      </w:r>
      <w:r w:rsidR="00884DA1" w:rsidRPr="00884DA1">
        <w:t xml:space="preserve">he SN RRC message that can be </w:t>
      </w:r>
      <w:r w:rsidR="00884DA1">
        <w:t xml:space="preserve">sent </w:t>
      </w:r>
      <w:r w:rsidR="00884DA1" w:rsidRPr="00884DA1">
        <w:t>encapsulated in an MN RRC message or via SCG SRB only contain</w:t>
      </w:r>
      <w:r w:rsidR="00884DA1">
        <w:t>s</w:t>
      </w:r>
      <w:r w:rsidR="00884DA1" w:rsidRPr="00884DA1">
        <w:t xml:space="preserve"> SCG configuration</w:t>
      </w:r>
      <w:r>
        <w:t>.</w:t>
      </w:r>
    </w:p>
    <w:p w14:paraId="3671E8F7" w14:textId="77777777" w:rsidR="00591969" w:rsidRDefault="000E78C4" w:rsidP="000E78C4">
      <w:pPr>
        <w:pStyle w:val="Heading1"/>
      </w:pPr>
      <w:r>
        <w:t>Summary and proposals</w:t>
      </w:r>
    </w:p>
    <w:p w14:paraId="3671E8F8" w14:textId="1E6E361F" w:rsidR="000E78C4" w:rsidRDefault="009A6CF9" w:rsidP="000E78C4">
      <w:r>
        <w:t>In this contribution, t</w:t>
      </w:r>
      <w:r w:rsidR="00E8125F">
        <w:t xml:space="preserve">he following observations and proposals were made. </w:t>
      </w:r>
    </w:p>
    <w:p w14:paraId="3FA6F1E9" w14:textId="77777777" w:rsidR="00011565" w:rsidRDefault="00011565" w:rsidP="00011565">
      <w:pPr>
        <w:spacing w:after="0"/>
      </w:pPr>
      <w:r w:rsidRPr="001B7F30">
        <w:rPr>
          <w:b/>
        </w:rPr>
        <w:t>Proposal#1:</w:t>
      </w:r>
      <w:r>
        <w:t xml:space="preserve"> MN can request SN for an MCG split bearer or an SCG bearer or an SCG split bearer for a DRB.</w:t>
      </w:r>
    </w:p>
    <w:p w14:paraId="18645852" w14:textId="77777777" w:rsidR="00011565" w:rsidRDefault="00011565" w:rsidP="00011565">
      <w:pPr>
        <w:spacing w:after="0"/>
      </w:pPr>
      <w:r w:rsidRPr="001B7F30">
        <w:rPr>
          <w:b/>
        </w:rPr>
        <w:t>Proposal#2:</w:t>
      </w:r>
      <w:r>
        <w:t xml:space="preserve"> Whether the SN can request the MN to change an SCG bearer to/from an SCG split bearer subsequently, after it has been setup by MN can be left to RAN 3, as long as which node initiates the bearer type change is transparent to the UE.</w:t>
      </w:r>
    </w:p>
    <w:p w14:paraId="0EB620A5" w14:textId="77777777" w:rsidR="00011565" w:rsidRDefault="00011565" w:rsidP="00011565">
      <w:pPr>
        <w:spacing w:after="0"/>
      </w:pPr>
      <w:r w:rsidRPr="00471A8E">
        <w:rPr>
          <w:b/>
        </w:rPr>
        <w:lastRenderedPageBreak/>
        <w:t xml:space="preserve">Proposal#3: </w:t>
      </w:r>
      <w:r>
        <w:t>Whether the MN can request SN to establish SCG SRB during the SgNB addition procedure can be left to network implementation (RAN3)</w:t>
      </w:r>
      <w:r w:rsidRPr="004072ED">
        <w:t xml:space="preserve"> </w:t>
      </w:r>
      <w:r>
        <w:t>as long as which node initiates the establishment of the SCG SRB is transparent to the UE.</w:t>
      </w:r>
    </w:p>
    <w:p w14:paraId="6AAA7AB6" w14:textId="77777777" w:rsidR="00011565" w:rsidRDefault="00011565" w:rsidP="00011565">
      <w:pPr>
        <w:spacing w:after="0"/>
        <w:rPr>
          <w:rFonts w:cs="Intel Clear"/>
        </w:rPr>
      </w:pPr>
      <w:r>
        <w:rPr>
          <w:rFonts w:cs="Intel Clear"/>
          <w:b/>
        </w:rPr>
        <w:t>Proposal #4</w:t>
      </w:r>
      <w:r w:rsidRPr="00AD2781">
        <w:rPr>
          <w:rFonts w:cs="Intel Clear"/>
          <w:b/>
        </w:rPr>
        <w:t xml:space="preserve">: </w:t>
      </w:r>
      <w:r w:rsidRPr="00943FB8">
        <w:rPr>
          <w:rFonts w:cs="Intel Clear"/>
        </w:rPr>
        <w:t>SCG SRB can be optionally configured as part of the SCG addition (including SCG change) procedu</w:t>
      </w:r>
      <w:r w:rsidRPr="00AD2781">
        <w:rPr>
          <w:rFonts w:cs="Intel Clear"/>
        </w:rPr>
        <w:t>re.</w:t>
      </w:r>
      <w:r>
        <w:rPr>
          <w:rFonts w:cs="Intel Clear"/>
        </w:rPr>
        <w:t xml:space="preserve"> SCG SRB should not be allowed to configure as part of the SCG Modification procedure.</w:t>
      </w:r>
    </w:p>
    <w:p w14:paraId="1166FD5E" w14:textId="77777777" w:rsidR="00011565" w:rsidRDefault="00011565" w:rsidP="00011565">
      <w:pPr>
        <w:spacing w:after="0"/>
      </w:pPr>
      <w:r w:rsidRPr="00940A6D">
        <w:rPr>
          <w:b/>
        </w:rPr>
        <w:t>Proposal#5:</w:t>
      </w:r>
      <w:r>
        <w:t xml:space="preserve"> RRC complete message and measurement reports are mapped to the same SRB as the message initiating the procedure, unless specified otherwise.</w:t>
      </w:r>
    </w:p>
    <w:p w14:paraId="622AC381" w14:textId="77777777" w:rsidR="00011565" w:rsidRDefault="00011565" w:rsidP="00011565">
      <w:pPr>
        <w:spacing w:after="0"/>
      </w:pPr>
      <w:r>
        <w:rPr>
          <w:b/>
        </w:rPr>
        <w:t>Proposal#6</w:t>
      </w:r>
      <w:r w:rsidRPr="009F6719">
        <w:rPr>
          <w:b/>
        </w:rPr>
        <w:t>:</w:t>
      </w:r>
      <w:r w:rsidRPr="009F6719">
        <w:t xml:space="preserve"> </w:t>
      </w:r>
      <w:r>
        <w:t>T</w:t>
      </w:r>
      <w:r w:rsidRPr="00884DA1">
        <w:t xml:space="preserve">he SN RRC message that can be </w:t>
      </w:r>
      <w:r>
        <w:t xml:space="preserve">sent </w:t>
      </w:r>
      <w:r w:rsidRPr="00884DA1">
        <w:t>encapsulated in an MN RRC message or via SCG SRB only contain</w:t>
      </w:r>
      <w:r>
        <w:t>s</w:t>
      </w:r>
      <w:r w:rsidRPr="00884DA1">
        <w:t xml:space="preserve"> SCG configuration</w:t>
      </w:r>
      <w:r>
        <w:t>.</w:t>
      </w:r>
    </w:p>
    <w:p w14:paraId="3671E923" w14:textId="56886684" w:rsidR="000E78C4" w:rsidRDefault="000E78C4" w:rsidP="00D21901">
      <w:pPr>
        <w:spacing w:after="0"/>
      </w:pPr>
      <w:bookmarkStart w:id="0" w:name="_GoBack"/>
      <w:bookmarkEnd w:id="0"/>
    </w:p>
    <w:sectPr w:rsidR="000E78C4">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Intel Clear">
    <w:panose1 w:val="020B0604020203020204"/>
    <w:charset w:val="00"/>
    <w:family w:val="swiss"/>
    <w:pitch w:val="variable"/>
    <w:sig w:usb0="E10006FF" w:usb1="400060FB" w:usb2="00000028"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626484"/>
    <w:multiLevelType w:val="hybridMultilevel"/>
    <w:tmpl w:val="D596661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6643703A"/>
    <w:multiLevelType w:val="hybridMultilevel"/>
    <w:tmpl w:val="695ED45C"/>
    <w:lvl w:ilvl="0" w:tplc="4E0C7BBC">
      <w:start w:val="1"/>
      <w:numFmt w:val="bullet"/>
      <w:lvlText w:val=""/>
      <w:lvlJc w:val="left"/>
      <w:pPr>
        <w:tabs>
          <w:tab w:val="num" w:pos="720"/>
        </w:tabs>
        <w:ind w:left="720" w:hanging="360"/>
      </w:pPr>
      <w:rPr>
        <w:rFonts w:ascii="Wingdings" w:hAnsi="Wingdings" w:hint="default"/>
      </w:rPr>
    </w:lvl>
    <w:lvl w:ilvl="1" w:tplc="452E6B6A">
      <w:start w:val="1"/>
      <w:numFmt w:val="bullet"/>
      <w:lvlText w:val=""/>
      <w:lvlJc w:val="left"/>
      <w:pPr>
        <w:tabs>
          <w:tab w:val="num" w:pos="1440"/>
        </w:tabs>
        <w:ind w:left="1440" w:hanging="360"/>
      </w:pPr>
      <w:rPr>
        <w:rFonts w:ascii="Wingdings" w:hAnsi="Wingdings" w:hint="default"/>
      </w:rPr>
    </w:lvl>
    <w:lvl w:ilvl="2" w:tplc="509ABC78" w:tentative="1">
      <w:start w:val="1"/>
      <w:numFmt w:val="bullet"/>
      <w:lvlText w:val=""/>
      <w:lvlJc w:val="left"/>
      <w:pPr>
        <w:tabs>
          <w:tab w:val="num" w:pos="2160"/>
        </w:tabs>
        <w:ind w:left="2160" w:hanging="360"/>
      </w:pPr>
      <w:rPr>
        <w:rFonts w:ascii="Wingdings" w:hAnsi="Wingdings" w:hint="default"/>
      </w:rPr>
    </w:lvl>
    <w:lvl w:ilvl="3" w:tplc="DA9AD6DC" w:tentative="1">
      <w:start w:val="1"/>
      <w:numFmt w:val="bullet"/>
      <w:lvlText w:val=""/>
      <w:lvlJc w:val="left"/>
      <w:pPr>
        <w:tabs>
          <w:tab w:val="num" w:pos="2880"/>
        </w:tabs>
        <w:ind w:left="2880" w:hanging="360"/>
      </w:pPr>
      <w:rPr>
        <w:rFonts w:ascii="Wingdings" w:hAnsi="Wingdings" w:hint="default"/>
      </w:rPr>
    </w:lvl>
    <w:lvl w:ilvl="4" w:tplc="5816B0C2" w:tentative="1">
      <w:start w:val="1"/>
      <w:numFmt w:val="bullet"/>
      <w:lvlText w:val=""/>
      <w:lvlJc w:val="left"/>
      <w:pPr>
        <w:tabs>
          <w:tab w:val="num" w:pos="3600"/>
        </w:tabs>
        <w:ind w:left="3600" w:hanging="360"/>
      </w:pPr>
      <w:rPr>
        <w:rFonts w:ascii="Wingdings" w:hAnsi="Wingdings" w:hint="default"/>
      </w:rPr>
    </w:lvl>
    <w:lvl w:ilvl="5" w:tplc="A538CEEC" w:tentative="1">
      <w:start w:val="1"/>
      <w:numFmt w:val="bullet"/>
      <w:lvlText w:val=""/>
      <w:lvlJc w:val="left"/>
      <w:pPr>
        <w:tabs>
          <w:tab w:val="num" w:pos="4320"/>
        </w:tabs>
        <w:ind w:left="4320" w:hanging="360"/>
      </w:pPr>
      <w:rPr>
        <w:rFonts w:ascii="Wingdings" w:hAnsi="Wingdings" w:hint="default"/>
      </w:rPr>
    </w:lvl>
    <w:lvl w:ilvl="6" w:tplc="DF208F06" w:tentative="1">
      <w:start w:val="1"/>
      <w:numFmt w:val="bullet"/>
      <w:lvlText w:val=""/>
      <w:lvlJc w:val="left"/>
      <w:pPr>
        <w:tabs>
          <w:tab w:val="num" w:pos="5040"/>
        </w:tabs>
        <w:ind w:left="5040" w:hanging="360"/>
      </w:pPr>
      <w:rPr>
        <w:rFonts w:ascii="Wingdings" w:hAnsi="Wingdings" w:hint="default"/>
      </w:rPr>
    </w:lvl>
    <w:lvl w:ilvl="7" w:tplc="5CB065FA" w:tentative="1">
      <w:start w:val="1"/>
      <w:numFmt w:val="bullet"/>
      <w:lvlText w:val=""/>
      <w:lvlJc w:val="left"/>
      <w:pPr>
        <w:tabs>
          <w:tab w:val="num" w:pos="5760"/>
        </w:tabs>
        <w:ind w:left="5760" w:hanging="360"/>
      </w:pPr>
      <w:rPr>
        <w:rFonts w:ascii="Wingdings" w:hAnsi="Wingdings" w:hint="default"/>
      </w:rPr>
    </w:lvl>
    <w:lvl w:ilvl="8" w:tplc="93DCC27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6EA33BB"/>
    <w:multiLevelType w:val="hybridMultilevel"/>
    <w:tmpl w:val="96D050E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786F7A4E"/>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817"/>
    <w:rsid w:val="000020E4"/>
    <w:rsid w:val="0000259F"/>
    <w:rsid w:val="000052F6"/>
    <w:rsid w:val="00005E74"/>
    <w:rsid w:val="00011565"/>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4C3"/>
    <w:rsid w:val="00043B00"/>
    <w:rsid w:val="00043F8C"/>
    <w:rsid w:val="000445E3"/>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602"/>
    <w:rsid w:val="00072D10"/>
    <w:rsid w:val="00073644"/>
    <w:rsid w:val="00074CF7"/>
    <w:rsid w:val="00075E89"/>
    <w:rsid w:val="000802EF"/>
    <w:rsid w:val="0008139E"/>
    <w:rsid w:val="000821AA"/>
    <w:rsid w:val="00083A16"/>
    <w:rsid w:val="00083E69"/>
    <w:rsid w:val="00083F31"/>
    <w:rsid w:val="0008449B"/>
    <w:rsid w:val="000845D6"/>
    <w:rsid w:val="00084C99"/>
    <w:rsid w:val="0008534C"/>
    <w:rsid w:val="000864BA"/>
    <w:rsid w:val="00086B88"/>
    <w:rsid w:val="00090F4D"/>
    <w:rsid w:val="000937CA"/>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8A6"/>
    <w:rsid w:val="000C4BD4"/>
    <w:rsid w:val="000C523A"/>
    <w:rsid w:val="000C7A7E"/>
    <w:rsid w:val="000D031F"/>
    <w:rsid w:val="000D0609"/>
    <w:rsid w:val="000D2585"/>
    <w:rsid w:val="000D2D90"/>
    <w:rsid w:val="000D33D7"/>
    <w:rsid w:val="000D3A46"/>
    <w:rsid w:val="000D53F8"/>
    <w:rsid w:val="000D54E1"/>
    <w:rsid w:val="000D59A5"/>
    <w:rsid w:val="000D5D4E"/>
    <w:rsid w:val="000E17F5"/>
    <w:rsid w:val="000E1A69"/>
    <w:rsid w:val="000E419D"/>
    <w:rsid w:val="000E558E"/>
    <w:rsid w:val="000E7453"/>
    <w:rsid w:val="000E78C4"/>
    <w:rsid w:val="000E7F74"/>
    <w:rsid w:val="000F0563"/>
    <w:rsid w:val="000F0E19"/>
    <w:rsid w:val="000F0FE5"/>
    <w:rsid w:val="000F16D5"/>
    <w:rsid w:val="000F43AB"/>
    <w:rsid w:val="000F4AD6"/>
    <w:rsid w:val="000F6280"/>
    <w:rsid w:val="000F7296"/>
    <w:rsid w:val="000F7422"/>
    <w:rsid w:val="00101CAC"/>
    <w:rsid w:val="001024BA"/>
    <w:rsid w:val="001032DB"/>
    <w:rsid w:val="001039BE"/>
    <w:rsid w:val="00105979"/>
    <w:rsid w:val="00105EA4"/>
    <w:rsid w:val="00107B60"/>
    <w:rsid w:val="001112EA"/>
    <w:rsid w:val="00112997"/>
    <w:rsid w:val="001132F5"/>
    <w:rsid w:val="0011415B"/>
    <w:rsid w:val="00114899"/>
    <w:rsid w:val="001213C0"/>
    <w:rsid w:val="00122CA0"/>
    <w:rsid w:val="0012303A"/>
    <w:rsid w:val="00124DAB"/>
    <w:rsid w:val="00125AD2"/>
    <w:rsid w:val="001262C5"/>
    <w:rsid w:val="00126930"/>
    <w:rsid w:val="001272E8"/>
    <w:rsid w:val="00127538"/>
    <w:rsid w:val="001301D0"/>
    <w:rsid w:val="0013107C"/>
    <w:rsid w:val="00132EB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D3B"/>
    <w:rsid w:val="00156F72"/>
    <w:rsid w:val="001606A5"/>
    <w:rsid w:val="0016368A"/>
    <w:rsid w:val="00164CF9"/>
    <w:rsid w:val="00171235"/>
    <w:rsid w:val="00172FC5"/>
    <w:rsid w:val="00175A92"/>
    <w:rsid w:val="00175B61"/>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B7F30"/>
    <w:rsid w:val="001C052A"/>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D767F"/>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4D50"/>
    <w:rsid w:val="00205FF3"/>
    <w:rsid w:val="0020695B"/>
    <w:rsid w:val="00206BC5"/>
    <w:rsid w:val="0020793F"/>
    <w:rsid w:val="00207C8F"/>
    <w:rsid w:val="00211121"/>
    <w:rsid w:val="00211898"/>
    <w:rsid w:val="00211BE2"/>
    <w:rsid w:val="0021388D"/>
    <w:rsid w:val="00213A2B"/>
    <w:rsid w:val="00214DA0"/>
    <w:rsid w:val="00215D01"/>
    <w:rsid w:val="002163FB"/>
    <w:rsid w:val="002169F6"/>
    <w:rsid w:val="00222601"/>
    <w:rsid w:val="00222689"/>
    <w:rsid w:val="00223696"/>
    <w:rsid w:val="00225201"/>
    <w:rsid w:val="00225A44"/>
    <w:rsid w:val="0022643E"/>
    <w:rsid w:val="00226BAF"/>
    <w:rsid w:val="002278F4"/>
    <w:rsid w:val="00230AE7"/>
    <w:rsid w:val="0023108D"/>
    <w:rsid w:val="00231BD0"/>
    <w:rsid w:val="00234DCA"/>
    <w:rsid w:val="0023547A"/>
    <w:rsid w:val="00235E14"/>
    <w:rsid w:val="002368E4"/>
    <w:rsid w:val="00237B3C"/>
    <w:rsid w:val="00237E21"/>
    <w:rsid w:val="00240588"/>
    <w:rsid w:val="002409D3"/>
    <w:rsid w:val="00240A3F"/>
    <w:rsid w:val="00241E41"/>
    <w:rsid w:val="00243D3D"/>
    <w:rsid w:val="00244C3A"/>
    <w:rsid w:val="0024553B"/>
    <w:rsid w:val="002471D0"/>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77C15"/>
    <w:rsid w:val="002803B1"/>
    <w:rsid w:val="002845C5"/>
    <w:rsid w:val="00286C9D"/>
    <w:rsid w:val="002872E3"/>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07F2"/>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331B"/>
    <w:rsid w:val="002C42B6"/>
    <w:rsid w:val="002C4698"/>
    <w:rsid w:val="002C58E4"/>
    <w:rsid w:val="002C6412"/>
    <w:rsid w:val="002C6D7B"/>
    <w:rsid w:val="002C6E16"/>
    <w:rsid w:val="002C7010"/>
    <w:rsid w:val="002C7597"/>
    <w:rsid w:val="002D05E1"/>
    <w:rsid w:val="002D086D"/>
    <w:rsid w:val="002D0BEC"/>
    <w:rsid w:val="002D0C22"/>
    <w:rsid w:val="002D0EE4"/>
    <w:rsid w:val="002D14EE"/>
    <w:rsid w:val="002D22A9"/>
    <w:rsid w:val="002D3114"/>
    <w:rsid w:val="002D38AA"/>
    <w:rsid w:val="002D43F3"/>
    <w:rsid w:val="002D5CC5"/>
    <w:rsid w:val="002D6109"/>
    <w:rsid w:val="002D6512"/>
    <w:rsid w:val="002D65FE"/>
    <w:rsid w:val="002D702D"/>
    <w:rsid w:val="002E18D2"/>
    <w:rsid w:val="002E20F8"/>
    <w:rsid w:val="002E35FA"/>
    <w:rsid w:val="002E4701"/>
    <w:rsid w:val="002E4813"/>
    <w:rsid w:val="002E49BA"/>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2BF3"/>
    <w:rsid w:val="00313A61"/>
    <w:rsid w:val="00313C29"/>
    <w:rsid w:val="00314040"/>
    <w:rsid w:val="003149DD"/>
    <w:rsid w:val="00314ACD"/>
    <w:rsid w:val="0031731E"/>
    <w:rsid w:val="003210EC"/>
    <w:rsid w:val="00322459"/>
    <w:rsid w:val="00322821"/>
    <w:rsid w:val="0032559A"/>
    <w:rsid w:val="00325E3A"/>
    <w:rsid w:val="003279EB"/>
    <w:rsid w:val="00330356"/>
    <w:rsid w:val="00331196"/>
    <w:rsid w:val="00331512"/>
    <w:rsid w:val="00331BC9"/>
    <w:rsid w:val="0033360E"/>
    <w:rsid w:val="00334DA4"/>
    <w:rsid w:val="00334E2C"/>
    <w:rsid w:val="003367FF"/>
    <w:rsid w:val="00340D92"/>
    <w:rsid w:val="00342D4D"/>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2E9"/>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B27"/>
    <w:rsid w:val="003B7D88"/>
    <w:rsid w:val="003C1E7A"/>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6853"/>
    <w:rsid w:val="003F042E"/>
    <w:rsid w:val="003F0DF6"/>
    <w:rsid w:val="003F0FBB"/>
    <w:rsid w:val="003F16B8"/>
    <w:rsid w:val="003F2413"/>
    <w:rsid w:val="003F2E40"/>
    <w:rsid w:val="003F41AD"/>
    <w:rsid w:val="003F65B5"/>
    <w:rsid w:val="003F72CE"/>
    <w:rsid w:val="003F7787"/>
    <w:rsid w:val="003F7B2C"/>
    <w:rsid w:val="00400B33"/>
    <w:rsid w:val="00402F1C"/>
    <w:rsid w:val="00403643"/>
    <w:rsid w:val="004072ED"/>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14FB"/>
    <w:rsid w:val="004225D9"/>
    <w:rsid w:val="00423698"/>
    <w:rsid w:val="004269C0"/>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15A6"/>
    <w:rsid w:val="00442061"/>
    <w:rsid w:val="004421B4"/>
    <w:rsid w:val="0044411B"/>
    <w:rsid w:val="004460D1"/>
    <w:rsid w:val="00447B76"/>
    <w:rsid w:val="0045058F"/>
    <w:rsid w:val="004507F8"/>
    <w:rsid w:val="0045094D"/>
    <w:rsid w:val="00451DB8"/>
    <w:rsid w:val="00453272"/>
    <w:rsid w:val="00455F90"/>
    <w:rsid w:val="00457030"/>
    <w:rsid w:val="0045782C"/>
    <w:rsid w:val="00457BE0"/>
    <w:rsid w:val="00460010"/>
    <w:rsid w:val="00461DF6"/>
    <w:rsid w:val="00462A11"/>
    <w:rsid w:val="00463898"/>
    <w:rsid w:val="004640D7"/>
    <w:rsid w:val="00465732"/>
    <w:rsid w:val="00465787"/>
    <w:rsid w:val="00466649"/>
    <w:rsid w:val="004675B1"/>
    <w:rsid w:val="00467B88"/>
    <w:rsid w:val="00470616"/>
    <w:rsid w:val="0047090D"/>
    <w:rsid w:val="00470A03"/>
    <w:rsid w:val="00471658"/>
    <w:rsid w:val="00471A8E"/>
    <w:rsid w:val="00473A5C"/>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6BDD"/>
    <w:rsid w:val="004A7411"/>
    <w:rsid w:val="004B04D0"/>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3EEA"/>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106B"/>
    <w:rsid w:val="00503278"/>
    <w:rsid w:val="00504CA7"/>
    <w:rsid w:val="005058DE"/>
    <w:rsid w:val="00506276"/>
    <w:rsid w:val="00506880"/>
    <w:rsid w:val="00510DCF"/>
    <w:rsid w:val="00511DDC"/>
    <w:rsid w:val="005128E6"/>
    <w:rsid w:val="00512F80"/>
    <w:rsid w:val="00513EE2"/>
    <w:rsid w:val="005145C5"/>
    <w:rsid w:val="00515449"/>
    <w:rsid w:val="005168D4"/>
    <w:rsid w:val="0052217D"/>
    <w:rsid w:val="005235E5"/>
    <w:rsid w:val="005237DA"/>
    <w:rsid w:val="005237F8"/>
    <w:rsid w:val="00523C21"/>
    <w:rsid w:val="00524693"/>
    <w:rsid w:val="0052485D"/>
    <w:rsid w:val="005249DC"/>
    <w:rsid w:val="00524C67"/>
    <w:rsid w:val="00524CA1"/>
    <w:rsid w:val="00524EF7"/>
    <w:rsid w:val="00525BE0"/>
    <w:rsid w:val="005268AC"/>
    <w:rsid w:val="0052766E"/>
    <w:rsid w:val="005305A2"/>
    <w:rsid w:val="00531E45"/>
    <w:rsid w:val="00532DDF"/>
    <w:rsid w:val="0053336E"/>
    <w:rsid w:val="00533AC3"/>
    <w:rsid w:val="00533F2C"/>
    <w:rsid w:val="00534456"/>
    <w:rsid w:val="00535EDF"/>
    <w:rsid w:val="005377DA"/>
    <w:rsid w:val="00540EE4"/>
    <w:rsid w:val="00541413"/>
    <w:rsid w:val="00542002"/>
    <w:rsid w:val="005428F0"/>
    <w:rsid w:val="00543DF5"/>
    <w:rsid w:val="00545022"/>
    <w:rsid w:val="005466CE"/>
    <w:rsid w:val="005505C2"/>
    <w:rsid w:val="00550966"/>
    <w:rsid w:val="005510C8"/>
    <w:rsid w:val="00552335"/>
    <w:rsid w:val="0055388C"/>
    <w:rsid w:val="00553F1E"/>
    <w:rsid w:val="00554481"/>
    <w:rsid w:val="0055481C"/>
    <w:rsid w:val="00554FF5"/>
    <w:rsid w:val="00555AB8"/>
    <w:rsid w:val="00555BB7"/>
    <w:rsid w:val="00556216"/>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87C3B"/>
    <w:rsid w:val="00590137"/>
    <w:rsid w:val="0059014A"/>
    <w:rsid w:val="00590493"/>
    <w:rsid w:val="00590694"/>
    <w:rsid w:val="00590DDE"/>
    <w:rsid w:val="00591969"/>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C6D2A"/>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0D72"/>
    <w:rsid w:val="005F2D8C"/>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0FDD"/>
    <w:rsid w:val="00641ACD"/>
    <w:rsid w:val="0064286D"/>
    <w:rsid w:val="0064450D"/>
    <w:rsid w:val="00645660"/>
    <w:rsid w:val="00646761"/>
    <w:rsid w:val="00646933"/>
    <w:rsid w:val="00647009"/>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583F"/>
    <w:rsid w:val="006870D8"/>
    <w:rsid w:val="006914E8"/>
    <w:rsid w:val="006915F7"/>
    <w:rsid w:val="00693049"/>
    <w:rsid w:val="006937F1"/>
    <w:rsid w:val="00695EBA"/>
    <w:rsid w:val="006960E2"/>
    <w:rsid w:val="00696D53"/>
    <w:rsid w:val="006974A1"/>
    <w:rsid w:val="006A1C3A"/>
    <w:rsid w:val="006A205A"/>
    <w:rsid w:val="006A345F"/>
    <w:rsid w:val="006A3D67"/>
    <w:rsid w:val="006A50E6"/>
    <w:rsid w:val="006A5D85"/>
    <w:rsid w:val="006A65D9"/>
    <w:rsid w:val="006A669D"/>
    <w:rsid w:val="006A6C74"/>
    <w:rsid w:val="006A774D"/>
    <w:rsid w:val="006B01F0"/>
    <w:rsid w:val="006B049E"/>
    <w:rsid w:val="006B117D"/>
    <w:rsid w:val="006B1F1E"/>
    <w:rsid w:val="006B2CB3"/>
    <w:rsid w:val="006B36CB"/>
    <w:rsid w:val="006B3A6A"/>
    <w:rsid w:val="006B44B3"/>
    <w:rsid w:val="006B6E3D"/>
    <w:rsid w:val="006C1303"/>
    <w:rsid w:val="006C1EFC"/>
    <w:rsid w:val="006C202B"/>
    <w:rsid w:val="006C2DCC"/>
    <w:rsid w:val="006C2F52"/>
    <w:rsid w:val="006C32CA"/>
    <w:rsid w:val="006C390F"/>
    <w:rsid w:val="006C41F6"/>
    <w:rsid w:val="006C4443"/>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3FE0"/>
    <w:rsid w:val="00724710"/>
    <w:rsid w:val="00725B35"/>
    <w:rsid w:val="007268B0"/>
    <w:rsid w:val="00727A3A"/>
    <w:rsid w:val="00730368"/>
    <w:rsid w:val="007304C1"/>
    <w:rsid w:val="00734059"/>
    <w:rsid w:val="0073406F"/>
    <w:rsid w:val="00734EF7"/>
    <w:rsid w:val="00735037"/>
    <w:rsid w:val="00736E12"/>
    <w:rsid w:val="00737721"/>
    <w:rsid w:val="00740386"/>
    <w:rsid w:val="00741BB0"/>
    <w:rsid w:val="0074214A"/>
    <w:rsid w:val="00742178"/>
    <w:rsid w:val="00742FB0"/>
    <w:rsid w:val="00743902"/>
    <w:rsid w:val="00744542"/>
    <w:rsid w:val="00745715"/>
    <w:rsid w:val="007461E4"/>
    <w:rsid w:val="00746C36"/>
    <w:rsid w:val="007479A4"/>
    <w:rsid w:val="00747C4E"/>
    <w:rsid w:val="00752304"/>
    <w:rsid w:val="00753796"/>
    <w:rsid w:val="0075404D"/>
    <w:rsid w:val="00754649"/>
    <w:rsid w:val="00754A27"/>
    <w:rsid w:val="00754E33"/>
    <w:rsid w:val="00756D16"/>
    <w:rsid w:val="007607D1"/>
    <w:rsid w:val="007628BB"/>
    <w:rsid w:val="007633F3"/>
    <w:rsid w:val="00764628"/>
    <w:rsid w:val="00764899"/>
    <w:rsid w:val="00764965"/>
    <w:rsid w:val="00764DAF"/>
    <w:rsid w:val="00764F1B"/>
    <w:rsid w:val="007671CA"/>
    <w:rsid w:val="007678A9"/>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70D"/>
    <w:rsid w:val="007D5C2A"/>
    <w:rsid w:val="007D600D"/>
    <w:rsid w:val="007E06C4"/>
    <w:rsid w:val="007E0832"/>
    <w:rsid w:val="007E1DEA"/>
    <w:rsid w:val="007E242F"/>
    <w:rsid w:val="007E2494"/>
    <w:rsid w:val="007E5B4F"/>
    <w:rsid w:val="007E5D85"/>
    <w:rsid w:val="007E6837"/>
    <w:rsid w:val="007E68BA"/>
    <w:rsid w:val="007E7965"/>
    <w:rsid w:val="007E79B1"/>
    <w:rsid w:val="007F27C8"/>
    <w:rsid w:val="007F2FC7"/>
    <w:rsid w:val="007F3479"/>
    <w:rsid w:val="007F3EA4"/>
    <w:rsid w:val="007F4930"/>
    <w:rsid w:val="007F6468"/>
    <w:rsid w:val="007F680F"/>
    <w:rsid w:val="0080122D"/>
    <w:rsid w:val="00801F3B"/>
    <w:rsid w:val="008020A3"/>
    <w:rsid w:val="00802A69"/>
    <w:rsid w:val="008036F7"/>
    <w:rsid w:val="008040DB"/>
    <w:rsid w:val="008046E7"/>
    <w:rsid w:val="00804D98"/>
    <w:rsid w:val="008055EC"/>
    <w:rsid w:val="00806DB3"/>
    <w:rsid w:val="00807AC3"/>
    <w:rsid w:val="00807BFD"/>
    <w:rsid w:val="00810E6D"/>
    <w:rsid w:val="00811ECD"/>
    <w:rsid w:val="00812E5D"/>
    <w:rsid w:val="00813C21"/>
    <w:rsid w:val="0081513B"/>
    <w:rsid w:val="00817115"/>
    <w:rsid w:val="00817664"/>
    <w:rsid w:val="00817AC9"/>
    <w:rsid w:val="0082043F"/>
    <w:rsid w:val="008224BD"/>
    <w:rsid w:val="00822E62"/>
    <w:rsid w:val="00823801"/>
    <w:rsid w:val="008239B7"/>
    <w:rsid w:val="008239E6"/>
    <w:rsid w:val="008272B6"/>
    <w:rsid w:val="008307E2"/>
    <w:rsid w:val="008333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5F74"/>
    <w:rsid w:val="00866011"/>
    <w:rsid w:val="00867B6F"/>
    <w:rsid w:val="00871A8C"/>
    <w:rsid w:val="00871A9C"/>
    <w:rsid w:val="00872C85"/>
    <w:rsid w:val="00873BC8"/>
    <w:rsid w:val="00873E83"/>
    <w:rsid w:val="008754FE"/>
    <w:rsid w:val="008756F0"/>
    <w:rsid w:val="008757F3"/>
    <w:rsid w:val="00875C7A"/>
    <w:rsid w:val="00877885"/>
    <w:rsid w:val="00884405"/>
    <w:rsid w:val="00884DA1"/>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167F"/>
    <w:rsid w:val="008B26D9"/>
    <w:rsid w:val="008B28C5"/>
    <w:rsid w:val="008B5C30"/>
    <w:rsid w:val="008C0859"/>
    <w:rsid w:val="008C0A8E"/>
    <w:rsid w:val="008C0B59"/>
    <w:rsid w:val="008C0D29"/>
    <w:rsid w:val="008C0EAC"/>
    <w:rsid w:val="008C19C3"/>
    <w:rsid w:val="008C2103"/>
    <w:rsid w:val="008C2C50"/>
    <w:rsid w:val="008C2CE9"/>
    <w:rsid w:val="008C38C0"/>
    <w:rsid w:val="008C65DE"/>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4E4D"/>
    <w:rsid w:val="00906EE4"/>
    <w:rsid w:val="0091135C"/>
    <w:rsid w:val="0091149E"/>
    <w:rsid w:val="009119D1"/>
    <w:rsid w:val="00912AC5"/>
    <w:rsid w:val="009138CD"/>
    <w:rsid w:val="00913A62"/>
    <w:rsid w:val="00915834"/>
    <w:rsid w:val="00916944"/>
    <w:rsid w:val="00920769"/>
    <w:rsid w:val="00921D6A"/>
    <w:rsid w:val="00921FB8"/>
    <w:rsid w:val="009240B0"/>
    <w:rsid w:val="00924524"/>
    <w:rsid w:val="009245F2"/>
    <w:rsid w:val="00925023"/>
    <w:rsid w:val="00926478"/>
    <w:rsid w:val="009272FA"/>
    <w:rsid w:val="009276ED"/>
    <w:rsid w:val="00927D31"/>
    <w:rsid w:val="00927D6F"/>
    <w:rsid w:val="009303CE"/>
    <w:rsid w:val="0093266C"/>
    <w:rsid w:val="00932808"/>
    <w:rsid w:val="00932B19"/>
    <w:rsid w:val="00933D4E"/>
    <w:rsid w:val="00935C54"/>
    <w:rsid w:val="00936B22"/>
    <w:rsid w:val="009409C0"/>
    <w:rsid w:val="00940A6D"/>
    <w:rsid w:val="00940F8C"/>
    <w:rsid w:val="009416DA"/>
    <w:rsid w:val="009435D7"/>
    <w:rsid w:val="00943A7C"/>
    <w:rsid w:val="00943FB8"/>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567AA"/>
    <w:rsid w:val="00961A01"/>
    <w:rsid w:val="00962766"/>
    <w:rsid w:val="00962EFB"/>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781"/>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4AF0"/>
    <w:rsid w:val="009970A4"/>
    <w:rsid w:val="009971F1"/>
    <w:rsid w:val="00997437"/>
    <w:rsid w:val="009A0820"/>
    <w:rsid w:val="009A13BA"/>
    <w:rsid w:val="009A13C8"/>
    <w:rsid w:val="009A1911"/>
    <w:rsid w:val="009A268F"/>
    <w:rsid w:val="009A38C4"/>
    <w:rsid w:val="009A5952"/>
    <w:rsid w:val="009A5D42"/>
    <w:rsid w:val="009A60A1"/>
    <w:rsid w:val="009A6CF9"/>
    <w:rsid w:val="009A76F2"/>
    <w:rsid w:val="009B082A"/>
    <w:rsid w:val="009B130A"/>
    <w:rsid w:val="009B314C"/>
    <w:rsid w:val="009B3495"/>
    <w:rsid w:val="009B34A1"/>
    <w:rsid w:val="009B3882"/>
    <w:rsid w:val="009B4024"/>
    <w:rsid w:val="009B41CA"/>
    <w:rsid w:val="009B4FE3"/>
    <w:rsid w:val="009B68C4"/>
    <w:rsid w:val="009C30C1"/>
    <w:rsid w:val="009C376B"/>
    <w:rsid w:val="009C5833"/>
    <w:rsid w:val="009C595D"/>
    <w:rsid w:val="009C7D34"/>
    <w:rsid w:val="009D067A"/>
    <w:rsid w:val="009D1071"/>
    <w:rsid w:val="009D2422"/>
    <w:rsid w:val="009D383F"/>
    <w:rsid w:val="009D412A"/>
    <w:rsid w:val="009D49F1"/>
    <w:rsid w:val="009D6BAC"/>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90E"/>
    <w:rsid w:val="009F2E5C"/>
    <w:rsid w:val="009F4605"/>
    <w:rsid w:val="009F4A57"/>
    <w:rsid w:val="009F521E"/>
    <w:rsid w:val="009F5363"/>
    <w:rsid w:val="009F5ABC"/>
    <w:rsid w:val="009F5AF9"/>
    <w:rsid w:val="009F6324"/>
    <w:rsid w:val="009F663E"/>
    <w:rsid w:val="009F6719"/>
    <w:rsid w:val="009F7CBD"/>
    <w:rsid w:val="00A02717"/>
    <w:rsid w:val="00A02FAC"/>
    <w:rsid w:val="00A051D0"/>
    <w:rsid w:val="00A052AC"/>
    <w:rsid w:val="00A06178"/>
    <w:rsid w:val="00A0719C"/>
    <w:rsid w:val="00A07DF6"/>
    <w:rsid w:val="00A1048A"/>
    <w:rsid w:val="00A10685"/>
    <w:rsid w:val="00A12D64"/>
    <w:rsid w:val="00A131E6"/>
    <w:rsid w:val="00A1398A"/>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2EC"/>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817"/>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781"/>
    <w:rsid w:val="00AD2D25"/>
    <w:rsid w:val="00AD35CB"/>
    <w:rsid w:val="00AD37FF"/>
    <w:rsid w:val="00AD4414"/>
    <w:rsid w:val="00AD4A8A"/>
    <w:rsid w:val="00AD4B1B"/>
    <w:rsid w:val="00AD4B97"/>
    <w:rsid w:val="00AD4DC4"/>
    <w:rsid w:val="00AD52E5"/>
    <w:rsid w:val="00AD60A3"/>
    <w:rsid w:val="00AD6770"/>
    <w:rsid w:val="00AD67DC"/>
    <w:rsid w:val="00AD7002"/>
    <w:rsid w:val="00AD7CAB"/>
    <w:rsid w:val="00AE1F10"/>
    <w:rsid w:val="00AE34A9"/>
    <w:rsid w:val="00AE3B17"/>
    <w:rsid w:val="00AE4CCD"/>
    <w:rsid w:val="00AE51F8"/>
    <w:rsid w:val="00AE63CA"/>
    <w:rsid w:val="00AE7045"/>
    <w:rsid w:val="00AE773C"/>
    <w:rsid w:val="00AE7DC8"/>
    <w:rsid w:val="00AF13D2"/>
    <w:rsid w:val="00AF15D8"/>
    <w:rsid w:val="00AF1B10"/>
    <w:rsid w:val="00AF1BFD"/>
    <w:rsid w:val="00AF218A"/>
    <w:rsid w:val="00AF4011"/>
    <w:rsid w:val="00AF4A7B"/>
    <w:rsid w:val="00AF69FD"/>
    <w:rsid w:val="00AF6D55"/>
    <w:rsid w:val="00AF75FD"/>
    <w:rsid w:val="00B015F3"/>
    <w:rsid w:val="00B01B58"/>
    <w:rsid w:val="00B02280"/>
    <w:rsid w:val="00B03F42"/>
    <w:rsid w:val="00B05F0A"/>
    <w:rsid w:val="00B06DD1"/>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AE2"/>
    <w:rsid w:val="00B46B65"/>
    <w:rsid w:val="00B46FA2"/>
    <w:rsid w:val="00B47267"/>
    <w:rsid w:val="00B47EED"/>
    <w:rsid w:val="00B50531"/>
    <w:rsid w:val="00B50CED"/>
    <w:rsid w:val="00B510DC"/>
    <w:rsid w:val="00B5110C"/>
    <w:rsid w:val="00B52CA7"/>
    <w:rsid w:val="00B536A6"/>
    <w:rsid w:val="00B55B0E"/>
    <w:rsid w:val="00B56F87"/>
    <w:rsid w:val="00B6046E"/>
    <w:rsid w:val="00B61D0C"/>
    <w:rsid w:val="00B62314"/>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132"/>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3D1C"/>
    <w:rsid w:val="00BC43FC"/>
    <w:rsid w:val="00BC443F"/>
    <w:rsid w:val="00BC4BDB"/>
    <w:rsid w:val="00BC4C22"/>
    <w:rsid w:val="00BC514E"/>
    <w:rsid w:val="00BC6AC3"/>
    <w:rsid w:val="00BD2D48"/>
    <w:rsid w:val="00BD309C"/>
    <w:rsid w:val="00BD4B47"/>
    <w:rsid w:val="00BD51C0"/>
    <w:rsid w:val="00BD62ED"/>
    <w:rsid w:val="00BD7BEB"/>
    <w:rsid w:val="00BE1069"/>
    <w:rsid w:val="00BE1777"/>
    <w:rsid w:val="00BE21DD"/>
    <w:rsid w:val="00BE2D2B"/>
    <w:rsid w:val="00BE2E9C"/>
    <w:rsid w:val="00BE2F8F"/>
    <w:rsid w:val="00BE3013"/>
    <w:rsid w:val="00BE3154"/>
    <w:rsid w:val="00BE5E1E"/>
    <w:rsid w:val="00BE637D"/>
    <w:rsid w:val="00BE67B4"/>
    <w:rsid w:val="00BE6886"/>
    <w:rsid w:val="00BE6B49"/>
    <w:rsid w:val="00BE7965"/>
    <w:rsid w:val="00BE7EA9"/>
    <w:rsid w:val="00BF03D4"/>
    <w:rsid w:val="00BF0B64"/>
    <w:rsid w:val="00BF11F0"/>
    <w:rsid w:val="00BF18FD"/>
    <w:rsid w:val="00BF24E5"/>
    <w:rsid w:val="00BF29BF"/>
    <w:rsid w:val="00BF32B5"/>
    <w:rsid w:val="00BF35D4"/>
    <w:rsid w:val="00BF387D"/>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7BE"/>
    <w:rsid w:val="00C24DB7"/>
    <w:rsid w:val="00C304A1"/>
    <w:rsid w:val="00C3105F"/>
    <w:rsid w:val="00C31317"/>
    <w:rsid w:val="00C3183F"/>
    <w:rsid w:val="00C31CCD"/>
    <w:rsid w:val="00C335DF"/>
    <w:rsid w:val="00C33CCE"/>
    <w:rsid w:val="00C35871"/>
    <w:rsid w:val="00C3692E"/>
    <w:rsid w:val="00C36C68"/>
    <w:rsid w:val="00C373BE"/>
    <w:rsid w:val="00C374C4"/>
    <w:rsid w:val="00C434F0"/>
    <w:rsid w:val="00C43886"/>
    <w:rsid w:val="00C4415D"/>
    <w:rsid w:val="00C44302"/>
    <w:rsid w:val="00C44A03"/>
    <w:rsid w:val="00C45DEE"/>
    <w:rsid w:val="00C46607"/>
    <w:rsid w:val="00C47460"/>
    <w:rsid w:val="00C474ED"/>
    <w:rsid w:val="00C4787B"/>
    <w:rsid w:val="00C4788C"/>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1CAE"/>
    <w:rsid w:val="00CB3137"/>
    <w:rsid w:val="00CB3AB1"/>
    <w:rsid w:val="00CB3B63"/>
    <w:rsid w:val="00CB48D7"/>
    <w:rsid w:val="00CB57F5"/>
    <w:rsid w:val="00CC03CC"/>
    <w:rsid w:val="00CC0A60"/>
    <w:rsid w:val="00CC0ABD"/>
    <w:rsid w:val="00CC2DB9"/>
    <w:rsid w:val="00CC5281"/>
    <w:rsid w:val="00CD004F"/>
    <w:rsid w:val="00CD0177"/>
    <w:rsid w:val="00CD5AF3"/>
    <w:rsid w:val="00CD67D7"/>
    <w:rsid w:val="00CE0604"/>
    <w:rsid w:val="00CE0FEB"/>
    <w:rsid w:val="00CE1841"/>
    <w:rsid w:val="00CE1870"/>
    <w:rsid w:val="00CE1983"/>
    <w:rsid w:val="00CE3843"/>
    <w:rsid w:val="00CE580D"/>
    <w:rsid w:val="00CE5C88"/>
    <w:rsid w:val="00CE7003"/>
    <w:rsid w:val="00CE7F87"/>
    <w:rsid w:val="00CF0BEB"/>
    <w:rsid w:val="00CF30CF"/>
    <w:rsid w:val="00CF58FC"/>
    <w:rsid w:val="00CF73C4"/>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1901"/>
    <w:rsid w:val="00D23465"/>
    <w:rsid w:val="00D23AC5"/>
    <w:rsid w:val="00D241CA"/>
    <w:rsid w:val="00D24F46"/>
    <w:rsid w:val="00D25986"/>
    <w:rsid w:val="00D268EC"/>
    <w:rsid w:val="00D30B0C"/>
    <w:rsid w:val="00D3286F"/>
    <w:rsid w:val="00D35E0D"/>
    <w:rsid w:val="00D35F67"/>
    <w:rsid w:val="00D360B4"/>
    <w:rsid w:val="00D3665F"/>
    <w:rsid w:val="00D36A9B"/>
    <w:rsid w:val="00D41305"/>
    <w:rsid w:val="00D4243B"/>
    <w:rsid w:val="00D42BB9"/>
    <w:rsid w:val="00D440C8"/>
    <w:rsid w:val="00D44441"/>
    <w:rsid w:val="00D44C7A"/>
    <w:rsid w:val="00D469A0"/>
    <w:rsid w:val="00D46AB8"/>
    <w:rsid w:val="00D46B2D"/>
    <w:rsid w:val="00D5259B"/>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5E3D"/>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1E"/>
    <w:rsid w:val="00DE566B"/>
    <w:rsid w:val="00DE61B2"/>
    <w:rsid w:val="00DE632C"/>
    <w:rsid w:val="00DE63C4"/>
    <w:rsid w:val="00DF067C"/>
    <w:rsid w:val="00DF0F81"/>
    <w:rsid w:val="00DF2535"/>
    <w:rsid w:val="00DF2636"/>
    <w:rsid w:val="00DF3031"/>
    <w:rsid w:val="00DF5EB4"/>
    <w:rsid w:val="00DF65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1DA4"/>
    <w:rsid w:val="00E11DEE"/>
    <w:rsid w:val="00E12D12"/>
    <w:rsid w:val="00E151D6"/>
    <w:rsid w:val="00E167CE"/>
    <w:rsid w:val="00E16FDD"/>
    <w:rsid w:val="00E21E40"/>
    <w:rsid w:val="00E24D86"/>
    <w:rsid w:val="00E2574C"/>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50C"/>
    <w:rsid w:val="00E52E40"/>
    <w:rsid w:val="00E5408F"/>
    <w:rsid w:val="00E54627"/>
    <w:rsid w:val="00E54D20"/>
    <w:rsid w:val="00E56A48"/>
    <w:rsid w:val="00E600AE"/>
    <w:rsid w:val="00E6026E"/>
    <w:rsid w:val="00E60387"/>
    <w:rsid w:val="00E607D7"/>
    <w:rsid w:val="00E61893"/>
    <w:rsid w:val="00E62CD5"/>
    <w:rsid w:val="00E63322"/>
    <w:rsid w:val="00E6388B"/>
    <w:rsid w:val="00E63A8C"/>
    <w:rsid w:val="00E65206"/>
    <w:rsid w:val="00E65212"/>
    <w:rsid w:val="00E654CD"/>
    <w:rsid w:val="00E6617A"/>
    <w:rsid w:val="00E66D8B"/>
    <w:rsid w:val="00E67E6F"/>
    <w:rsid w:val="00E70923"/>
    <w:rsid w:val="00E73F62"/>
    <w:rsid w:val="00E74072"/>
    <w:rsid w:val="00E7615D"/>
    <w:rsid w:val="00E7778E"/>
    <w:rsid w:val="00E779BA"/>
    <w:rsid w:val="00E80723"/>
    <w:rsid w:val="00E8125F"/>
    <w:rsid w:val="00E8178A"/>
    <w:rsid w:val="00E81BC8"/>
    <w:rsid w:val="00E8323C"/>
    <w:rsid w:val="00E837B1"/>
    <w:rsid w:val="00E8467A"/>
    <w:rsid w:val="00E8497F"/>
    <w:rsid w:val="00E906A0"/>
    <w:rsid w:val="00E90C69"/>
    <w:rsid w:val="00E91C09"/>
    <w:rsid w:val="00E9221B"/>
    <w:rsid w:val="00E92EEE"/>
    <w:rsid w:val="00E949F0"/>
    <w:rsid w:val="00E967B1"/>
    <w:rsid w:val="00E96D2D"/>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5857"/>
    <w:rsid w:val="00EC60D9"/>
    <w:rsid w:val="00EC730F"/>
    <w:rsid w:val="00EC7953"/>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E7F86"/>
    <w:rsid w:val="00EF0018"/>
    <w:rsid w:val="00EF0A72"/>
    <w:rsid w:val="00EF2AA6"/>
    <w:rsid w:val="00EF2D25"/>
    <w:rsid w:val="00EF3EB2"/>
    <w:rsid w:val="00EF49C7"/>
    <w:rsid w:val="00EF6B2A"/>
    <w:rsid w:val="00EF7F3A"/>
    <w:rsid w:val="00F00187"/>
    <w:rsid w:val="00F00311"/>
    <w:rsid w:val="00F00F77"/>
    <w:rsid w:val="00F03696"/>
    <w:rsid w:val="00F03FA4"/>
    <w:rsid w:val="00F048C4"/>
    <w:rsid w:val="00F049D9"/>
    <w:rsid w:val="00F06BCA"/>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206A"/>
    <w:rsid w:val="00F3300B"/>
    <w:rsid w:val="00F335BB"/>
    <w:rsid w:val="00F33B36"/>
    <w:rsid w:val="00F33C88"/>
    <w:rsid w:val="00F34185"/>
    <w:rsid w:val="00F3563D"/>
    <w:rsid w:val="00F35B3C"/>
    <w:rsid w:val="00F366F1"/>
    <w:rsid w:val="00F36AE0"/>
    <w:rsid w:val="00F37260"/>
    <w:rsid w:val="00F41F1D"/>
    <w:rsid w:val="00F433FB"/>
    <w:rsid w:val="00F4411C"/>
    <w:rsid w:val="00F455B3"/>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527"/>
    <w:rsid w:val="00FA3819"/>
    <w:rsid w:val="00FA436A"/>
    <w:rsid w:val="00FA45B8"/>
    <w:rsid w:val="00FA5B4B"/>
    <w:rsid w:val="00FA5E05"/>
    <w:rsid w:val="00FA6478"/>
    <w:rsid w:val="00FA7F40"/>
    <w:rsid w:val="00FB03C8"/>
    <w:rsid w:val="00FB253C"/>
    <w:rsid w:val="00FB449A"/>
    <w:rsid w:val="00FB5865"/>
    <w:rsid w:val="00FC0689"/>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36F"/>
    <w:rsid w:val="00FE3E3F"/>
    <w:rsid w:val="00FE4777"/>
    <w:rsid w:val="00FE680F"/>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1E874"/>
  <w15:chartTrackingRefBased/>
  <w15:docId w15:val="{83044979-28D3-4865-8ECF-B1AF47C49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91969"/>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91969"/>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91969"/>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591969"/>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591969"/>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591969"/>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591969"/>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59196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196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rsid w:val="00AA2817"/>
    <w:pPr>
      <w:spacing w:before="60" w:after="0" w:line="240" w:lineRule="auto"/>
      <w:ind w:left="1259" w:hanging="1259"/>
    </w:pPr>
    <w:rPr>
      <w:rFonts w:ascii="Arial" w:eastAsia="MS Mincho" w:hAnsi="Arial" w:cs="Times New Roman"/>
      <w:noProof/>
      <w:sz w:val="20"/>
      <w:szCs w:val="24"/>
      <w:lang w:eastAsia="en-GB"/>
    </w:rPr>
  </w:style>
  <w:style w:type="paragraph" w:customStyle="1" w:styleId="Doc-text2">
    <w:name w:val="Doc-text2"/>
    <w:basedOn w:val="Normal"/>
    <w:link w:val="Doc-text2Char"/>
    <w:qFormat/>
    <w:rsid w:val="00AA2817"/>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AA2817"/>
    <w:rPr>
      <w:rFonts w:ascii="Arial" w:eastAsia="MS Mincho" w:hAnsi="Arial" w:cs="Times New Roman"/>
      <w:sz w:val="20"/>
      <w:szCs w:val="24"/>
      <w:lang w:eastAsia="en-GB"/>
    </w:rPr>
  </w:style>
  <w:style w:type="character" w:customStyle="1" w:styleId="Doc-titleChar">
    <w:name w:val="Doc-title Char"/>
    <w:link w:val="Doc-title"/>
    <w:rsid w:val="00AA2817"/>
    <w:rPr>
      <w:rFonts w:ascii="Arial" w:eastAsia="MS Mincho" w:hAnsi="Arial" w:cs="Times New Roman"/>
      <w:noProof/>
      <w:sz w:val="20"/>
      <w:szCs w:val="24"/>
      <w:lang w:eastAsia="en-GB"/>
    </w:rPr>
  </w:style>
  <w:style w:type="character" w:styleId="Hyperlink">
    <w:name w:val="Hyperlink"/>
    <w:uiPriority w:val="99"/>
    <w:rsid w:val="00AA2817"/>
    <w:rPr>
      <w:color w:val="0000FF"/>
      <w:u w:val="single"/>
    </w:rPr>
  </w:style>
  <w:style w:type="paragraph" w:styleId="Header">
    <w:name w:val="header"/>
    <w:basedOn w:val="Normal"/>
    <w:link w:val="HeaderChar"/>
    <w:uiPriority w:val="99"/>
    <w:rsid w:val="00591969"/>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rsid w:val="00591969"/>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59196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59196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59196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591969"/>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591969"/>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59196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59196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59196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91969"/>
    <w:rPr>
      <w:rFonts w:asciiTheme="majorHAnsi" w:eastAsiaTheme="majorEastAsia" w:hAnsiTheme="majorHAnsi" w:cstheme="majorBidi"/>
      <w:i/>
      <w:iCs/>
      <w:color w:val="272727" w:themeColor="text1" w:themeTint="D8"/>
      <w:sz w:val="21"/>
      <w:szCs w:val="21"/>
    </w:rPr>
  </w:style>
  <w:style w:type="paragraph" w:styleId="TOC5">
    <w:name w:val="toc 5"/>
    <w:basedOn w:val="TOC4"/>
    <w:uiPriority w:val="39"/>
    <w:rsid w:val="00C3105F"/>
    <w:pPr>
      <w:keepLines/>
      <w:widowControl w:val="0"/>
      <w:tabs>
        <w:tab w:val="right" w:leader="dot" w:pos="9639"/>
      </w:tabs>
      <w:spacing w:after="0" w:line="240" w:lineRule="auto"/>
      <w:ind w:left="1701" w:right="425" w:hanging="1701"/>
    </w:pPr>
    <w:rPr>
      <w:rFonts w:ascii="Times New Roman" w:eastAsia="MS Mincho" w:hAnsi="Times New Roman" w:cs="Times New Roman"/>
      <w:noProof/>
      <w:sz w:val="20"/>
      <w:szCs w:val="20"/>
    </w:rPr>
  </w:style>
  <w:style w:type="paragraph" w:styleId="TOC6">
    <w:name w:val="toc 6"/>
    <w:basedOn w:val="TOC5"/>
    <w:next w:val="Normal"/>
    <w:uiPriority w:val="39"/>
    <w:rsid w:val="00C3105F"/>
    <w:pPr>
      <w:ind w:left="1985" w:hanging="1985"/>
    </w:pPr>
  </w:style>
  <w:style w:type="paragraph" w:styleId="TOC4">
    <w:name w:val="toc 4"/>
    <w:basedOn w:val="Normal"/>
    <w:next w:val="Normal"/>
    <w:autoRedefine/>
    <w:uiPriority w:val="39"/>
    <w:semiHidden/>
    <w:unhideWhenUsed/>
    <w:rsid w:val="00C3105F"/>
    <w:pPr>
      <w:spacing w:after="100"/>
      <w:ind w:left="660"/>
    </w:pPr>
  </w:style>
  <w:style w:type="table" w:styleId="TableGrid">
    <w:name w:val="Table Grid"/>
    <w:basedOn w:val="TableNormal"/>
    <w:uiPriority w:val="39"/>
    <w:rsid w:val="00C310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F387D"/>
    <w:pPr>
      <w:ind w:left="720"/>
      <w:contextualSpacing/>
    </w:pPr>
  </w:style>
  <w:style w:type="paragraph" w:styleId="BalloonText">
    <w:name w:val="Balloon Text"/>
    <w:basedOn w:val="Normal"/>
    <w:link w:val="BalloonTextChar"/>
    <w:uiPriority w:val="99"/>
    <w:semiHidden/>
    <w:unhideWhenUsed/>
    <w:rsid w:val="00BE5E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5E1E"/>
    <w:rPr>
      <w:rFonts w:ascii="Segoe UI" w:hAnsi="Segoe UI" w:cs="Segoe UI"/>
      <w:sz w:val="18"/>
      <w:szCs w:val="18"/>
    </w:rPr>
  </w:style>
  <w:style w:type="character" w:styleId="CommentReference">
    <w:name w:val="annotation reference"/>
    <w:basedOn w:val="DefaultParagraphFont"/>
    <w:uiPriority w:val="99"/>
    <w:semiHidden/>
    <w:unhideWhenUsed/>
    <w:rsid w:val="00BE5E1E"/>
    <w:rPr>
      <w:sz w:val="16"/>
      <w:szCs w:val="16"/>
    </w:rPr>
  </w:style>
  <w:style w:type="paragraph" w:styleId="CommentText">
    <w:name w:val="annotation text"/>
    <w:basedOn w:val="Normal"/>
    <w:link w:val="CommentTextChar"/>
    <w:uiPriority w:val="99"/>
    <w:semiHidden/>
    <w:unhideWhenUsed/>
    <w:rsid w:val="00BE5E1E"/>
    <w:pPr>
      <w:spacing w:line="240" w:lineRule="auto"/>
    </w:pPr>
    <w:rPr>
      <w:sz w:val="20"/>
      <w:szCs w:val="20"/>
    </w:rPr>
  </w:style>
  <w:style w:type="character" w:customStyle="1" w:styleId="CommentTextChar">
    <w:name w:val="Comment Text Char"/>
    <w:basedOn w:val="DefaultParagraphFont"/>
    <w:link w:val="CommentText"/>
    <w:uiPriority w:val="99"/>
    <w:semiHidden/>
    <w:rsid w:val="00BE5E1E"/>
    <w:rPr>
      <w:sz w:val="20"/>
      <w:szCs w:val="20"/>
    </w:rPr>
  </w:style>
  <w:style w:type="paragraph" w:styleId="CommentSubject">
    <w:name w:val="annotation subject"/>
    <w:basedOn w:val="CommentText"/>
    <w:next w:val="CommentText"/>
    <w:link w:val="CommentSubjectChar"/>
    <w:uiPriority w:val="99"/>
    <w:semiHidden/>
    <w:unhideWhenUsed/>
    <w:rsid w:val="00BE5E1E"/>
    <w:rPr>
      <w:b/>
      <w:bCs/>
    </w:rPr>
  </w:style>
  <w:style w:type="character" w:customStyle="1" w:styleId="CommentSubjectChar">
    <w:name w:val="Comment Subject Char"/>
    <w:basedOn w:val="CommentTextChar"/>
    <w:link w:val="CommentSubject"/>
    <w:uiPriority w:val="99"/>
    <w:semiHidden/>
    <w:rsid w:val="00BE5E1E"/>
    <w:rPr>
      <w:b/>
      <w:bCs/>
      <w:sz w:val="20"/>
      <w:szCs w:val="20"/>
    </w:rPr>
  </w:style>
  <w:style w:type="paragraph" w:styleId="Revision">
    <w:name w:val="Revision"/>
    <w:hidden/>
    <w:uiPriority w:val="99"/>
    <w:semiHidden/>
    <w:rsid w:val="00EC585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3128227">
      <w:bodyDiv w:val="1"/>
      <w:marLeft w:val="0"/>
      <w:marRight w:val="0"/>
      <w:marTop w:val="0"/>
      <w:marBottom w:val="0"/>
      <w:divBdr>
        <w:top w:val="none" w:sz="0" w:space="0" w:color="auto"/>
        <w:left w:val="none" w:sz="0" w:space="0" w:color="auto"/>
        <w:bottom w:val="none" w:sz="0" w:space="0" w:color="auto"/>
        <w:right w:val="none" w:sz="0" w:space="0" w:color="auto"/>
      </w:divBdr>
      <w:divsChild>
        <w:div w:id="57091257">
          <w:marLeft w:val="360"/>
          <w:marRight w:val="0"/>
          <w:marTop w:val="240"/>
          <w:marBottom w:val="0"/>
          <w:divBdr>
            <w:top w:val="none" w:sz="0" w:space="0" w:color="auto"/>
            <w:left w:val="none" w:sz="0" w:space="0" w:color="auto"/>
            <w:bottom w:val="none" w:sz="0" w:space="0" w:color="auto"/>
            <w:right w:val="none" w:sz="0" w:space="0" w:color="auto"/>
          </w:divBdr>
        </w:div>
        <w:div w:id="222721617">
          <w:marLeft w:val="360"/>
          <w:marRight w:val="0"/>
          <w:marTop w:val="240"/>
          <w:marBottom w:val="0"/>
          <w:divBdr>
            <w:top w:val="none" w:sz="0" w:space="0" w:color="auto"/>
            <w:left w:val="none" w:sz="0" w:space="0" w:color="auto"/>
            <w:bottom w:val="none" w:sz="0" w:space="0" w:color="auto"/>
            <w:right w:val="none" w:sz="0" w:space="0" w:color="auto"/>
          </w:divBdr>
        </w:div>
        <w:div w:id="1516844518">
          <w:marLeft w:val="360"/>
          <w:marRight w:val="0"/>
          <w:marTop w:val="240"/>
          <w:marBottom w:val="0"/>
          <w:divBdr>
            <w:top w:val="none" w:sz="0" w:space="0" w:color="auto"/>
            <w:left w:val="none" w:sz="0" w:space="0" w:color="auto"/>
            <w:bottom w:val="none" w:sz="0" w:space="0" w:color="auto"/>
            <w:right w:val="none" w:sz="0" w:space="0" w:color="auto"/>
          </w:divBdr>
        </w:div>
      </w:divsChild>
    </w:div>
    <w:div w:id="131819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package" Target="embeddings/Microsoft_Visio_Drawing1.vsdx"/><Relationship Id="rId5" Type="http://schemas.openxmlformats.org/officeDocument/2006/relationships/customXml" Target="../customXml/item4.xml"/><Relationship Id="rId10"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AB4FC-8101-41B7-BBC8-6B189FB92AB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9D621CD-C832-4E64-8AD4-BB6A9B870CD8}">
  <ds:schemaRefs>
    <ds:schemaRef ds:uri="http://schemas.microsoft.com/sharepoint/v3/contenttype/forms"/>
  </ds:schemaRefs>
</ds:datastoreItem>
</file>

<file path=customXml/itemProps3.xml><?xml version="1.0" encoding="utf-8"?>
<ds:datastoreItem xmlns:ds="http://schemas.openxmlformats.org/officeDocument/2006/customXml" ds:itemID="{17D0FF43-D1C1-45E8-BE38-8D7C67883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DE240E-4BDB-43B5-BEF4-306D6273D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1910</Words>
  <Characters>8837</Characters>
  <Application>Microsoft Office Word</Application>
  <DocSecurity>0</DocSecurity>
  <Lines>190</Lines>
  <Paragraphs>76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CTPClassification=CTP_IC:VisualMarkings=</cp:keywords>
  <dc:description/>
  <cp:lastModifiedBy>Intel</cp:lastModifiedBy>
  <cp:revision>3</cp:revision>
  <dcterms:created xsi:type="dcterms:W3CDTF">2017-05-05T20:18:00Z</dcterms:created>
  <dcterms:modified xsi:type="dcterms:W3CDTF">2017-05-05T20:32:00Z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0aabbde5-11e2-43d3-9f2a-325e9d9f17ef</vt:lpwstr>
  </property>
  <property fmtid="{D5CDD505-2E9C-101B-9397-08002B2CF9AE}" pid="4" name="CTP_BU">
    <vt:lpwstr>NEXT GEN AND STANDARDS GROUP</vt:lpwstr>
  </property>
  <property fmtid="{D5CDD505-2E9C-101B-9397-08002B2CF9AE}" pid="5" name="CTP_TimeStamp">
    <vt:lpwstr>2017-05-05 20:32:51Z</vt:lpwstr>
  </property>
  <property fmtid="{D5CDD505-2E9C-101B-9397-08002B2CF9AE}" pid="6" name="CTPClassification">
    <vt:lpwstr>CTP_IC</vt:lpwstr>
  </property>
</Properties>
</file>