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ascii="Arial" w:hAnsi="Arial" w:eastAsia="MS Mincho" w:cs="Times New Roman"/>
          <w:b/>
          <w:sz w:val="24"/>
          <w:szCs w:val="24"/>
          <w:lang w:val="de-DE" w:eastAsia="zh-CN" w:bidi="ar-SA"/>
        </w:rPr>
        <w:t>3GPP TSG-RAN WG2 Meeting #128</w:t>
      </w:r>
      <w:r>
        <w:rPr>
          <w:rFonts w:ascii="Arial" w:hAnsi="Arial" w:eastAsia="MS Mincho" w:cs="Times New Roman"/>
          <w:b/>
          <w:sz w:val="24"/>
          <w:szCs w:val="24"/>
          <w:lang w:val="de-DE" w:eastAsia="zh-CN" w:bidi="ar-SA"/>
        </w:rPr>
        <w:tab/>
      </w:r>
      <w:r>
        <w:rPr>
          <w:rFonts w:ascii="Arial" w:hAnsi="Arial" w:eastAsia="MS Mincho" w:cs="Times New Roman"/>
          <w:b/>
          <w:sz w:val="24"/>
          <w:szCs w:val="24"/>
          <w:lang w:val="de-DE" w:eastAsia="zh-CN" w:bidi="ar-SA"/>
        </w:rPr>
        <w:t>R2-24</w:t>
      </w:r>
      <w:r>
        <w:rPr>
          <w:rFonts w:hint="eastAsia" w:ascii="Arial" w:hAnsi="Arial" w:eastAsia="MS Mincho" w:cs="Times New Roman"/>
          <w:b/>
          <w:sz w:val="24"/>
          <w:szCs w:val="24"/>
          <w:lang w:val="en-US" w:eastAsia="zh-CN" w:bidi="ar-SA"/>
        </w:rPr>
        <w:t>10626</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Orlando, USA, Nov. 18th – 22nd , 2024</w:t>
      </w:r>
    </w:p>
    <w:p>
      <w:pPr>
        <w:tabs>
          <w:tab w:val="right" w:pos="9639"/>
          <w:tab w:val="right" w:pos="13323"/>
        </w:tabs>
        <w:spacing w:before="120" w:after="120"/>
        <w:rPr>
          <w:rFonts w:ascii="Arial" w:hAnsi="Arial"/>
          <w:b/>
          <w:sz w:val="24"/>
        </w:rPr>
      </w:pP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8.1.2.2</w:t>
      </w:r>
    </w:p>
    <w:p>
      <w:pPr>
        <w:spacing w:before="120" w:after="120"/>
        <w:ind w:left="1985" w:hanging="1985"/>
        <w:rPr>
          <w:rFonts w:ascii="Arial" w:hAnsi="Arial" w:eastAsia="宋体"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O</w:t>
      </w:r>
      <w:r>
        <w:rPr>
          <w:rFonts w:ascii="Arial" w:hAnsi="Arial" w:eastAsia="宋体" w:cs="Arial"/>
          <w:b/>
          <w:sz w:val="22"/>
          <w:szCs w:val="22"/>
        </w:rPr>
        <w:t>n LCM for UE-sided model for Beam Management</w:t>
      </w:r>
    </w:p>
    <w:p>
      <w:pPr>
        <w:spacing w:before="120" w:after="120"/>
        <w:ind w:left="1985" w:hanging="1985"/>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hint="default" w:ascii="Arial" w:hAnsi="Arial" w:cs="Arial" w:eastAsiaTheme="minorEastAsia"/>
          <w:lang w:val="en-US" w:eastAsia="zh-CN"/>
        </w:rPr>
      </w:pPr>
      <w:r>
        <w:rPr>
          <w:rFonts w:hint="default" w:ascii="Arial" w:hAnsi="Arial" w:cs="Arial" w:eastAsiaTheme="minorEastAsia"/>
          <w:lang w:val="en-US" w:eastAsia="zh-CN"/>
        </w:rPr>
        <w:t>In RAN2#127bis</w:t>
      </w:r>
      <w:r>
        <w:rPr>
          <w:rFonts w:hint="eastAsia" w:ascii="Arial" w:hAnsi="Arial" w:cs="Arial" w:eastAsiaTheme="minorEastAsia"/>
          <w:lang w:val="en-US" w:eastAsia="zh-CN"/>
        </w:rPr>
        <w:t>[1]</w:t>
      </w:r>
      <w:r>
        <w:rPr>
          <w:rFonts w:hint="default" w:ascii="Arial" w:hAnsi="Arial" w:cs="Arial" w:eastAsiaTheme="minorEastAsia"/>
          <w:lang w:val="en-US" w:eastAsia="zh-CN"/>
        </w:rPr>
        <w:t>, following agreement were reached.</w:t>
      </w:r>
    </w:p>
    <w:p>
      <w:pPr>
        <w:pStyle w:val="59"/>
        <w:pBdr>
          <w:top w:val="single" w:color="auto" w:sz="4" w:space="1"/>
          <w:left w:val="single" w:color="auto" w:sz="4" w:space="4"/>
          <w:bottom w:val="single" w:color="auto" w:sz="4" w:space="1"/>
          <w:right w:val="single" w:color="auto" w:sz="4" w:space="4"/>
        </w:pBdr>
        <w:rPr>
          <w:rFonts w:hint="default" w:ascii="Arial" w:hAnsi="Arial" w:cs="Arial"/>
          <w:b/>
          <w:bCs/>
          <w:lang w:val="en-US" w:eastAsia="zh-CN"/>
        </w:rPr>
      </w:pPr>
      <w:r>
        <w:rPr>
          <w:rFonts w:hint="default" w:ascii="Arial" w:hAnsi="Arial" w:cs="Arial"/>
          <w:b/>
          <w:bCs/>
          <w:lang w:val="en-US" w:eastAsia="zh-CN"/>
        </w:rPr>
        <w:t>Agreements for BM</w:t>
      </w:r>
    </w:p>
    <w:p>
      <w:pPr>
        <w:pStyle w:val="58"/>
        <w:numPr>
          <w:ilvl w:val="0"/>
          <w:numId w:val="10"/>
        </w:numPr>
        <w:pBdr>
          <w:top w:val="single" w:color="auto" w:sz="4" w:space="1"/>
          <w:left w:val="single" w:color="auto" w:sz="4" w:space="4"/>
          <w:bottom w:val="single" w:color="auto" w:sz="4" w:space="1"/>
          <w:right w:val="single" w:color="auto" w:sz="4" w:space="4"/>
        </w:pBdr>
        <w:tabs>
          <w:tab w:val="left" w:pos="364"/>
          <w:tab w:val="clear" w:pos="1619"/>
        </w:tabs>
        <w:rPr>
          <w:rFonts w:hint="default" w:ascii="Arial" w:hAnsi="Arial" w:cs="Arial"/>
          <w:b w:val="0"/>
          <w:highlight w:val="none"/>
          <w:lang w:val="en-US" w:eastAsia="zh-CN"/>
        </w:rPr>
      </w:pPr>
      <w:r>
        <w:rPr>
          <w:rFonts w:hint="default" w:ascii="Arial" w:hAnsi="Arial" w:cs="Arial"/>
          <w:b w:val="0"/>
          <w:highlight w:val="none"/>
          <w:lang w:val="en-US"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pPr>
        <w:pStyle w:val="58"/>
        <w:numPr>
          <w:ilvl w:val="0"/>
          <w:numId w:val="10"/>
        </w:numPr>
        <w:pBdr>
          <w:top w:val="single" w:color="auto" w:sz="4" w:space="1"/>
          <w:left w:val="single" w:color="auto" w:sz="4" w:space="4"/>
          <w:bottom w:val="single" w:color="auto" w:sz="4" w:space="1"/>
          <w:right w:val="single" w:color="auto" w:sz="4" w:space="4"/>
        </w:pBdr>
        <w:tabs>
          <w:tab w:val="left" w:pos="364"/>
          <w:tab w:val="clear" w:pos="1619"/>
        </w:tabs>
        <w:rPr>
          <w:rFonts w:hint="default" w:ascii="Arial" w:hAnsi="Arial" w:cs="Arial"/>
          <w:highlight w:val="none"/>
          <w:lang w:val="en-US" w:eastAsia="zh-CN"/>
        </w:rPr>
      </w:pPr>
      <w:r>
        <w:rPr>
          <w:rFonts w:hint="default" w:ascii="Arial" w:hAnsi="Arial" w:cs="Arial"/>
          <w:b w:val="0"/>
          <w:highlight w:val="none"/>
          <w:lang w:val="en-US" w:eastAsia="zh-CN"/>
        </w:rPr>
        <w:t xml:space="preserve">FFS if inference configuration can be signalled in step3.  </w:t>
      </w:r>
    </w:p>
    <w:p>
      <w:pPr>
        <w:pStyle w:val="58"/>
        <w:numPr>
          <w:ilvl w:val="0"/>
          <w:numId w:val="10"/>
        </w:numPr>
        <w:pBdr>
          <w:top w:val="single" w:color="auto" w:sz="4" w:space="1"/>
          <w:left w:val="single" w:color="auto" w:sz="4" w:space="4"/>
          <w:bottom w:val="single" w:color="auto" w:sz="4" w:space="1"/>
          <w:right w:val="single" w:color="auto" w:sz="4" w:space="4"/>
        </w:pBdr>
        <w:tabs>
          <w:tab w:val="left" w:pos="364"/>
          <w:tab w:val="clear" w:pos="1619"/>
        </w:tabs>
        <w:rPr>
          <w:rFonts w:hint="default" w:ascii="Arial" w:hAnsi="Arial" w:cs="Arial"/>
          <w:b w:val="0"/>
          <w:highlight w:val="none"/>
          <w:lang w:val="en-US" w:eastAsia="zh-CN"/>
        </w:rPr>
      </w:pPr>
      <w:r>
        <w:rPr>
          <w:rFonts w:hint="default" w:ascii="Arial" w:hAnsi="Arial" w:cs="Arial"/>
          <w:b w:val="0"/>
          <w:highlight w:val="none"/>
          <w:lang w:val="en-US" w:eastAsia="zh-CN"/>
        </w:rPr>
        <w:t>UE can report to the network when an applicable AI functionality becomes non-applicable.  FFS how this is signaled (e.g. explicitly/implicitly).  Consider different scenarios, whether it is regarding an active functionality)</w:t>
      </w:r>
    </w:p>
    <w:p>
      <w:pPr>
        <w:pStyle w:val="58"/>
        <w:numPr>
          <w:ilvl w:val="0"/>
          <w:numId w:val="10"/>
        </w:numPr>
        <w:pBdr>
          <w:top w:val="single" w:color="auto" w:sz="4" w:space="1"/>
          <w:left w:val="single" w:color="auto" w:sz="4" w:space="4"/>
          <w:bottom w:val="single" w:color="auto" w:sz="4" w:space="1"/>
          <w:right w:val="single" w:color="auto" w:sz="4" w:space="4"/>
        </w:pBdr>
        <w:tabs>
          <w:tab w:val="left" w:pos="364"/>
          <w:tab w:val="clear" w:pos="1619"/>
        </w:tabs>
        <w:rPr>
          <w:rFonts w:hint="default" w:ascii="Arial" w:hAnsi="Arial" w:cs="Arial"/>
          <w:b w:val="0"/>
          <w:highlight w:val="none"/>
          <w:lang w:val="en-US" w:eastAsia="zh-CN"/>
        </w:rPr>
      </w:pPr>
      <w:r>
        <w:rPr>
          <w:rFonts w:hint="default" w:ascii="Arial" w:hAnsi="Arial" w:cs="Arial"/>
          <w:b w:val="0"/>
          <w:highlight w:val="none"/>
          <w:lang w:val="en-US" w:eastAsia="zh-CN"/>
        </w:rPr>
        <w:t xml:space="preserve">Data collection initiation and configuration for data collection is under network control.  FFS how the NW determines whether data collection should be initiated (e.g. via UE requests (UE directly or UE server)  </w:t>
      </w:r>
    </w:p>
    <w:p>
      <w:pPr>
        <w:pStyle w:val="58"/>
        <w:numPr>
          <w:ilvl w:val="0"/>
          <w:numId w:val="10"/>
        </w:numPr>
        <w:pBdr>
          <w:top w:val="single" w:color="auto" w:sz="4" w:space="1"/>
          <w:left w:val="single" w:color="auto" w:sz="4" w:space="4"/>
          <w:bottom w:val="single" w:color="auto" w:sz="4" w:space="1"/>
          <w:right w:val="single" w:color="auto" w:sz="4" w:space="4"/>
        </w:pBdr>
        <w:tabs>
          <w:tab w:val="left" w:pos="364"/>
          <w:tab w:val="clear" w:pos="1619"/>
        </w:tabs>
        <w:rPr>
          <w:rFonts w:hint="default" w:ascii="Arial" w:hAnsi="Arial" w:cs="Arial"/>
          <w:b w:val="0"/>
          <w:highlight w:val="none"/>
          <w:lang w:val="en-US" w:eastAsia="zh-CN"/>
        </w:rPr>
      </w:pPr>
      <w:r>
        <w:rPr>
          <w:rFonts w:hint="default" w:ascii="Arial" w:hAnsi="Arial" w:cs="Arial"/>
          <w:b w:val="0"/>
          <w:highlight w:val="none"/>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pPr>
        <w:pStyle w:val="58"/>
        <w:numPr>
          <w:ilvl w:val="0"/>
          <w:numId w:val="10"/>
        </w:numPr>
        <w:pBdr>
          <w:top w:val="single" w:color="auto" w:sz="4" w:space="1"/>
          <w:left w:val="single" w:color="auto" w:sz="4" w:space="4"/>
          <w:bottom w:val="single" w:color="auto" w:sz="4" w:space="1"/>
          <w:right w:val="single" w:color="auto" w:sz="4" w:space="4"/>
        </w:pBdr>
        <w:tabs>
          <w:tab w:val="left" w:pos="364"/>
          <w:tab w:val="clear" w:pos="1619"/>
        </w:tabs>
        <w:rPr>
          <w:rFonts w:hint="default" w:ascii="Arial" w:hAnsi="Arial" w:cs="Arial"/>
          <w:b w:val="0"/>
          <w:highlight w:val="none"/>
          <w:lang w:val="en-US" w:eastAsia="zh-CN"/>
        </w:rPr>
      </w:pPr>
      <w:r>
        <w:rPr>
          <w:rFonts w:hint="default" w:ascii="Arial" w:hAnsi="Arial" w:cs="Arial"/>
          <w:b w:val="0"/>
          <w:highlight w:val="none"/>
          <w:lang w:val="en-US" w:eastAsia="zh-CN"/>
        </w:rPr>
        <w:t>For now, RAN2 will not define terminology specific to the activation or deactivation for AI/ML models.  Can come back to this discussion later.</w:t>
      </w:r>
    </w:p>
    <w:p>
      <w:pPr>
        <w:spacing w:before="120" w:after="120"/>
        <w:rPr>
          <w:rFonts w:hint="default" w:ascii="Arial" w:hAnsi="Arial" w:cs="Arial" w:eastAsiaTheme="minorEastAsia"/>
          <w:lang w:val="en-US" w:eastAsia="zh-CN"/>
        </w:rPr>
      </w:pPr>
      <w:r>
        <w:rPr>
          <w:rFonts w:hint="default" w:ascii="Arial" w:hAnsi="Arial" w:cs="Arial" w:eastAsiaTheme="minorEastAsia"/>
        </w:rPr>
        <w:t xml:space="preserve">This contribution provides considerations on </w:t>
      </w:r>
      <w:r>
        <w:rPr>
          <w:rFonts w:hint="eastAsia" w:ascii="Arial" w:hAnsi="Arial" w:cs="Arial" w:eastAsiaTheme="minorEastAsia"/>
          <w:lang w:val="en-US" w:eastAsia="zh-CN"/>
        </w:rPr>
        <w:t>the FFS issues.</w:t>
      </w:r>
    </w:p>
    <w:p>
      <w:pPr>
        <w:pStyle w:val="2"/>
        <w:spacing w:before="72" w:beforeLines="30" w:after="72" w:afterLines="30" w:line="288" w:lineRule="auto"/>
      </w:pPr>
      <w:r>
        <w:t>Discussion</w:t>
      </w:r>
    </w:p>
    <w:p>
      <w:pPr>
        <w:pStyle w:val="3"/>
      </w:pPr>
      <w:r>
        <w:rPr>
          <w:rFonts w:hint="eastAsia"/>
          <w:lang w:val="en-US" w:eastAsia="zh-CN"/>
        </w:rPr>
        <w:t>Signaling of functionality applicability reporting</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val="0"/>
          <w:lang w:val="en-US" w:eastAsia="zh-CN"/>
        </w:rPr>
      </w:pPr>
      <w:r>
        <w:rPr>
          <w:rFonts w:hint="default" w:ascii="Arial" w:hAnsi="Arial" w:cs="Arial"/>
          <w:b w:val="0"/>
          <w:lang w:val="en-US" w:eastAsia="zh-CN"/>
        </w:rPr>
        <w:t>It was agreed</w:t>
      </w:r>
      <w:r>
        <w:rPr>
          <w:rFonts w:hint="eastAsia" w:ascii="Arial" w:hAnsi="Arial" w:cs="Arial"/>
          <w:b w:val="0"/>
          <w:lang w:val="en-US" w:eastAsia="zh-CN"/>
        </w:rPr>
        <w:t xml:space="preserve"> </w:t>
      </w:r>
      <w:r>
        <w:rPr>
          <w:rFonts w:hint="default" w:ascii="Arial" w:hAnsi="Arial" w:cs="Arial"/>
          <w:b w:val="0"/>
          <w:lang w:val="en-US" w:eastAsia="zh-CN"/>
        </w:rPr>
        <w:t xml:space="preserve">that both UAI and </w:t>
      </w:r>
      <w:r>
        <w:rPr>
          <w:rFonts w:hint="default" w:ascii="Arial" w:hAnsi="Arial" w:cs="Arial"/>
          <w:b w:val="0"/>
          <w:i/>
          <w:iCs/>
          <w:lang w:val="en-US" w:eastAsia="zh-CN"/>
        </w:rPr>
        <w:t xml:space="preserve">RRCReconfigurationComplete </w:t>
      </w:r>
      <w:r>
        <w:rPr>
          <w:rFonts w:hint="default" w:ascii="Arial" w:hAnsi="Arial" w:cs="Arial"/>
          <w:b w:val="0"/>
          <w:lang w:val="en-US" w:eastAsia="zh-CN"/>
        </w:rPr>
        <w:t xml:space="preserve">message can be used to report applicability functionality. In addition, we think </w:t>
      </w:r>
      <w:r>
        <w:rPr>
          <w:rFonts w:hint="default" w:ascii="Arial" w:hAnsi="Arial" w:cs="Arial"/>
          <w:b w:val="0"/>
          <w:i/>
          <w:iCs/>
          <w:lang w:val="en-US" w:eastAsia="zh-CN"/>
        </w:rPr>
        <w:t>RRCResume/RRCResumeComplete</w:t>
      </w:r>
      <w:r>
        <w:rPr>
          <w:rFonts w:hint="default" w:ascii="Arial" w:hAnsi="Arial" w:cs="Arial"/>
          <w:b w:val="0"/>
          <w:lang w:val="en-US" w:eastAsia="zh-CN"/>
        </w:rPr>
        <w:t xml:space="preserve"> message can also be used for applicability reporting</w:t>
      </w:r>
      <w:r>
        <w:rPr>
          <w:rFonts w:hint="eastAsia" w:ascii="Arial" w:hAnsi="Arial" w:cs="Arial"/>
          <w:b w:val="0"/>
          <w:lang w:val="en-US" w:eastAsia="zh-CN"/>
        </w:rPr>
        <w:t xml:space="preserve"> which can bring up some benefits to quick activation AI/ML based feature.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val="0"/>
          <w:lang w:val="en-US" w:eastAsia="zh-CN"/>
        </w:rPr>
      </w:pPr>
      <w:r>
        <w:rPr>
          <w:rFonts w:hint="default" w:ascii="Arial" w:hAnsi="Arial" w:cs="Arial"/>
          <w:b w:val="0"/>
          <w:lang w:val="en-US" w:eastAsia="zh-CN"/>
        </w:rPr>
        <w:t>During the RRC resume procedure, network can request applicability reporting based on UE capability.</w:t>
      </w:r>
      <w:r>
        <w:rPr>
          <w:rFonts w:hint="eastAsia" w:ascii="Arial" w:hAnsi="Arial" w:cs="Arial"/>
          <w:b w:val="0"/>
          <w:lang w:val="en-US" w:eastAsia="zh-CN"/>
        </w:rPr>
        <w:t xml:space="preserve"> </w:t>
      </w:r>
      <w:r>
        <w:rPr>
          <w:rFonts w:hint="default" w:ascii="Arial" w:hAnsi="Arial" w:cs="Arial"/>
          <w:b w:val="0"/>
          <w:lang w:val="en-US" w:eastAsia="zh-CN"/>
        </w:rPr>
        <w:t xml:space="preserve">The UE </w:t>
      </w:r>
      <w:r>
        <w:rPr>
          <w:rFonts w:hint="eastAsia" w:ascii="Arial" w:hAnsi="Arial" w:cs="Arial"/>
          <w:b w:val="0"/>
          <w:lang w:val="en-US" w:eastAsia="zh-CN"/>
        </w:rPr>
        <w:t xml:space="preserve">can </w:t>
      </w:r>
      <w:r>
        <w:rPr>
          <w:rFonts w:hint="default" w:ascii="Arial" w:hAnsi="Arial" w:cs="Arial"/>
          <w:b w:val="0"/>
          <w:lang w:val="en-US" w:eastAsia="zh-CN"/>
        </w:rPr>
        <w:t xml:space="preserve">response in </w:t>
      </w:r>
      <w:r>
        <w:rPr>
          <w:rFonts w:hint="eastAsia" w:ascii="Arial" w:hAnsi="Arial" w:cs="Arial"/>
          <w:b w:val="0"/>
          <w:i/>
          <w:iCs/>
          <w:lang w:val="en-US" w:eastAsia="zh-CN"/>
        </w:rPr>
        <w:t xml:space="preserve">RRCResumeComplete message </w:t>
      </w:r>
      <w:r>
        <w:rPr>
          <w:rFonts w:hint="default" w:ascii="Arial" w:hAnsi="Arial" w:cs="Arial"/>
          <w:b w:val="0"/>
          <w:lang w:val="en-US" w:eastAsia="zh-CN"/>
        </w:rPr>
        <w:t xml:space="preserve">immediately. This </w:t>
      </w:r>
      <w:r>
        <w:rPr>
          <w:rFonts w:hint="eastAsia" w:ascii="Arial" w:hAnsi="Arial" w:cs="Arial"/>
          <w:b w:val="0"/>
          <w:lang w:val="en-US" w:eastAsia="zh-CN"/>
        </w:rPr>
        <w:t xml:space="preserve">procedure </w:t>
      </w:r>
      <w:r>
        <w:rPr>
          <w:rFonts w:hint="default" w:ascii="Arial" w:hAnsi="Arial" w:cs="Arial"/>
          <w:b w:val="0"/>
          <w:lang w:val="en-US" w:eastAsia="zh-CN"/>
        </w:rPr>
        <w:t xml:space="preserve">is similar to </w:t>
      </w:r>
      <w:r>
        <w:rPr>
          <w:rFonts w:hint="default" w:ascii="Arial" w:hAnsi="Arial" w:cs="Arial"/>
          <w:b w:val="0"/>
          <w:i/>
          <w:iCs/>
          <w:lang w:val="en-US" w:eastAsia="zh-CN"/>
        </w:rPr>
        <w:t>RRCReconfiguration</w:t>
      </w:r>
      <w:r>
        <w:rPr>
          <w:rFonts w:hint="eastAsia" w:ascii="Arial" w:hAnsi="Arial" w:cs="Arial"/>
          <w:b w:val="0"/>
          <w:i/>
          <w:iCs/>
          <w:lang w:val="en-US" w:eastAsia="zh-CN"/>
        </w:rPr>
        <w:t>/RRCReconfigurationComplete</w:t>
      </w:r>
      <w:r>
        <w:rPr>
          <w:rFonts w:hint="default" w:ascii="Arial" w:hAnsi="Arial" w:cs="Arial"/>
          <w:b w:val="0"/>
          <w:lang w:val="en-US" w:eastAsia="zh-CN"/>
        </w:rPr>
        <w:t xml:space="preserve">. </w:t>
      </w:r>
      <w:r>
        <w:rPr>
          <w:rFonts w:hint="eastAsia" w:ascii="Arial" w:hAnsi="Arial" w:cs="Arial"/>
          <w:b w:val="0"/>
          <w:lang w:val="en-US" w:eastAsia="zh-CN"/>
        </w:rPr>
        <w:t xml:space="preserve">To report applicable functionality in RRCResumeComplete </w:t>
      </w:r>
      <w:r>
        <w:rPr>
          <w:rFonts w:hint="default" w:ascii="Arial" w:hAnsi="Arial" w:cs="Arial"/>
          <w:b w:val="0"/>
          <w:lang w:val="en-US" w:eastAsia="zh-CN"/>
        </w:rPr>
        <w:t xml:space="preserve">is beneficial </w:t>
      </w:r>
      <w:r>
        <w:rPr>
          <w:rFonts w:hint="eastAsia" w:ascii="Arial" w:hAnsi="Arial" w:cs="Arial"/>
          <w:b w:val="0"/>
          <w:lang w:val="en-US" w:eastAsia="zh-CN"/>
        </w:rPr>
        <w:t xml:space="preserve">to have fast </w:t>
      </w:r>
      <w:r>
        <w:rPr>
          <w:rFonts w:hint="default" w:ascii="Arial" w:hAnsi="Arial" w:cs="Arial"/>
          <w:b w:val="0"/>
          <w:lang w:val="en-US" w:eastAsia="zh-CN"/>
        </w:rPr>
        <w:t xml:space="preserve">configuration and </w:t>
      </w:r>
      <w:r>
        <w:rPr>
          <w:rFonts w:hint="eastAsia" w:ascii="Arial" w:hAnsi="Arial" w:cs="Arial"/>
          <w:b w:val="0"/>
          <w:lang w:val="en-US" w:eastAsia="zh-CN"/>
        </w:rPr>
        <w:t xml:space="preserve">activation of </w:t>
      </w:r>
      <w:r>
        <w:rPr>
          <w:rFonts w:hint="default" w:ascii="Arial" w:hAnsi="Arial" w:cs="Arial"/>
          <w:b w:val="0"/>
          <w:lang w:val="en-US" w:eastAsia="zh-CN"/>
        </w:rPr>
        <w:t>AI/ML functionalities during RRC resume procedure.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val="0"/>
          <w:lang w:val="en-US" w:eastAsia="zh-CN"/>
        </w:rPr>
      </w:pPr>
      <w:r>
        <w:rPr>
          <w:rFonts w:hint="default" w:ascii="Arial" w:hAnsi="Arial" w:cs="Arial"/>
          <w:b w:val="0"/>
          <w:lang w:val="en-US" w:eastAsia="zh-CN"/>
        </w:rPr>
        <w:t xml:space="preserve">One difference between </w:t>
      </w:r>
      <w:r>
        <w:rPr>
          <w:rFonts w:hint="default" w:ascii="Arial" w:hAnsi="Arial" w:cs="Arial"/>
          <w:b w:val="0"/>
          <w:i/>
          <w:iCs/>
          <w:lang w:val="en-US" w:eastAsia="zh-CN"/>
        </w:rPr>
        <w:t xml:space="preserve">RRCResume </w:t>
      </w:r>
      <w:r>
        <w:rPr>
          <w:rFonts w:hint="default" w:ascii="Arial" w:hAnsi="Arial" w:cs="Arial"/>
          <w:b w:val="0"/>
          <w:lang w:val="en-US" w:eastAsia="zh-CN"/>
        </w:rPr>
        <w:t xml:space="preserve">and </w:t>
      </w:r>
      <w:r>
        <w:rPr>
          <w:rFonts w:hint="default" w:ascii="Arial" w:hAnsi="Arial" w:cs="Arial"/>
          <w:b w:val="0"/>
          <w:i/>
          <w:iCs/>
          <w:lang w:val="en-US" w:eastAsia="zh-CN"/>
        </w:rPr>
        <w:t>RRCReconfiguration</w:t>
      </w:r>
      <w:r>
        <w:rPr>
          <w:rFonts w:hint="eastAsia" w:ascii="Arial" w:hAnsi="Arial" w:cs="Arial"/>
          <w:b w:val="0"/>
          <w:i/>
          <w:iCs/>
          <w:lang w:val="en-US" w:eastAsia="zh-CN"/>
        </w:rPr>
        <w:t xml:space="preserve"> message</w:t>
      </w:r>
      <w:r>
        <w:rPr>
          <w:rFonts w:hint="default" w:ascii="Arial" w:hAnsi="Arial" w:cs="Arial"/>
          <w:b w:val="0"/>
          <w:i/>
          <w:iCs/>
          <w:lang w:val="en-US" w:eastAsia="zh-CN"/>
        </w:rPr>
        <w:t xml:space="preserve"> </w:t>
      </w:r>
      <w:r>
        <w:rPr>
          <w:rFonts w:hint="default" w:ascii="Arial" w:hAnsi="Arial" w:cs="Arial"/>
          <w:b w:val="0"/>
          <w:lang w:val="en-US" w:eastAsia="zh-CN"/>
        </w:rPr>
        <w:t xml:space="preserve">is that there is no </w:t>
      </w:r>
      <w:r>
        <w:rPr>
          <w:rFonts w:hint="default" w:ascii="Arial" w:hAnsi="Arial" w:cs="Arial"/>
          <w:b w:val="0"/>
          <w:bCs w:val="0"/>
          <w:i/>
          <w:lang w:eastAsia="en-GB"/>
        </w:rPr>
        <w:t>otherConfig</w:t>
      </w:r>
      <w:r>
        <w:rPr>
          <w:rFonts w:hint="default" w:ascii="Arial" w:hAnsi="Arial" w:eastAsia="宋体" w:cs="Arial"/>
          <w:b w:val="0"/>
          <w:bCs w:val="0"/>
          <w:i/>
          <w:lang w:val="en-US" w:eastAsia="zh-CN"/>
        </w:rPr>
        <w:t xml:space="preserve"> </w:t>
      </w:r>
      <w:r>
        <w:rPr>
          <w:rFonts w:hint="default" w:ascii="Arial" w:hAnsi="Arial" w:cs="Arial"/>
          <w:b w:val="0"/>
          <w:lang w:val="en-US" w:eastAsia="zh-CN"/>
        </w:rPr>
        <w:t xml:space="preserve">IE in </w:t>
      </w:r>
      <w:r>
        <w:rPr>
          <w:rFonts w:hint="default" w:ascii="Arial" w:hAnsi="Arial" w:cs="Arial"/>
          <w:b w:val="0"/>
          <w:i/>
          <w:iCs/>
          <w:lang w:val="en-US" w:eastAsia="zh-CN"/>
        </w:rPr>
        <w:t xml:space="preserve">RRCResume </w:t>
      </w:r>
      <w:r>
        <w:rPr>
          <w:rFonts w:hint="default" w:ascii="Arial" w:hAnsi="Arial" w:cs="Arial"/>
          <w:b w:val="0"/>
          <w:lang w:val="en-US" w:eastAsia="zh-CN"/>
        </w:rPr>
        <w:t xml:space="preserve">message. But the network can transmit another </w:t>
      </w:r>
      <w:r>
        <w:rPr>
          <w:rFonts w:hint="default" w:ascii="Arial" w:hAnsi="Arial" w:cs="Arial"/>
          <w:b w:val="0"/>
          <w:i/>
          <w:iCs/>
          <w:lang w:val="en-US" w:eastAsia="zh-CN"/>
        </w:rPr>
        <w:t xml:space="preserve">RRCReconfiguration </w:t>
      </w:r>
      <w:r>
        <w:rPr>
          <w:rFonts w:hint="default" w:ascii="Arial" w:hAnsi="Arial" w:cs="Arial"/>
          <w:b w:val="0"/>
          <w:lang w:val="en-US" w:eastAsia="zh-CN"/>
        </w:rPr>
        <w:t xml:space="preserve">which includes </w:t>
      </w:r>
      <w:r>
        <w:rPr>
          <w:rFonts w:hint="default" w:ascii="Arial" w:hAnsi="Arial" w:cs="Arial"/>
          <w:b w:val="0"/>
          <w:i/>
          <w:iCs/>
          <w:lang w:val="en-US" w:eastAsia="zh-CN"/>
        </w:rPr>
        <w:t xml:space="preserve">otherConfig </w:t>
      </w:r>
      <w:r>
        <w:rPr>
          <w:rFonts w:hint="eastAsia" w:ascii="Arial" w:hAnsi="Arial" w:cs="Arial"/>
          <w:b w:val="0"/>
          <w:lang w:val="en-US" w:eastAsia="zh-CN"/>
        </w:rPr>
        <w:t xml:space="preserve">if the network wants the </w:t>
      </w:r>
      <w:r>
        <w:rPr>
          <w:rFonts w:hint="default" w:ascii="Arial" w:hAnsi="Arial" w:cs="Arial"/>
          <w:b w:val="0"/>
          <w:lang w:val="en-US" w:eastAsia="zh-CN"/>
        </w:rPr>
        <w:t xml:space="preserve">UE </w:t>
      </w:r>
      <w:r>
        <w:rPr>
          <w:rFonts w:hint="eastAsia" w:ascii="Arial" w:hAnsi="Arial" w:cs="Arial"/>
          <w:b w:val="0"/>
          <w:lang w:val="en-US" w:eastAsia="zh-CN"/>
        </w:rPr>
        <w:t xml:space="preserve">to </w:t>
      </w:r>
      <w:r>
        <w:rPr>
          <w:rFonts w:hint="default" w:ascii="Arial" w:hAnsi="Arial" w:cs="Arial"/>
          <w:b w:val="0"/>
          <w:lang w:val="en-US" w:eastAsia="zh-CN"/>
        </w:rPr>
        <w:t>do UAI reporting.</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r>
        <w:rPr>
          <w:rFonts w:hint="default" w:ascii="Arial" w:hAnsi="Arial" w:cs="Arial"/>
          <w:b/>
          <w:bCs/>
          <w:lang w:val="en-US" w:eastAsia="zh-CN"/>
        </w:rPr>
        <w:t xml:space="preserve">Proposal 1: RRCResume/RRCResumeComplete can be used to report applicable functionalities. </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val="0"/>
          <w:lang w:val="en-US" w:eastAsia="zh-CN"/>
        </w:rPr>
      </w:pPr>
      <w:r>
        <w:rPr>
          <w:rFonts w:hint="default" w:ascii="Arial" w:hAnsi="Arial" w:cs="Arial"/>
          <w:b w:val="0"/>
          <w:lang w:val="en-US" w:eastAsia="zh-CN"/>
        </w:rPr>
        <w:t xml:space="preserve">On the FFS </w:t>
      </w:r>
      <w:r>
        <w:rPr>
          <w:rFonts w:hint="eastAsia" w:ascii="Arial" w:hAnsi="Arial" w:cs="Arial"/>
          <w:b w:val="0"/>
          <w:lang w:val="en-US" w:eastAsia="zh-CN"/>
        </w:rPr>
        <w:t xml:space="preserve">issue that whether </w:t>
      </w:r>
      <w:r>
        <w:rPr>
          <w:rFonts w:hint="default" w:ascii="Arial" w:hAnsi="Arial" w:cs="Arial"/>
          <w:b w:val="0"/>
          <w:lang w:val="en-US" w:eastAsia="zh-CN"/>
        </w:rPr>
        <w:t xml:space="preserve">inference configuration can be signaled in step3, and FFS on the applicability reporting content, we think these issues </w:t>
      </w:r>
      <w:r>
        <w:rPr>
          <w:rFonts w:hint="eastAsia" w:ascii="Arial" w:hAnsi="Arial" w:cs="Arial"/>
          <w:b w:val="0"/>
          <w:lang w:val="en-US" w:eastAsia="zh-CN"/>
        </w:rPr>
        <w:t>is under</w:t>
      </w:r>
      <w:r>
        <w:rPr>
          <w:rFonts w:hint="default" w:ascii="Arial" w:hAnsi="Arial" w:cs="Arial"/>
          <w:b w:val="0"/>
          <w:lang w:val="en-US" w:eastAsia="zh-CN"/>
        </w:rPr>
        <w:t xml:space="preserve"> RAN1’</w:t>
      </w:r>
      <w:r>
        <w:rPr>
          <w:rFonts w:hint="eastAsia" w:ascii="Arial" w:hAnsi="Arial" w:cs="Arial"/>
          <w:b w:val="0"/>
          <w:lang w:val="en-US" w:eastAsia="zh-CN"/>
        </w:rPr>
        <w:t xml:space="preserve">s ongoing </w:t>
      </w:r>
      <w:r>
        <w:rPr>
          <w:rFonts w:hint="default" w:ascii="Arial" w:hAnsi="Arial" w:cs="Arial"/>
          <w:b w:val="0"/>
          <w:lang w:val="en-US" w:eastAsia="zh-CN"/>
        </w:rPr>
        <w:t xml:space="preserve">discussion </w:t>
      </w:r>
      <w:r>
        <w:rPr>
          <w:rFonts w:hint="eastAsia" w:ascii="Arial" w:hAnsi="Arial" w:cs="Arial"/>
          <w:b w:val="0"/>
          <w:lang w:val="en-US" w:eastAsia="zh-CN"/>
        </w:rPr>
        <w:t xml:space="preserve">about </w:t>
      </w:r>
      <w:r>
        <w:rPr>
          <w:rFonts w:hint="default" w:ascii="Arial" w:hAnsi="Arial" w:cs="Arial"/>
          <w:b w:val="0"/>
          <w:lang w:val="en-US" w:eastAsia="zh-CN"/>
        </w:rPr>
        <w:t>the content of step 3 and step 4.</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val="0"/>
          <w:lang w:val="en-US" w:eastAsia="zh-CN"/>
        </w:rPr>
      </w:pPr>
      <w:r>
        <w:rPr>
          <w:rFonts w:hint="default" w:ascii="Arial" w:hAnsi="Arial" w:cs="Arial"/>
          <w:b w:val="0"/>
          <w:lang w:val="en-US" w:eastAsia="zh-CN"/>
        </w:rPr>
        <w:t>There are 3 options under discussion in RAN1[2]. Following are the summary of these options:</w:t>
      </w:r>
    </w:p>
    <w:p>
      <w:pPr>
        <w:keepNext w:val="0"/>
        <w:keepLines w:val="0"/>
        <w:pageBreakBefore w:val="0"/>
        <w:widowControl/>
        <w:numPr>
          <w:ilvl w:val="0"/>
          <w:numId w:val="11"/>
        </w:numPr>
        <w:kinsoku/>
        <w:wordWrap/>
        <w:overflowPunct/>
        <w:topLinePunct w:val="0"/>
        <w:autoSpaceDE/>
        <w:autoSpaceDN/>
        <w:bidi w:val="0"/>
        <w:adjustRightInd/>
        <w:snapToGrid/>
        <w:spacing w:before="137" w:beforeLines="50" w:after="137" w:afterLines="50"/>
        <w:ind w:left="420" w:leftChars="0" w:hanging="420" w:firstLineChars="0"/>
        <w:textAlignment w:val="auto"/>
        <w:rPr>
          <w:rFonts w:hint="default" w:ascii="Arial" w:hAnsi="Arial" w:cs="Arial"/>
          <w:b w:val="0"/>
          <w:lang w:val="en-GB" w:eastAsia="de-DE"/>
        </w:rPr>
      </w:pPr>
      <w:r>
        <w:rPr>
          <w:rFonts w:hint="default" w:ascii="Arial" w:hAnsi="Arial" w:cs="Arial"/>
          <w:b w:val="0"/>
          <w:lang w:val="en-US" w:eastAsia="zh-CN"/>
        </w:rPr>
        <w:t>Option 1:</w:t>
      </w:r>
      <w:r>
        <w:rPr>
          <w:rFonts w:hint="default" w:ascii="Arial" w:hAnsi="Arial" w:cs="Arial"/>
          <w:b w:val="0"/>
          <w:lang w:val="en-GB" w:eastAsia="de-DE"/>
        </w:rPr>
        <w:t xml:space="preserve">In Step 3, NW configures one or more </w:t>
      </w:r>
      <w:r>
        <w:rPr>
          <w:rFonts w:hint="default" w:ascii="Arial" w:hAnsi="Arial" w:cs="Arial"/>
          <w:b w:val="0"/>
          <w:i/>
          <w:iCs/>
          <w:lang w:val="en-GB" w:eastAsia="de-DE"/>
        </w:rPr>
        <w:t>CSI-ReportConfig</w:t>
      </w:r>
      <w:r>
        <w:rPr>
          <w:rFonts w:hint="default" w:ascii="Arial" w:hAnsi="Arial" w:cs="Arial"/>
          <w:b w:val="0"/>
          <w:lang w:val="en-GB" w:eastAsia="de-DE"/>
        </w:rPr>
        <w:t xml:space="preserve"> for inference configuration, where the associated ID may be configured in CSI framework as working assumption applied.</w:t>
      </w:r>
      <w:r>
        <w:rPr>
          <w:rFonts w:hint="default" w:ascii="Arial" w:hAnsi="Arial" w:eastAsia="宋体" w:cs="Arial"/>
          <w:b w:val="0"/>
          <w:lang w:val="en-US" w:eastAsia="zh-CN"/>
        </w:rPr>
        <w:t xml:space="preserve"> I</w:t>
      </w:r>
      <w:r>
        <w:rPr>
          <w:rFonts w:hint="default" w:ascii="Arial" w:hAnsi="Arial" w:eastAsia="Batang" w:cs="Arial"/>
          <w:szCs w:val="24"/>
          <w:lang w:val="en-GB" w:eastAsia="de-DE" w:bidi="ar-SA"/>
        </w:rPr>
        <w:t xml:space="preserve">n Step 4, UE reports applicability(ies) of the above </w:t>
      </w:r>
      <w:r>
        <w:rPr>
          <w:rFonts w:hint="default" w:ascii="Arial" w:hAnsi="Arial" w:eastAsia="Batang" w:cs="Arial"/>
          <w:i/>
          <w:iCs/>
          <w:szCs w:val="24"/>
          <w:lang w:val="en-GB" w:eastAsia="de-DE" w:bidi="ar-SA"/>
        </w:rPr>
        <w:t>CSI-ReportConfi</w:t>
      </w:r>
      <w:r>
        <w:rPr>
          <w:rFonts w:hint="default" w:ascii="Arial" w:hAnsi="Arial" w:eastAsia="Batang" w:cs="Arial"/>
          <w:szCs w:val="24"/>
          <w:lang w:val="en-GB" w:eastAsia="de-DE" w:bidi="ar-SA"/>
        </w:rPr>
        <w:t>g</w:t>
      </w:r>
      <w:r>
        <w:rPr>
          <w:rFonts w:hint="default" w:ascii="Arial" w:hAnsi="Arial" w:eastAsia="宋体" w:cs="Arial"/>
          <w:szCs w:val="24"/>
          <w:lang w:val="en-US" w:eastAsia="zh-CN" w:bidi="ar-SA"/>
        </w:rPr>
        <w:t>.</w:t>
      </w:r>
    </w:p>
    <w:p>
      <w:pPr>
        <w:keepNext w:val="0"/>
        <w:keepLines w:val="0"/>
        <w:pageBreakBefore w:val="0"/>
        <w:widowControl/>
        <w:numPr>
          <w:ilvl w:val="0"/>
          <w:numId w:val="11"/>
        </w:numPr>
        <w:kinsoku/>
        <w:wordWrap/>
        <w:overflowPunct/>
        <w:topLinePunct w:val="0"/>
        <w:autoSpaceDE/>
        <w:autoSpaceDN/>
        <w:bidi w:val="0"/>
        <w:adjustRightInd/>
        <w:snapToGrid/>
        <w:spacing w:before="137" w:beforeLines="50" w:after="137" w:afterLines="50"/>
        <w:ind w:left="420" w:leftChars="0" w:hanging="420" w:firstLineChars="0"/>
        <w:textAlignment w:val="auto"/>
        <w:rPr>
          <w:rFonts w:hint="default" w:ascii="Arial" w:hAnsi="Arial" w:cs="Arial"/>
          <w:b w:val="0"/>
          <w:lang w:val="en-US" w:eastAsia="zh-CN"/>
        </w:rPr>
      </w:pPr>
      <w:r>
        <w:rPr>
          <w:rFonts w:hint="default" w:ascii="Arial" w:hAnsi="Arial" w:cs="Arial"/>
          <w:b w:val="0"/>
          <w:lang w:val="en-US" w:eastAsia="zh-CN"/>
        </w:rPr>
        <w:t>Option 2:</w:t>
      </w:r>
      <w:r>
        <w:rPr>
          <w:rFonts w:hint="default" w:ascii="Arial" w:hAnsi="Arial" w:cs="Arial"/>
          <w:b w:val="0"/>
          <w:lang w:val="en-GB" w:eastAsia="de-DE"/>
        </w:rPr>
        <w:t xml:space="preserve">In Step 3, NW configures one </w:t>
      </w:r>
      <w:r>
        <w:rPr>
          <w:rFonts w:hint="default" w:ascii="Arial" w:hAnsi="Arial" w:cs="Arial"/>
          <w:b w:val="0"/>
          <w:lang w:val="en-GB" w:eastAsia="zh-CN"/>
        </w:rPr>
        <w:t xml:space="preserve">set </w:t>
      </w:r>
      <w:r>
        <w:rPr>
          <w:rFonts w:hint="default" w:ascii="Arial" w:hAnsi="Arial" w:cs="Arial"/>
          <w:b w:val="0"/>
          <w:lang w:val="en-GB" w:eastAsia="de-DE"/>
        </w:rPr>
        <w:t>or multiple sets of inference</w:t>
      </w:r>
      <w:r>
        <w:rPr>
          <w:rFonts w:hint="default" w:ascii="Arial" w:hAnsi="Arial" w:cs="Arial"/>
          <w:b w:val="0"/>
          <w:lang w:val="en-GB" w:eastAsia="zh-CN"/>
        </w:rPr>
        <w:t xml:space="preserve"> related</w:t>
      </w:r>
      <w:r>
        <w:rPr>
          <w:rFonts w:hint="default" w:ascii="Arial" w:hAnsi="Arial" w:cs="Arial"/>
          <w:b w:val="0"/>
          <w:lang w:val="en-GB" w:eastAsia="de-DE"/>
        </w:rPr>
        <w:t xml:space="preserve"> parameters</w:t>
      </w:r>
      <w:r>
        <w:rPr>
          <w:rFonts w:hint="default" w:ascii="Arial" w:hAnsi="Arial" w:cs="Arial"/>
          <w:b w:val="0"/>
          <w:lang w:val="en-US" w:eastAsia="zh-CN"/>
        </w:rPr>
        <w:t xml:space="preserve">. And </w:t>
      </w:r>
      <w:r>
        <w:rPr>
          <w:rFonts w:hint="default" w:ascii="Arial" w:hAnsi="Arial" w:cs="Arial"/>
          <w:b w:val="0"/>
          <w:lang w:val="en-GB" w:eastAsia="de-DE"/>
        </w:rPr>
        <w:t xml:space="preserve">FFS on the set of inference </w:t>
      </w:r>
      <w:r>
        <w:rPr>
          <w:rFonts w:hint="default" w:ascii="Arial" w:hAnsi="Arial" w:cs="Arial"/>
          <w:b w:val="0"/>
          <w:lang w:val="en-GB" w:eastAsia="zh-CN"/>
        </w:rPr>
        <w:t xml:space="preserve">related </w:t>
      </w:r>
      <w:r>
        <w:rPr>
          <w:rFonts w:hint="default" w:ascii="Arial" w:hAnsi="Arial" w:cs="Arial"/>
          <w:b w:val="0"/>
          <w:lang w:val="en-GB" w:eastAsia="de-DE"/>
        </w:rPr>
        <w:t>parameters</w:t>
      </w:r>
      <w:r>
        <w:rPr>
          <w:rFonts w:hint="default" w:ascii="Arial" w:hAnsi="Arial" w:cs="Arial"/>
          <w:b w:val="0"/>
          <w:lang w:val="en-US" w:eastAsia="zh-CN"/>
        </w:rPr>
        <w:t xml:space="preserve">. In Step 4, UE reports applicability of the above one or multiple sets of inference related parameters, where the associated ID information may be associated. </w:t>
      </w:r>
    </w:p>
    <w:p>
      <w:pPr>
        <w:keepNext w:val="0"/>
        <w:keepLines w:val="0"/>
        <w:pageBreakBefore w:val="0"/>
        <w:widowControl/>
        <w:numPr>
          <w:ilvl w:val="0"/>
          <w:numId w:val="11"/>
        </w:numPr>
        <w:kinsoku/>
        <w:wordWrap/>
        <w:overflowPunct/>
        <w:topLinePunct w:val="0"/>
        <w:autoSpaceDE/>
        <w:autoSpaceDN/>
        <w:bidi w:val="0"/>
        <w:adjustRightInd/>
        <w:snapToGrid/>
        <w:spacing w:before="137" w:beforeLines="50" w:after="137" w:afterLines="50"/>
        <w:ind w:left="420" w:leftChars="0" w:hanging="420" w:firstLineChars="0"/>
        <w:textAlignment w:val="auto"/>
        <w:rPr>
          <w:rFonts w:hint="default" w:ascii="Arial" w:hAnsi="Arial" w:cs="Arial"/>
          <w:b w:val="0"/>
          <w:lang w:val="en-US" w:eastAsia="zh-CN"/>
        </w:rPr>
      </w:pPr>
      <w:r>
        <w:rPr>
          <w:rFonts w:hint="default" w:ascii="Arial" w:hAnsi="Arial" w:cs="Arial"/>
          <w:b w:val="0"/>
          <w:lang w:val="en-US" w:eastAsia="zh-CN"/>
        </w:rPr>
        <w:t>Option 3:</w:t>
      </w:r>
      <w:r>
        <w:rPr>
          <w:rFonts w:hint="default" w:ascii="Arial" w:hAnsi="Arial" w:cs="Arial"/>
          <w:b w:val="0"/>
          <w:lang w:val="en-GB" w:eastAsia="de-DE"/>
        </w:rPr>
        <w:t>In Step 3, The associated ID(s) may be provided to UE, e.g., a new RRC parameter</w:t>
      </w:r>
      <w:r>
        <w:rPr>
          <w:rFonts w:hint="default" w:ascii="Arial" w:hAnsi="Arial" w:cs="Arial"/>
          <w:b w:val="0"/>
          <w:lang w:val="en-US" w:eastAsia="zh-CN"/>
        </w:rPr>
        <w:t xml:space="preserve">. </w:t>
      </w:r>
      <w:r>
        <w:rPr>
          <w:rFonts w:hint="default" w:ascii="Arial" w:hAnsi="Arial" w:cs="Arial"/>
          <w:b w:val="0"/>
          <w:lang w:val="en-GB" w:eastAsia="de-DE"/>
        </w:rPr>
        <w:t>In Step 4, UE reports by UAI</w:t>
      </w:r>
      <w:r>
        <w:rPr>
          <w:rFonts w:hint="default" w:ascii="Arial" w:hAnsi="Arial" w:cs="Arial"/>
          <w:b w:val="0"/>
          <w:lang w:val="en-US" w:eastAsia="zh-CN"/>
        </w:rPr>
        <w:t xml:space="preserve"> which may include </w:t>
      </w:r>
      <w:r>
        <w:rPr>
          <w:rFonts w:hint="default" w:ascii="Arial" w:hAnsi="Arial" w:cs="Arial"/>
          <w:b w:val="0"/>
          <w:lang w:val="en-GB" w:eastAsia="de-DE"/>
        </w:rPr>
        <w:t>the applicable one or multiple sets of inference related parameters</w:t>
      </w:r>
      <w:r>
        <w:rPr>
          <w:rFonts w:hint="default" w:ascii="Arial" w:hAnsi="Arial" w:cs="Arial"/>
          <w:b w:val="0"/>
          <w:lang w:val="en-US" w:eastAsia="zh-CN"/>
        </w:rPr>
        <w:t xml:space="preserve"> and </w:t>
      </w:r>
      <w:r>
        <w:rPr>
          <w:rFonts w:hint="default" w:ascii="Arial" w:hAnsi="Arial" w:cs="Arial"/>
          <w:b w:val="0"/>
          <w:lang w:val="en-GB" w:eastAsia="de-DE"/>
        </w:rPr>
        <w:t>the associated ID(s)</w:t>
      </w:r>
      <w:r>
        <w:rPr>
          <w:rFonts w:hint="default" w:ascii="Arial" w:hAnsi="Arial" w:cs="Arial"/>
          <w:b w:val="0"/>
          <w:lang w:val="en-US" w:eastAsia="zh-CN"/>
        </w:rPr>
        <w:t>.</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val="0"/>
          <w:lang w:val="en-US" w:eastAsia="zh-CN"/>
        </w:rPr>
      </w:pPr>
      <w:r>
        <w:rPr>
          <w:rFonts w:hint="default" w:ascii="Arial" w:hAnsi="Arial" w:cs="Arial"/>
          <w:b w:val="0"/>
          <w:lang w:val="en-US" w:eastAsia="zh-CN"/>
        </w:rPr>
        <w:t>As we can see, there is no consensus among three options on what to be included in step 3 and step 4. So we suggest RAN2 hold these discussion and wait for RAN1’s input.</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r>
        <w:rPr>
          <w:rFonts w:hint="default" w:ascii="Arial" w:hAnsi="Arial" w:cs="Arial"/>
          <w:b/>
          <w:bCs/>
          <w:lang w:val="en-US" w:eastAsia="zh-CN"/>
        </w:rPr>
        <w:t xml:space="preserve">Proposal 2: RAN2 to wait for RAN1’s input </w:t>
      </w:r>
      <w:r>
        <w:rPr>
          <w:rFonts w:hint="eastAsia" w:ascii="Arial" w:hAnsi="Arial" w:cs="Arial"/>
          <w:b/>
          <w:bCs/>
          <w:lang w:val="en-US" w:eastAsia="zh-CN"/>
        </w:rPr>
        <w:t xml:space="preserve">before </w:t>
      </w:r>
      <w:r>
        <w:rPr>
          <w:rFonts w:hint="default" w:ascii="Arial" w:hAnsi="Arial" w:cs="Arial"/>
          <w:b/>
          <w:bCs/>
          <w:lang w:val="en-US" w:eastAsia="zh-CN"/>
        </w:rPr>
        <w:t>decide whether inference configuration can be signaled in step 3 and applicability reporting content.</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val="0"/>
          <w:lang w:val="en-US" w:eastAsia="zh-CN"/>
        </w:rPr>
      </w:pPr>
    </w:p>
    <w:p>
      <w:pPr>
        <w:pStyle w:val="3"/>
        <w:rPr>
          <w:rFonts w:hint="default" w:ascii="Arial" w:hAnsi="Arial" w:cs="Arial"/>
        </w:rPr>
      </w:pPr>
      <w:r>
        <w:rPr>
          <w:rFonts w:hint="eastAsia" w:cs="Arial"/>
          <w:lang w:val="en-US" w:eastAsia="zh-CN"/>
        </w:rPr>
        <w:t>On Reporting for applicability change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lang w:val="en-US" w:eastAsia="zh-CN"/>
        </w:rPr>
      </w:pPr>
      <w:r>
        <w:rPr>
          <w:rFonts w:hint="eastAsia" w:ascii="Arial" w:hAnsi="Arial" w:cs="Arial"/>
          <w:lang w:val="en-US" w:eastAsia="zh-CN"/>
        </w:rPr>
        <w:t>Regarding to reporting for applicability change of the functionality, it was agreed that UE can report to network when an applicable functionality becomes non-applicable.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lang w:val="en-US" w:eastAsia="zh-CN"/>
        </w:rPr>
      </w:pPr>
      <w:r>
        <w:rPr>
          <w:rFonts w:hint="eastAsia" w:ascii="Arial" w:hAnsi="Arial" w:cs="Arial"/>
          <w:lang w:val="en-US" w:eastAsia="zh-CN"/>
        </w:rPr>
        <w:t>First of all, we understand the reporting for applicability change is only applied to functionalities that has been reported as applicable to network. The applicable functionality reporting can be either initial reporting (i.e. step 4) or proactive reporting via UAI message. In either case, the UE can report to network in case applicable functionality becomes non-applicable.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r>
        <w:rPr>
          <w:rFonts w:hint="eastAsia" w:ascii="Arial" w:hAnsi="Arial" w:cs="Arial"/>
          <w:b/>
          <w:bCs/>
          <w:lang w:val="en-US" w:eastAsia="zh-CN"/>
        </w:rPr>
        <w:t>Proposal 3: RAN2 to confirm that reporting for applicability change of a functionality is triggered if the functionality that has reported as applicable to the NW before.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lang w:val="en-US" w:eastAsia="zh-CN"/>
        </w:rPr>
      </w:pPr>
      <w:r>
        <w:rPr>
          <w:rFonts w:hint="eastAsia" w:ascii="Arial" w:hAnsi="Arial" w:cs="Arial"/>
          <w:lang w:val="en-US" w:eastAsia="zh-CN"/>
        </w:rPr>
        <w:t>On whether to signal non-applicable functionality explicitly or implicitly in applicability change reporting:</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lang w:val="en-US" w:eastAsia="zh-CN"/>
        </w:rPr>
      </w:pPr>
      <w:r>
        <w:rPr>
          <w:rFonts w:hint="eastAsia" w:ascii="Arial" w:hAnsi="Arial" w:cs="Arial"/>
          <w:lang w:val="en-US" w:eastAsia="zh-CN"/>
        </w:rPr>
        <w:t>As proposed by companies in last meeting, in explicit signaling, the information of non-applicable functionality is included in the reporting. While in implicit signaling, the reporting only includes the information of applicable functionalities. The network deduces which functionality becomes non-applicable by the presence in the reporting. E.g. a former applicable functionality is not present in the reporting, the network regards it as non-applicable.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lang w:val="en-US" w:eastAsia="zh-CN"/>
        </w:rPr>
      </w:pPr>
      <w:r>
        <w:rPr>
          <w:rFonts w:hint="eastAsia" w:ascii="Arial" w:hAnsi="Arial" w:cs="Arial"/>
          <w:lang w:val="en-US" w:eastAsia="zh-CN"/>
        </w:rPr>
        <w:t xml:space="preserve">We think which kind of signaling is adopted depends on whether additional information of the non-applicable functionality is needed. The additional information may be the cause of why applicable functionality beacome non-applicable. For example, the UE may indicate training data is needed for the functionality reported as non-applicability in the applicability change reporting due to some reason, for example, the model need to be refined. </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lang w:val="en-US" w:eastAsia="zh-CN"/>
        </w:rPr>
      </w:pPr>
      <w:r>
        <w:rPr>
          <w:rFonts w:hint="eastAsia" w:ascii="Arial" w:hAnsi="Arial" w:cs="Arial"/>
          <w:lang w:val="en-US" w:eastAsia="zh-CN"/>
        </w:rPr>
        <w:t>If such additional information is adopted by RAN2, it is naturally to adopt explicit signaling. Otherwise, both explicit or implicit are workable.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b/>
          <w:bCs/>
          <w:lang w:val="en-US" w:eastAsia="zh-CN"/>
        </w:rPr>
      </w:pPr>
      <w:r>
        <w:rPr>
          <w:rFonts w:hint="eastAsia" w:ascii="Arial" w:hAnsi="Arial" w:cs="Arial"/>
          <w:b/>
          <w:bCs/>
          <w:lang w:val="en-US" w:eastAsia="zh-CN"/>
        </w:rPr>
        <w:t>Proposal 4: If additional information is needed for the functionality that is reported as non-applicable , e.g. to include the cause of non-applicable, explicit signaling of the non-applicable functionality is adopt in the reporting.</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b w:val="0"/>
          <w:bCs w:val="0"/>
          <w:i w:val="0"/>
          <w:iCs w:val="0"/>
          <w:lang w:val="en-US" w:eastAsia="zh-CN"/>
        </w:rPr>
      </w:pPr>
      <w:r>
        <w:rPr>
          <w:rFonts w:hint="eastAsia" w:ascii="Arial" w:hAnsi="Arial" w:cs="Arial"/>
          <w:b w:val="0"/>
          <w:bCs w:val="0"/>
          <w:i w:val="0"/>
          <w:iCs w:val="0"/>
          <w:lang w:val="en-US" w:eastAsia="zh-CN"/>
        </w:rPr>
        <w:t>The reason that an applicable functionality becomes inapplicable may include UE side additional condition changes, and UE side hardware capacity (battery capacity, memory...) changes. These changes can happen for both active and deactivated functionalities. Thus both active and deactivated functionality may become inapplicable after reporting applicable.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b/>
          <w:bCs/>
          <w:lang w:val="en-US" w:eastAsia="zh-CN"/>
        </w:rPr>
      </w:pPr>
      <w:r>
        <w:rPr>
          <w:rFonts w:hint="eastAsia" w:ascii="Arial" w:hAnsi="Arial" w:cs="Arial"/>
          <w:b/>
          <w:bCs/>
          <w:lang w:val="en-US" w:eastAsia="zh-CN"/>
        </w:rPr>
        <w:t>Observation 1: Both active and deactivated functionality may become inapplicable if UE side additional condition and UE side hardware capacity changes after applicability reporting.</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val="0"/>
          <w:bCs w:val="0"/>
          <w:lang w:val="en-US" w:eastAsia="zh-CN"/>
        </w:rPr>
      </w:pPr>
      <w:r>
        <w:rPr>
          <w:rFonts w:hint="eastAsia" w:ascii="Arial" w:hAnsi="Arial" w:cs="Arial"/>
          <w:b w:val="0"/>
          <w:bCs w:val="0"/>
          <w:lang w:val="en-US" w:eastAsia="zh-CN"/>
        </w:rPr>
        <w:t>For active functionality, it is natural for the UE to report non-applicable to network. Thus the network can deactivate the functionality to save UE battery/memory, or to avoid performance degradation.</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val="0"/>
          <w:bCs w:val="0"/>
          <w:lang w:val="en-US" w:eastAsia="zh-CN"/>
        </w:rPr>
      </w:pPr>
      <w:r>
        <w:rPr>
          <w:rFonts w:hint="eastAsia" w:ascii="Arial" w:hAnsi="Arial" w:cs="Arial"/>
          <w:b w:val="0"/>
          <w:bCs w:val="0"/>
          <w:lang w:val="en-US" w:eastAsia="zh-CN"/>
        </w:rPr>
        <w:t xml:space="preserve">For deactivated functionality, we think it is also meaningful to report non-applicable. Otherwise, the network may activate the functionality later because the network still think the functionality is applicable. If UE reports non-applicable for such functionality, the network may reconfigure the UE and avoid activate the functionality. </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r>
        <w:rPr>
          <w:rFonts w:hint="eastAsia" w:ascii="Arial" w:hAnsi="Arial" w:cs="Arial"/>
          <w:b/>
          <w:bCs/>
          <w:lang w:val="en-US" w:eastAsia="zh-CN"/>
        </w:rPr>
        <w:t>Proposal 5: The reporting for applicability change shall be triggered when either active or deactivated functionality becomes inapplicable.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rPr>
      </w:pPr>
    </w:p>
    <w:p>
      <w:pPr>
        <w:pStyle w:val="3"/>
        <w:rPr>
          <w:rFonts w:hint="default" w:ascii="Arial" w:hAnsi="Arial" w:cs="Arial"/>
        </w:rPr>
      </w:pPr>
      <w:r>
        <w:rPr>
          <w:rFonts w:hint="default" w:ascii="Arial" w:hAnsi="Arial" w:cs="Arial"/>
        </w:rPr>
        <w:t>Data Collection and model training</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b w:val="0"/>
          <w:bCs w:val="0"/>
          <w:lang w:val="en-US" w:eastAsia="zh-CN"/>
        </w:rPr>
      </w:pPr>
      <w:r>
        <w:rPr>
          <w:rFonts w:hint="eastAsia" w:ascii="Arial" w:hAnsi="Arial" w:cs="Arial"/>
          <w:b w:val="0"/>
          <w:bCs w:val="0"/>
          <w:lang w:val="en-US" w:eastAsia="zh-CN"/>
        </w:rPr>
        <w:t xml:space="preserve">On the request for resources used data collection for model training of UE side model, RAN2 has agreed that data collection initiation and configuration for data collection is under network control. </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b w:val="0"/>
          <w:bCs w:val="0"/>
          <w:lang w:val="en-US" w:eastAsia="zh-CN"/>
        </w:rPr>
      </w:pPr>
      <w:r>
        <w:rPr>
          <w:rFonts w:hint="eastAsia" w:ascii="Arial" w:hAnsi="Arial" w:cs="Arial"/>
          <w:b w:val="0"/>
          <w:bCs w:val="0"/>
          <w:lang w:val="en-US" w:eastAsia="zh-CN"/>
        </w:rPr>
        <w:t>On which network entity initiates the data collection procedure, or initiate the request to network for resources used for data collection, there are 2 options on the table.</w:t>
      </w:r>
    </w:p>
    <w:p>
      <w:pPr>
        <w:keepNext w:val="0"/>
        <w:keepLines w:val="0"/>
        <w:pageBreakBefore w:val="0"/>
        <w:widowControl/>
        <w:numPr>
          <w:ilvl w:val="0"/>
          <w:numId w:val="12"/>
        </w:numPr>
        <w:kinsoku/>
        <w:wordWrap/>
        <w:overflowPunct/>
        <w:topLinePunct w:val="0"/>
        <w:autoSpaceDE/>
        <w:autoSpaceDN/>
        <w:bidi w:val="0"/>
        <w:adjustRightInd/>
        <w:snapToGrid/>
        <w:spacing w:before="137" w:beforeLines="50" w:after="137" w:afterLines="50"/>
        <w:ind w:left="420" w:leftChars="0" w:hanging="420" w:firstLineChars="0"/>
        <w:textAlignment w:val="auto"/>
        <w:rPr>
          <w:rFonts w:hint="default" w:ascii="Arial" w:hAnsi="Arial" w:cs="Arial"/>
          <w:b w:val="0"/>
          <w:bCs w:val="0"/>
          <w:lang w:val="en-US" w:eastAsia="zh-CN"/>
        </w:rPr>
      </w:pPr>
      <w:r>
        <w:rPr>
          <w:rFonts w:hint="eastAsia" w:ascii="Arial" w:hAnsi="Arial" w:cs="Arial"/>
          <w:b w:val="0"/>
          <w:bCs w:val="0"/>
          <w:lang w:val="en-US" w:eastAsia="zh-CN"/>
        </w:rPr>
        <w:t>Option 1: UE sends message directly to serving gNB to trigger configuration for data collection for model training.</w:t>
      </w:r>
    </w:p>
    <w:p>
      <w:pPr>
        <w:keepNext w:val="0"/>
        <w:keepLines w:val="0"/>
        <w:pageBreakBefore w:val="0"/>
        <w:widowControl/>
        <w:numPr>
          <w:ilvl w:val="0"/>
          <w:numId w:val="12"/>
        </w:numPr>
        <w:kinsoku/>
        <w:wordWrap/>
        <w:overflowPunct/>
        <w:topLinePunct w:val="0"/>
        <w:autoSpaceDE/>
        <w:autoSpaceDN/>
        <w:bidi w:val="0"/>
        <w:adjustRightInd/>
        <w:snapToGrid/>
        <w:spacing w:before="137" w:beforeLines="50" w:after="137" w:afterLines="50"/>
        <w:ind w:left="420" w:leftChars="0" w:hanging="420" w:firstLineChars="0"/>
        <w:textAlignment w:val="auto"/>
        <w:rPr>
          <w:rFonts w:hint="default" w:ascii="Arial" w:hAnsi="Arial" w:cs="Arial"/>
          <w:b w:val="0"/>
          <w:bCs w:val="0"/>
          <w:lang w:val="en-US" w:eastAsia="zh-CN"/>
        </w:rPr>
      </w:pPr>
      <w:r>
        <w:rPr>
          <w:rFonts w:hint="eastAsia" w:ascii="Arial" w:hAnsi="Arial" w:cs="Arial"/>
          <w:b w:val="0"/>
          <w:bCs w:val="0"/>
          <w:lang w:val="en-US" w:eastAsia="zh-CN"/>
        </w:rPr>
        <w:t>Option 2: UE server request to network to initiate configuration for data collection for model training.</w:t>
      </w:r>
    </w:p>
    <w:p>
      <w:pPr>
        <w:keepNext w:val="0"/>
        <w:keepLines w:val="0"/>
        <w:pageBreakBefore w:val="0"/>
        <w:widowControl/>
        <w:numPr>
          <w:ilvl w:val="0"/>
          <w:numId w:val="0"/>
        </w:numPr>
        <w:kinsoku/>
        <w:wordWrap/>
        <w:overflowPunct/>
        <w:topLinePunct w:val="0"/>
        <w:autoSpaceDE/>
        <w:autoSpaceDN/>
        <w:bidi w:val="0"/>
        <w:adjustRightInd/>
        <w:snapToGrid/>
        <w:spacing w:before="137" w:beforeLines="50" w:after="137" w:afterLines="50"/>
        <w:ind w:leftChars="0"/>
        <w:textAlignment w:val="auto"/>
        <w:rPr>
          <w:rFonts w:hint="default" w:ascii="Arial" w:hAnsi="Arial" w:cs="Arial"/>
          <w:b w:val="0"/>
          <w:bCs w:val="0"/>
          <w:lang w:val="en-US" w:eastAsia="zh-CN"/>
        </w:rPr>
      </w:pPr>
      <w:r>
        <w:rPr>
          <w:rFonts w:hint="eastAsia" w:ascii="Arial" w:hAnsi="Arial" w:cs="Arial"/>
          <w:b w:val="0"/>
          <w:bCs w:val="0"/>
          <w:lang w:val="en-US" w:eastAsia="zh-CN"/>
        </w:rPr>
        <w:t>In our understanding, the data collection configuration is per UE configuration. Thus it is more preferred the request is initiated by the UE directly. Thus the serving gNB can configure proper configuration according to UE</w:t>
      </w:r>
      <w:r>
        <w:rPr>
          <w:rFonts w:hint="default" w:ascii="Arial" w:hAnsi="Arial" w:cs="Arial"/>
          <w:b w:val="0"/>
          <w:bCs w:val="0"/>
          <w:lang w:val="en-US" w:eastAsia="zh-CN"/>
        </w:rPr>
        <w:t>’</w:t>
      </w:r>
      <w:r>
        <w:rPr>
          <w:rFonts w:hint="eastAsia" w:ascii="Arial" w:hAnsi="Arial" w:cs="Arial"/>
          <w:b w:val="0"/>
          <w:bCs w:val="0"/>
          <w:lang w:val="en-US" w:eastAsia="zh-CN"/>
        </w:rPr>
        <w:t>s capability. Further whether the request can be satisfied also depends on the resource usage of each individual UE</w:t>
      </w:r>
      <w:r>
        <w:rPr>
          <w:rFonts w:hint="default" w:ascii="Arial" w:hAnsi="Arial" w:cs="Arial"/>
          <w:b w:val="0"/>
          <w:bCs w:val="0"/>
          <w:lang w:val="en-US" w:eastAsia="zh-CN"/>
        </w:rPr>
        <w:t>’</w:t>
      </w:r>
      <w:r>
        <w:rPr>
          <w:rFonts w:hint="eastAsia" w:ascii="Arial" w:hAnsi="Arial" w:cs="Arial"/>
          <w:b w:val="0"/>
          <w:bCs w:val="0"/>
          <w:lang w:val="en-US" w:eastAsia="zh-CN"/>
        </w:rPr>
        <w:t xml:space="preserve">s serving gNB. So it is more straightforward to adopt option 1. </w:t>
      </w:r>
    </w:p>
    <w:p>
      <w:pPr>
        <w:keepNext w:val="0"/>
        <w:keepLines w:val="0"/>
        <w:pageBreakBefore w:val="0"/>
        <w:widowControl/>
        <w:numPr>
          <w:ilvl w:val="0"/>
          <w:numId w:val="0"/>
        </w:numPr>
        <w:kinsoku/>
        <w:wordWrap/>
        <w:overflowPunct/>
        <w:topLinePunct w:val="0"/>
        <w:autoSpaceDE/>
        <w:autoSpaceDN/>
        <w:bidi w:val="0"/>
        <w:adjustRightInd/>
        <w:snapToGrid/>
        <w:spacing w:before="137" w:beforeLines="50" w:after="137" w:afterLines="50"/>
        <w:ind w:leftChars="0"/>
        <w:textAlignment w:val="auto"/>
        <w:rPr>
          <w:rFonts w:hint="eastAsia" w:ascii="Arial" w:hAnsi="Arial" w:cs="Arial"/>
          <w:b w:val="0"/>
          <w:bCs w:val="0"/>
          <w:lang w:val="en-US" w:eastAsia="zh-CN"/>
        </w:rPr>
      </w:pPr>
      <w:r>
        <w:rPr>
          <w:rFonts w:hint="eastAsia" w:ascii="Arial" w:hAnsi="Arial" w:cs="Arial"/>
          <w:b w:val="0"/>
          <w:bCs w:val="0"/>
          <w:lang w:val="en-US" w:eastAsia="zh-CN"/>
        </w:rPr>
        <w:t>And even if UE server wants to be part of this process, it can communicate with UE and trigger UE to initiate request. The communication between UE server and UE should be transparent to 3GPP.</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b/>
          <w:bCs/>
          <w:lang w:val="en-US" w:eastAsia="zh-CN"/>
        </w:rPr>
      </w:pPr>
      <w:r>
        <w:rPr>
          <w:rFonts w:hint="eastAsia" w:ascii="Arial" w:hAnsi="Arial" w:cs="Arial"/>
          <w:b/>
          <w:bCs/>
          <w:lang w:val="en-US" w:eastAsia="zh-CN"/>
        </w:rPr>
        <w:t xml:space="preserve">Proposal 6: RAN2 to adopt option 1, i.e. UE sends RRC message directly to serving gNB to request configuration for data collection for UE side model training. </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b/>
          <w:bCs/>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137" w:beforeLines="50" w:after="137" w:afterLines="50"/>
        <w:ind w:leftChars="0"/>
        <w:textAlignment w:val="auto"/>
        <w:rPr>
          <w:rFonts w:hint="eastAsia" w:ascii="Arial" w:hAnsi="Arial" w:cs="Arial"/>
          <w:b w:val="0"/>
          <w:bCs w:val="0"/>
          <w:lang w:val="en-US" w:eastAsia="zh-CN"/>
        </w:rPr>
      </w:pPr>
      <w:r>
        <w:rPr>
          <w:rFonts w:hint="eastAsia" w:ascii="Arial" w:hAnsi="Arial" w:cs="Arial"/>
          <w:b w:val="0"/>
          <w:bCs w:val="0"/>
          <w:lang w:val="en-US" w:eastAsia="zh-CN"/>
        </w:rPr>
        <w:t>On the network control on the initiation and configuration of data collection:</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eastAsiaTheme="minorEastAsia"/>
          <w:lang w:val="en-US" w:eastAsia="zh-CN"/>
        </w:rPr>
      </w:pPr>
      <w:r>
        <w:rPr>
          <w:rFonts w:hint="eastAsia" w:ascii="Arial" w:hAnsi="Arial" w:cs="Arial" w:eastAsiaTheme="minorEastAsia"/>
          <w:lang w:val="en-US" w:eastAsia="zh-CN"/>
        </w:rPr>
        <w:t>The network should be able to indicate whether UE is allowed to initiate the request for data collection.</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eastAsiaTheme="minorEastAsia"/>
          <w:lang w:val="en-US" w:eastAsia="zh-CN"/>
        </w:rPr>
      </w:pPr>
      <w:r>
        <w:rPr>
          <w:rFonts w:hint="eastAsia" w:ascii="Arial" w:hAnsi="Arial" w:cs="Arial" w:eastAsiaTheme="minorEastAsia"/>
          <w:lang w:val="en-US" w:eastAsia="zh-CN"/>
        </w:rPr>
        <w:t>Considering transmission reference signals used for data collection to UE consume network resources. Whether the request can be satisfied depends on current available network resources. Thus the network should be able to decide whether to accept the UE request.</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eastAsiaTheme="minorEastAsia"/>
          <w:lang w:val="en-US" w:eastAsia="zh-CN"/>
        </w:rPr>
      </w:pPr>
      <w:r>
        <w:rPr>
          <w:rFonts w:hint="eastAsia" w:ascii="Arial" w:hAnsi="Arial" w:cs="Arial" w:eastAsiaTheme="minorEastAsia"/>
          <w:lang w:val="en-US" w:eastAsia="zh-CN"/>
        </w:rPr>
        <w:t>Some companies proposed that UE can indicate the time duration for data collection. Similarly, the network should be able to decide when to start and stop the transmission of reference signals for data collection.</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eastAsiaTheme="minorEastAsia"/>
          <w:b/>
          <w:bCs/>
          <w:lang w:val="en-US" w:eastAsia="zh-CN"/>
        </w:rPr>
      </w:pPr>
      <w:r>
        <w:rPr>
          <w:rFonts w:hint="eastAsia" w:ascii="Arial" w:hAnsi="Arial" w:cs="Arial" w:eastAsiaTheme="minorEastAsia"/>
          <w:b/>
          <w:bCs/>
          <w:lang w:val="en-US" w:eastAsia="zh-CN"/>
        </w:rPr>
        <w:t>Proposal 7: RAN 2 to consider following methods for network control of the initiation and configuration for data collection:</w:t>
      </w:r>
    </w:p>
    <w:p>
      <w:pPr>
        <w:keepNext w:val="0"/>
        <w:keepLines w:val="0"/>
        <w:pageBreakBefore w:val="0"/>
        <w:widowControl/>
        <w:numPr>
          <w:ilvl w:val="0"/>
          <w:numId w:val="13"/>
        </w:numPr>
        <w:tabs>
          <w:tab w:val="clear" w:pos="840"/>
        </w:tabs>
        <w:kinsoku/>
        <w:wordWrap/>
        <w:overflowPunct/>
        <w:topLinePunct w:val="0"/>
        <w:autoSpaceDE/>
        <w:autoSpaceDN/>
        <w:bidi w:val="0"/>
        <w:adjustRightInd/>
        <w:snapToGrid/>
        <w:spacing w:before="137" w:beforeLines="50" w:after="137" w:afterLines="50"/>
        <w:ind w:left="1260" w:leftChars="0" w:hanging="420" w:firstLineChars="0"/>
        <w:textAlignment w:val="auto"/>
        <w:rPr>
          <w:rFonts w:hint="default" w:ascii="Arial" w:hAnsi="Arial" w:cs="Arial" w:eastAsiaTheme="minorEastAsia"/>
          <w:b/>
          <w:bCs/>
          <w:lang w:val="en-US" w:eastAsia="zh-CN"/>
        </w:rPr>
      </w:pPr>
      <w:r>
        <w:rPr>
          <w:rFonts w:hint="eastAsia" w:ascii="Arial" w:hAnsi="Arial" w:cs="Arial" w:eastAsiaTheme="minorEastAsia"/>
          <w:b/>
          <w:bCs/>
          <w:lang w:val="en-US" w:eastAsia="zh-CN"/>
        </w:rPr>
        <w:t>The network can configure whether UE is allowed to initiate request for data collection.</w:t>
      </w:r>
    </w:p>
    <w:p>
      <w:pPr>
        <w:keepNext w:val="0"/>
        <w:keepLines w:val="0"/>
        <w:pageBreakBefore w:val="0"/>
        <w:widowControl/>
        <w:numPr>
          <w:ilvl w:val="0"/>
          <w:numId w:val="13"/>
        </w:numPr>
        <w:tabs>
          <w:tab w:val="clear" w:pos="840"/>
        </w:tabs>
        <w:kinsoku/>
        <w:wordWrap/>
        <w:overflowPunct/>
        <w:topLinePunct w:val="0"/>
        <w:autoSpaceDE/>
        <w:autoSpaceDN/>
        <w:bidi w:val="0"/>
        <w:adjustRightInd/>
        <w:snapToGrid/>
        <w:spacing w:before="137" w:beforeLines="50" w:after="137" w:afterLines="50"/>
        <w:ind w:left="1260" w:leftChars="0" w:hanging="420" w:firstLineChars="0"/>
        <w:textAlignment w:val="auto"/>
        <w:rPr>
          <w:rFonts w:hint="default" w:ascii="Arial" w:hAnsi="Arial" w:cs="Arial" w:eastAsiaTheme="minorEastAsia"/>
          <w:b/>
          <w:bCs/>
          <w:lang w:val="en-US" w:eastAsia="zh-CN"/>
        </w:rPr>
      </w:pPr>
      <w:r>
        <w:rPr>
          <w:rFonts w:hint="eastAsia" w:ascii="Arial" w:hAnsi="Arial" w:cs="Arial" w:eastAsiaTheme="minorEastAsia"/>
          <w:b/>
          <w:bCs/>
          <w:lang w:val="en-US" w:eastAsia="zh-CN"/>
        </w:rPr>
        <w:t>The network can decide whether to accept UE</w:t>
      </w:r>
      <w:r>
        <w:rPr>
          <w:rFonts w:hint="default" w:ascii="Arial" w:hAnsi="Arial" w:cs="Arial" w:eastAsiaTheme="minorEastAsia"/>
          <w:b/>
          <w:bCs/>
          <w:lang w:val="en-US" w:eastAsia="zh-CN"/>
        </w:rPr>
        <w:t>’</w:t>
      </w:r>
      <w:r>
        <w:rPr>
          <w:rFonts w:hint="eastAsia" w:ascii="Arial" w:hAnsi="Arial" w:cs="Arial" w:eastAsiaTheme="minorEastAsia"/>
          <w:b/>
          <w:bCs/>
          <w:lang w:val="en-US" w:eastAsia="zh-CN"/>
        </w:rPr>
        <w:t xml:space="preserve">s request for data collection. </w:t>
      </w:r>
    </w:p>
    <w:p>
      <w:pPr>
        <w:keepNext w:val="0"/>
        <w:keepLines w:val="0"/>
        <w:pageBreakBefore w:val="0"/>
        <w:widowControl/>
        <w:numPr>
          <w:ilvl w:val="0"/>
          <w:numId w:val="13"/>
        </w:numPr>
        <w:tabs>
          <w:tab w:val="clear" w:pos="840"/>
        </w:tabs>
        <w:kinsoku/>
        <w:wordWrap/>
        <w:overflowPunct/>
        <w:topLinePunct w:val="0"/>
        <w:autoSpaceDE/>
        <w:autoSpaceDN/>
        <w:bidi w:val="0"/>
        <w:adjustRightInd/>
        <w:snapToGrid/>
        <w:spacing w:before="137" w:beforeLines="50" w:after="137" w:afterLines="50"/>
        <w:ind w:left="1260" w:leftChars="0" w:hanging="420" w:firstLineChars="0"/>
        <w:textAlignment w:val="auto"/>
        <w:rPr>
          <w:rFonts w:hint="default" w:ascii="Arial" w:hAnsi="Arial" w:cs="Arial" w:eastAsiaTheme="minorEastAsia"/>
          <w:b/>
          <w:bCs/>
          <w:lang w:val="en-US" w:eastAsia="zh-CN"/>
        </w:rPr>
      </w:pPr>
      <w:r>
        <w:rPr>
          <w:rFonts w:hint="eastAsia" w:ascii="Arial" w:hAnsi="Arial" w:cs="Arial" w:eastAsiaTheme="minorEastAsia"/>
          <w:b/>
          <w:bCs/>
          <w:lang w:val="en-US" w:eastAsia="zh-CN"/>
        </w:rPr>
        <w:t>The network can decide when to start/stop the configuration for data collection.</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p>
    <w:p>
      <w:pPr>
        <w:keepNext/>
        <w:keepLines/>
        <w:numPr>
          <w:ilvl w:val="1"/>
          <w:numId w:val="1"/>
        </w:numPr>
        <w:pBdr>
          <w:top w:val="none" w:color="auto" w:sz="0" w:space="0"/>
        </w:pBdr>
        <w:spacing w:before="120" w:beforeLines="50" w:after="120" w:afterLines="50"/>
        <w:ind w:right="200" w:rightChars="100"/>
        <w:jc w:val="both"/>
        <w:outlineLvl w:val="1"/>
        <w:rPr>
          <w:rFonts w:hint="default" w:ascii="Arial" w:hAnsi="Arial" w:eastAsia="Arial Unicode MS" w:cs="Arial"/>
          <w:kern w:val="2"/>
          <w:sz w:val="28"/>
          <w:szCs w:val="28"/>
          <w:lang w:val="en-US" w:eastAsia="zh-CN" w:bidi="ar-SA"/>
        </w:rPr>
      </w:pPr>
      <w:r>
        <w:rPr>
          <w:rFonts w:hint="default" w:ascii="Arial" w:hAnsi="Arial" w:eastAsia="Arial Unicode MS" w:cs="Arial"/>
          <w:kern w:val="2"/>
          <w:sz w:val="28"/>
          <w:szCs w:val="28"/>
          <w:lang w:val="en-US" w:eastAsia="zh-CN" w:bidi="ar-SA"/>
        </w:rPr>
        <w:t xml:space="preserve">Applicability </w:t>
      </w:r>
      <w:r>
        <w:rPr>
          <w:rFonts w:hint="eastAsia" w:ascii="Arial" w:hAnsi="Arial" w:eastAsia="Arial Unicode MS" w:cs="Arial"/>
          <w:kern w:val="2"/>
          <w:sz w:val="28"/>
          <w:szCs w:val="28"/>
          <w:lang w:val="en-US" w:eastAsia="zh-CN" w:bidi="ar-SA"/>
        </w:rPr>
        <w:t xml:space="preserve">reporting </w:t>
      </w:r>
      <w:r>
        <w:rPr>
          <w:rFonts w:hint="default" w:ascii="Arial" w:hAnsi="Arial" w:eastAsia="Arial Unicode MS" w:cs="Arial"/>
          <w:kern w:val="2"/>
          <w:sz w:val="28"/>
          <w:szCs w:val="28"/>
          <w:lang w:val="en-US" w:eastAsia="zh-CN" w:bidi="ar-SA"/>
        </w:rPr>
        <w:t>during mobility aspect</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bCs/>
          <w:i w:val="0"/>
          <w:iCs w:val="0"/>
          <w:kern w:val="2"/>
          <w:lang w:val="en-US" w:eastAsia="zh-CN" w:bidi="ar-SA"/>
        </w:rPr>
      </w:pPr>
      <w:r>
        <w:rPr>
          <w:rFonts w:hint="default" w:ascii="Arial" w:hAnsi="Arial" w:cs="Arial" w:eastAsiaTheme="minorEastAsia"/>
          <w:b w:val="0"/>
          <w:bCs w:val="0"/>
          <w:i w:val="0"/>
          <w:iCs w:val="0"/>
          <w:kern w:val="2"/>
          <w:lang w:val="en-US" w:eastAsia="zh-CN" w:bidi="ar-SA"/>
        </w:rPr>
        <w:t>There are 3 options regarding how to handle applicability reporting and inference configuration during mobility.</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bCs/>
          <w:i w:val="0"/>
          <w:iCs w:val="0"/>
          <w:kern w:val="2"/>
          <w:u w:val="single"/>
          <w:lang w:val="en-US" w:eastAsia="zh-CN" w:bidi="ar-SA"/>
        </w:rPr>
      </w:pPr>
      <w:r>
        <w:rPr>
          <w:rFonts w:hint="default" w:ascii="Arial" w:hAnsi="Arial" w:cs="Arial" w:eastAsiaTheme="minorEastAsia"/>
          <w:b/>
          <w:bCs/>
          <w:i w:val="0"/>
          <w:iCs w:val="0"/>
          <w:kern w:val="2"/>
          <w:u w:val="single"/>
          <w:lang w:val="en-US" w:eastAsia="zh-CN" w:bidi="ar-SA"/>
        </w:rPr>
        <w:t>Option 1: Target cell requests applicability reporting during or after handover.</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center"/>
        <w:textAlignment w:val="auto"/>
        <w:rPr>
          <w:rFonts w:hint="default" w:ascii="Arial" w:hAnsi="Arial" w:cs="Arial" w:eastAsiaTheme="minorEastAsia"/>
          <w:b/>
          <w:bCs/>
          <w:i w:val="0"/>
          <w:iCs w:val="0"/>
          <w:kern w:val="2"/>
          <w:lang w:val="en-US" w:eastAsia="zh-CN" w:bidi="ar-SA"/>
        </w:rPr>
      </w:pPr>
      <w:r>
        <w:rPr>
          <w:rFonts w:hint="default" w:ascii="Arial" w:hAnsi="Arial" w:cs="Arial" w:eastAsiaTheme="minorEastAsia"/>
          <w:b/>
          <w:bCs/>
          <w:i/>
          <w:iCs/>
          <w:kern w:val="2"/>
          <w:lang w:val="en-GB" w:eastAsia="zh-CN" w:bidi="ar-SA"/>
        </w:rPr>
        <w:object>
          <v:shape id="_x0000_i1025" o:spt="75" type="#_x0000_t75" style="height:225.15pt;width:328.3pt;" o:ole="t" filled="f" o:preferrelative="t" stroked="f" coordsize="21600,21600">
            <v:path/>
            <v:fill on="f" focussize="0,0"/>
            <v:stroke on="f"/>
            <v:imagedata r:id="rId11" o:title=""/>
            <o:lock v:ext="edit" aspectratio="t"/>
            <w10:wrap type="none"/>
            <w10:anchorlock/>
          </v:shape>
          <o:OLEObject Type="Embed" ProgID="Visio.Drawing.15" ShapeID="_x0000_i1025" DrawAspect="Content" ObjectID="_1468075725" r:id="rId10">
            <o:LockedField>false</o:LockedField>
          </o:OLEObject>
        </w:objec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center"/>
        <w:textAlignment w:val="auto"/>
        <w:rPr>
          <w:rFonts w:hint="default" w:ascii="Arial" w:hAnsi="Arial" w:cs="Arial" w:eastAsiaTheme="minorEastAsia"/>
          <w:b w:val="0"/>
          <w:bCs w:val="0"/>
          <w:i/>
          <w:iCs/>
          <w:kern w:val="2"/>
          <w:lang w:val="en-US" w:eastAsia="zh-CN" w:bidi="ar-SA"/>
        </w:rPr>
      </w:pPr>
      <w:r>
        <w:rPr>
          <w:rFonts w:hint="default" w:ascii="Arial" w:hAnsi="Arial" w:cs="Arial" w:eastAsiaTheme="minorEastAsia"/>
          <w:b w:val="0"/>
          <w:bCs w:val="0"/>
          <w:i/>
          <w:iCs/>
          <w:kern w:val="2"/>
          <w:lang w:val="en-US" w:eastAsia="zh-CN" w:bidi="ar-SA"/>
        </w:rPr>
        <w:t>Figure 1: mobility scheme option 1</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 xml:space="preserve">As illustrated in figure 1, target cell includes information for applicability reporting, e.g. functionality information, and network-side additional condition of the target cell in the RRCReconfiguration message prepared for the UE. The UE reports applicability of the functionality either via </w:t>
      </w:r>
      <w:r>
        <w:rPr>
          <w:rFonts w:hint="default" w:ascii="Arial" w:hAnsi="Arial" w:cs="Arial" w:eastAsiaTheme="minorEastAsia"/>
          <w:b w:val="0"/>
          <w:bCs w:val="0"/>
          <w:i/>
          <w:iCs/>
          <w:kern w:val="2"/>
          <w:lang w:val="en-US" w:eastAsia="zh-CN" w:bidi="ar-SA"/>
        </w:rPr>
        <w:t xml:space="preserve">RRCReconfigurationComplete </w:t>
      </w:r>
      <w:r>
        <w:rPr>
          <w:rFonts w:hint="default" w:ascii="Arial" w:hAnsi="Arial" w:cs="Arial" w:eastAsiaTheme="minorEastAsia"/>
          <w:b w:val="0"/>
          <w:bCs w:val="0"/>
          <w:i w:val="0"/>
          <w:iCs w:val="0"/>
          <w:kern w:val="2"/>
          <w:lang w:val="en-US" w:eastAsia="zh-CN" w:bidi="ar-SA"/>
        </w:rPr>
        <w:t>or UAI message after it accesses the target cell. Then the target cell can configure/activate the functionality accordingly.</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This option is straightforward without additional impact on specification. So it can be regarded as a baseline solution.</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bCs/>
          <w:i w:val="0"/>
          <w:iCs w:val="0"/>
          <w:kern w:val="2"/>
          <w:u w:val="single"/>
          <w:lang w:val="en-US" w:eastAsia="zh-CN" w:bidi="ar-SA"/>
        </w:rPr>
      </w:pP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bCs/>
          <w:i w:val="0"/>
          <w:iCs w:val="0"/>
          <w:kern w:val="2"/>
          <w:u w:val="single"/>
          <w:lang w:val="en-US" w:eastAsia="zh-CN" w:bidi="ar-SA"/>
        </w:rPr>
      </w:pPr>
      <w:r>
        <w:rPr>
          <w:rFonts w:hint="default" w:ascii="Arial" w:hAnsi="Arial" w:cs="Arial" w:eastAsiaTheme="minorEastAsia"/>
          <w:b/>
          <w:bCs/>
          <w:i w:val="0"/>
          <w:iCs w:val="0"/>
          <w:kern w:val="2"/>
          <w:u w:val="single"/>
          <w:lang w:val="en-US" w:eastAsia="zh-CN" w:bidi="ar-SA"/>
        </w:rPr>
        <w:t>Option 2: Source cell transfers source cell’s applicability information to target cell to assist configuration in target cell.</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center"/>
        <w:textAlignment w:val="auto"/>
        <w:rPr>
          <w:rFonts w:hint="default" w:ascii="Arial" w:hAnsi="Arial" w:cs="Arial" w:eastAsiaTheme="minorEastAsia"/>
          <w:b/>
          <w:bCs/>
          <w:i w:val="0"/>
          <w:iCs w:val="0"/>
          <w:kern w:val="2"/>
          <w:lang w:val="en-US" w:eastAsia="zh-CN" w:bidi="ar-SA"/>
        </w:rPr>
      </w:pPr>
      <w:r>
        <w:rPr>
          <w:rFonts w:hint="default" w:ascii="Arial" w:hAnsi="Arial" w:cs="Arial" w:eastAsiaTheme="minorEastAsia"/>
          <w:b/>
          <w:bCs/>
          <w:i/>
          <w:iCs/>
          <w:kern w:val="2"/>
          <w:lang w:val="en-GB" w:eastAsia="zh-CN" w:bidi="ar-SA"/>
        </w:rPr>
        <w:object>
          <v:shape id="_x0000_i1026" o:spt="75" type="#_x0000_t75" style="height:167.1pt;width:335.3pt;" o:ole="t" filled="f" o:preferrelative="t" stroked="f" coordsize="21600,21600">
            <v:path/>
            <v:fill on="f" focussize="0,0"/>
            <v:stroke on="f"/>
            <v:imagedata r:id="rId13" o:title=""/>
            <o:lock v:ext="edit" aspectratio="t"/>
            <w10:wrap type="none"/>
            <w10:anchorlock/>
          </v:shape>
          <o:OLEObject Type="Embed" ProgID="Visio.Drawing.15" ShapeID="_x0000_i1026" DrawAspect="Content" ObjectID="_1468075726" r:id="rId12">
            <o:LockedField>false</o:LockedField>
          </o:OLEObject>
        </w:objec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center"/>
        <w:textAlignment w:val="auto"/>
        <w:rPr>
          <w:rFonts w:hint="default" w:ascii="Arial" w:hAnsi="Arial" w:cs="Arial" w:eastAsiaTheme="minorEastAsia"/>
          <w:b w:val="0"/>
          <w:bCs w:val="0"/>
          <w:i/>
          <w:iCs/>
          <w:kern w:val="2"/>
          <w:lang w:val="en-US" w:eastAsia="zh-CN" w:bidi="ar-SA"/>
        </w:rPr>
      </w:pPr>
      <w:r>
        <w:rPr>
          <w:rFonts w:hint="default" w:ascii="Arial" w:hAnsi="Arial" w:cs="Arial" w:eastAsiaTheme="minorEastAsia"/>
          <w:b w:val="0"/>
          <w:bCs w:val="0"/>
          <w:i/>
          <w:iCs/>
          <w:kern w:val="2"/>
          <w:lang w:val="en-US" w:eastAsia="zh-CN" w:bidi="ar-SA"/>
        </w:rPr>
        <w:t>Figure 2: mobility scheme option 2</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The source cell transfers the applicability information gathered for source cell to the target cell via handover preparation procedure. The applicability information includes applicable network-side additional conditions of the source cell.</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Based on the source cell’s applicability information, the target cell deduces whether the functionality is also applicable in target cell by comparing the network-side additional condition of source cell and the target cell. Although network-side additional conditions, i.e. Associated ID, is unique only within serving cell level, this option is still feasible if by implementation source cell and neighbor cell have the knowledge on whether network-side additional condition represented by source cell’s Associated ID and the target cell’s Associated ID are the same.</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The advantage of this option is that the target cell can configure and activate functionality in the handover command. And the applicability reporting procedure in the target cell may be saved.</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Note the option 2 is also applicable to the mobility schemes that source cell prepares multiple candidate configurations in advance, e.g. LTM and CHO. The source can transfer source cell’s applicable network-side additional conditions to candidate cells, and candidate cell may prepare candidate configuration including inference configuration. Thus when UE is switched to target cell, the corresponding inference configuration for the functionality can be activated without additional signaling procedure between UE and target cell.</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bCs/>
          <w:i w:val="0"/>
          <w:iCs w:val="0"/>
          <w:kern w:val="2"/>
          <w:u w:val="single"/>
          <w:lang w:val="en-US" w:eastAsia="zh-CN" w:bidi="ar-SA"/>
        </w:rPr>
      </w:pPr>
      <w:r>
        <w:rPr>
          <w:rFonts w:hint="default" w:ascii="Arial" w:hAnsi="Arial" w:cs="Arial" w:eastAsiaTheme="minorEastAsia"/>
          <w:b/>
          <w:bCs/>
          <w:i w:val="0"/>
          <w:iCs w:val="0"/>
          <w:kern w:val="2"/>
          <w:u w:val="single"/>
          <w:lang w:val="en-US" w:eastAsia="zh-CN" w:bidi="ar-SA"/>
        </w:rPr>
        <w:t>Option 3: Source cell requests applicability reporting for target cell with target cell’s network-side additional conditions.</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center"/>
        <w:textAlignment w:val="auto"/>
        <w:rPr>
          <w:rFonts w:hint="default" w:ascii="Arial" w:hAnsi="Arial" w:cs="Arial" w:eastAsiaTheme="minorEastAsia"/>
          <w:b/>
          <w:bCs/>
          <w:i w:val="0"/>
          <w:iCs w:val="0"/>
          <w:kern w:val="2"/>
          <w:lang w:val="en-US" w:eastAsia="zh-CN" w:bidi="ar-SA"/>
        </w:rPr>
      </w:pPr>
      <w:r>
        <w:rPr>
          <w:rFonts w:hint="default" w:ascii="Arial" w:hAnsi="Arial" w:cs="Arial" w:eastAsiaTheme="minorEastAsia"/>
          <w:b/>
          <w:bCs/>
          <w:i/>
          <w:iCs/>
          <w:kern w:val="2"/>
          <w:lang w:val="en-GB" w:eastAsia="zh-CN" w:bidi="ar-SA"/>
        </w:rPr>
        <w:object>
          <v:shape id="_x0000_i1027" o:spt="75" type="#_x0000_t75" style="height:242.85pt;width:328.3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center"/>
        <w:textAlignment w:val="auto"/>
        <w:rPr>
          <w:rFonts w:hint="default" w:ascii="Arial" w:hAnsi="Arial" w:cs="Arial" w:eastAsiaTheme="minorEastAsia"/>
          <w:b w:val="0"/>
          <w:bCs w:val="0"/>
          <w:i/>
          <w:iCs/>
          <w:kern w:val="2"/>
          <w:lang w:val="en-US" w:eastAsia="zh-CN" w:bidi="ar-SA"/>
        </w:rPr>
      </w:pPr>
      <w:r>
        <w:rPr>
          <w:rFonts w:hint="default" w:ascii="Arial" w:hAnsi="Arial" w:cs="Arial" w:eastAsiaTheme="minorEastAsia"/>
          <w:b w:val="0"/>
          <w:bCs w:val="0"/>
          <w:i/>
          <w:iCs/>
          <w:kern w:val="2"/>
          <w:lang w:val="en-US" w:eastAsia="zh-CN" w:bidi="ar-SA"/>
        </w:rPr>
        <w:t>Figure 3: mobility scheme option 3</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In this option, the source cell requests functionality applicability for the target cell before handover occurs.</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Althougth it is still FFS in RAN1 on whether the assumption on Associated ID can be applicable for multiple cells, i.e. multiple cell level Associated ID, the network side additional of source cell and target cell may still be different. So it is meaningful to discuss this option no matter the Associated ID is cell level or multiple cell level.</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Before applicability reporting, RAN3 signaling is needed to exchange network-side additional conditions between neighbor cells.</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The source cell request the applicability with target cell’s network-side additional condition(s), in the same way as request applicability for source cell’s network-side additional condition.</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 xml:space="preserve">Then the source can transfer the gathered applicability information to target cell during handover request procedure. </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The target cell prepares the configuration based on the applicability information and sends the configuration to UE via RRCReconfiguration message.</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Note that this solution is also useful for CHO and LTM where candidate configuration is prepared in advance. And the same benefit as in option 2 can be achieved.</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bCs/>
          <w:i w:val="0"/>
          <w:iCs w:val="0"/>
          <w:kern w:val="2"/>
          <w:lang w:val="en-US" w:eastAsia="zh-CN" w:bidi="ar-SA"/>
        </w:rPr>
      </w:pPr>
      <w:r>
        <w:rPr>
          <w:rFonts w:hint="eastAsia" w:ascii="Arial" w:hAnsi="Arial" w:cs="Arial" w:eastAsiaTheme="minorEastAsia"/>
          <w:b/>
          <w:bCs/>
          <w:i w:val="0"/>
          <w:iCs w:val="0"/>
          <w:kern w:val="2"/>
          <w:lang w:val="en-US" w:eastAsia="zh-CN" w:bidi="ar-SA"/>
        </w:rPr>
        <w:t xml:space="preserve">Proposal 8: </w:t>
      </w:r>
      <w:r>
        <w:rPr>
          <w:rFonts w:hint="default" w:ascii="Arial" w:hAnsi="Arial" w:cs="Arial" w:eastAsiaTheme="minorEastAsia"/>
          <w:b/>
          <w:bCs/>
          <w:i w:val="0"/>
          <w:iCs w:val="0"/>
          <w:kern w:val="2"/>
          <w:lang w:val="en-US" w:eastAsia="zh-CN" w:bidi="ar-SA"/>
        </w:rPr>
        <w:t>RAN2 to consider following options regarding the applicability reporting and inference configuration during mobility:</w:t>
      </w:r>
    </w:p>
    <w:p>
      <w:pPr>
        <w:keepNext w:val="0"/>
        <w:keepLines w:val="0"/>
        <w:pageBreakBefore w:val="0"/>
        <w:widowControl/>
        <w:numPr>
          <w:ilvl w:val="0"/>
          <w:numId w:val="14"/>
        </w:numPr>
        <w:kinsoku/>
        <w:wordWrap/>
        <w:overflowPunct/>
        <w:topLinePunct w:val="0"/>
        <w:autoSpaceDE/>
        <w:autoSpaceDN/>
        <w:bidi w:val="0"/>
        <w:adjustRightInd/>
        <w:snapToGrid/>
        <w:spacing w:before="137" w:beforeLines="50" w:after="137" w:afterLines="50" w:line="240" w:lineRule="auto"/>
        <w:ind w:left="1420" w:hanging="420"/>
        <w:jc w:val="left"/>
        <w:textAlignment w:val="auto"/>
        <w:rPr>
          <w:rFonts w:hint="default" w:ascii="Arial" w:hAnsi="Arial" w:cs="Arial" w:eastAsiaTheme="minorEastAsia"/>
          <w:b/>
          <w:bCs/>
          <w:i w:val="0"/>
          <w:iCs w:val="0"/>
          <w:kern w:val="2"/>
          <w:lang w:val="en-US" w:eastAsia="zh-CN" w:bidi="ar-SA"/>
        </w:rPr>
      </w:pPr>
      <w:r>
        <w:rPr>
          <w:rFonts w:hint="default" w:ascii="Arial" w:hAnsi="Arial" w:cs="Arial" w:eastAsiaTheme="minorEastAsia"/>
          <w:b/>
          <w:bCs/>
          <w:i w:val="0"/>
          <w:iCs w:val="0"/>
          <w:kern w:val="2"/>
          <w:lang w:val="en-US" w:eastAsia="zh-CN" w:bidi="ar-SA"/>
        </w:rPr>
        <w:t>Option 1: Target cell requests applicability reporting during or after handover.</w:t>
      </w:r>
    </w:p>
    <w:p>
      <w:pPr>
        <w:keepNext w:val="0"/>
        <w:keepLines w:val="0"/>
        <w:pageBreakBefore w:val="0"/>
        <w:widowControl/>
        <w:numPr>
          <w:ilvl w:val="0"/>
          <w:numId w:val="14"/>
        </w:numPr>
        <w:kinsoku/>
        <w:wordWrap/>
        <w:overflowPunct/>
        <w:topLinePunct w:val="0"/>
        <w:autoSpaceDE/>
        <w:autoSpaceDN/>
        <w:bidi w:val="0"/>
        <w:adjustRightInd/>
        <w:snapToGrid/>
        <w:spacing w:before="137" w:beforeLines="50" w:after="137" w:afterLines="50" w:line="240" w:lineRule="auto"/>
        <w:ind w:left="1420" w:hanging="420"/>
        <w:jc w:val="left"/>
        <w:textAlignment w:val="auto"/>
        <w:rPr>
          <w:rFonts w:hint="default" w:ascii="Arial" w:hAnsi="Arial" w:cs="Arial" w:eastAsiaTheme="minorEastAsia"/>
          <w:b/>
          <w:bCs/>
          <w:i w:val="0"/>
          <w:iCs w:val="0"/>
          <w:kern w:val="2"/>
          <w:lang w:val="en-US" w:eastAsia="zh-CN" w:bidi="ar-SA"/>
        </w:rPr>
      </w:pPr>
      <w:r>
        <w:rPr>
          <w:rFonts w:hint="default" w:ascii="Arial" w:hAnsi="Arial" w:cs="Arial" w:eastAsiaTheme="minorEastAsia"/>
          <w:b/>
          <w:bCs/>
          <w:i w:val="0"/>
          <w:iCs w:val="0"/>
          <w:kern w:val="2"/>
          <w:lang w:val="en-US" w:eastAsia="zh-CN" w:bidi="ar-SA"/>
        </w:rPr>
        <w:t>Option 2: Source cell transfers source cell’s applicability information to target cell to assist inference configuration in target cell.</w:t>
      </w:r>
    </w:p>
    <w:p>
      <w:pPr>
        <w:keepNext w:val="0"/>
        <w:keepLines w:val="0"/>
        <w:pageBreakBefore w:val="0"/>
        <w:widowControl/>
        <w:numPr>
          <w:ilvl w:val="0"/>
          <w:numId w:val="14"/>
        </w:numPr>
        <w:kinsoku/>
        <w:wordWrap/>
        <w:overflowPunct/>
        <w:topLinePunct w:val="0"/>
        <w:autoSpaceDE/>
        <w:autoSpaceDN/>
        <w:bidi w:val="0"/>
        <w:adjustRightInd/>
        <w:snapToGrid/>
        <w:spacing w:before="137" w:beforeLines="50" w:after="137" w:afterLines="50" w:line="240" w:lineRule="auto"/>
        <w:ind w:left="1420" w:hanging="420"/>
        <w:jc w:val="left"/>
        <w:textAlignment w:val="auto"/>
        <w:rPr>
          <w:rFonts w:hint="default" w:ascii="Arial" w:hAnsi="Arial" w:cs="Arial" w:eastAsiaTheme="minorEastAsia"/>
          <w:b/>
          <w:bCs/>
          <w:i w:val="0"/>
          <w:iCs w:val="0"/>
          <w:kern w:val="2"/>
          <w:lang w:val="en-US" w:eastAsia="zh-CN" w:bidi="ar-SA"/>
        </w:rPr>
      </w:pPr>
      <w:r>
        <w:rPr>
          <w:rFonts w:hint="default" w:ascii="Arial" w:hAnsi="Arial" w:cs="Arial" w:eastAsiaTheme="minorEastAsia"/>
          <w:b/>
          <w:bCs/>
          <w:i w:val="0"/>
          <w:iCs w:val="0"/>
          <w:kern w:val="2"/>
          <w:lang w:val="en-US" w:eastAsia="zh-CN" w:bidi="ar-SA"/>
        </w:rPr>
        <w:t>Option 3: Source cell requests applicability reporting for target cell with target cell’s network-side additional conditions.</w:t>
      </w:r>
    </w:p>
    <w:p>
      <w:pPr>
        <w:keepNext w:val="0"/>
        <w:keepLines w:val="0"/>
        <w:pageBreakBefore w:val="0"/>
        <w:widowControl/>
        <w:numPr>
          <w:ilvl w:val="0"/>
          <w:numId w:val="0"/>
        </w:numPr>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bCs/>
          <w:i w:val="0"/>
          <w:iCs w:val="0"/>
          <w:kern w:val="2"/>
          <w:lang w:val="en-US" w:eastAsia="zh-CN" w:bidi="ar-SA"/>
        </w:rPr>
      </w:pP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val="0"/>
          <w:iCs w:val="0"/>
          <w:kern w:val="2"/>
          <w:lang w:val="en-US" w:eastAsia="zh-CN" w:bidi="ar-SA"/>
        </w:rPr>
      </w:pPr>
      <w:r>
        <w:rPr>
          <w:rFonts w:hint="default" w:ascii="Arial" w:hAnsi="Arial" w:cs="Arial" w:eastAsiaTheme="minorEastAsia"/>
          <w:b w:val="0"/>
          <w:bCs w:val="0"/>
          <w:i w:val="0"/>
          <w:iCs w:val="0"/>
          <w:kern w:val="2"/>
          <w:lang w:val="en-US" w:eastAsia="zh-CN" w:bidi="ar-SA"/>
        </w:rPr>
        <w:t xml:space="preserve">If option 3 is adopted, RAN2 needs to decides whether UAI message can be used to convey applicability reporting for a functionality in </w:t>
      </w:r>
      <w:r>
        <w:rPr>
          <w:rFonts w:hint="eastAsia" w:ascii="Arial" w:hAnsi="Arial" w:cs="Arial" w:eastAsiaTheme="minorEastAsia"/>
          <w:b w:val="0"/>
          <w:bCs w:val="0"/>
          <w:i w:val="0"/>
          <w:iCs w:val="0"/>
          <w:kern w:val="2"/>
          <w:lang w:val="en-US" w:eastAsia="zh-CN" w:bidi="ar-SA"/>
        </w:rPr>
        <w:t>neighbor</w:t>
      </w:r>
      <w:r>
        <w:rPr>
          <w:rFonts w:hint="default" w:ascii="Arial" w:hAnsi="Arial" w:cs="Arial" w:eastAsiaTheme="minorEastAsia"/>
          <w:b w:val="0"/>
          <w:bCs w:val="0"/>
          <w:i w:val="0"/>
          <w:iCs w:val="0"/>
          <w:kern w:val="2"/>
          <w:lang w:val="en-US" w:eastAsia="zh-CN" w:bidi="ar-SA"/>
        </w:rPr>
        <w:t xml:space="preserve"> cell. In option 3, the </w:t>
      </w:r>
      <w:r>
        <w:rPr>
          <w:rFonts w:hint="eastAsia" w:ascii="Arial" w:hAnsi="Arial" w:cs="Arial" w:eastAsiaTheme="minorEastAsia"/>
          <w:b w:val="0"/>
          <w:bCs w:val="0"/>
          <w:i w:val="0"/>
          <w:iCs w:val="0"/>
          <w:kern w:val="2"/>
          <w:lang w:val="en-US" w:eastAsia="zh-CN" w:bidi="ar-SA"/>
        </w:rPr>
        <w:t>functionality</w:t>
      </w:r>
      <w:r>
        <w:rPr>
          <w:rFonts w:hint="default" w:ascii="Arial" w:hAnsi="Arial" w:cs="Arial" w:eastAsiaTheme="minorEastAsia"/>
          <w:b w:val="0"/>
          <w:bCs w:val="0"/>
          <w:i w:val="0"/>
          <w:iCs w:val="0"/>
          <w:kern w:val="2"/>
          <w:lang w:val="en-US" w:eastAsia="zh-CN" w:bidi="ar-SA"/>
        </w:rPr>
        <w:t xml:space="preserve"> information, neighbor cell’s network side additional conditions, and part or full inference configuration may be provided to UE in step 3. Applicability reporting for the neighbor cell will be conveyed in UAI message. We don’t think it is a problem to use UAI for applicability reporting for neighbor cell.</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bCs/>
          <w:i w:val="0"/>
          <w:iCs w:val="0"/>
          <w:kern w:val="2"/>
          <w:lang w:val="en-US" w:eastAsia="zh-CN" w:bidi="ar-SA"/>
        </w:rPr>
      </w:pPr>
      <w:r>
        <w:rPr>
          <w:rFonts w:hint="eastAsia" w:ascii="Arial" w:hAnsi="Arial" w:cs="Arial" w:eastAsiaTheme="minorEastAsia"/>
          <w:b/>
          <w:bCs/>
          <w:i w:val="0"/>
          <w:iCs w:val="0"/>
          <w:kern w:val="2"/>
          <w:lang w:val="en-US" w:eastAsia="zh-CN" w:bidi="ar-SA"/>
        </w:rPr>
        <w:t xml:space="preserve">Proposal 9: </w:t>
      </w:r>
      <w:r>
        <w:rPr>
          <w:rFonts w:hint="default" w:ascii="Arial" w:hAnsi="Arial" w:cs="Arial" w:eastAsiaTheme="minorEastAsia"/>
          <w:b/>
          <w:bCs/>
          <w:i w:val="0"/>
          <w:iCs w:val="0"/>
          <w:kern w:val="2"/>
          <w:lang w:val="en-US" w:eastAsia="zh-CN" w:bidi="ar-SA"/>
        </w:rPr>
        <w:t xml:space="preserve">If option 3 is adopted, RAN2 to decide whether UAI message can be used to convey applicability reporting for </w:t>
      </w:r>
      <w:r>
        <w:rPr>
          <w:rFonts w:hint="eastAsia" w:ascii="Arial" w:hAnsi="Arial" w:cs="Arial" w:eastAsiaTheme="minorEastAsia"/>
          <w:b/>
          <w:bCs/>
          <w:i w:val="0"/>
          <w:iCs w:val="0"/>
          <w:kern w:val="2"/>
          <w:lang w:val="en-US" w:eastAsia="zh-CN" w:bidi="ar-SA"/>
        </w:rPr>
        <w:t>neighbor</w:t>
      </w:r>
      <w:r>
        <w:rPr>
          <w:rFonts w:hint="default" w:ascii="Arial" w:hAnsi="Arial" w:cs="Arial" w:eastAsiaTheme="minorEastAsia"/>
          <w:b/>
          <w:bCs/>
          <w:i w:val="0"/>
          <w:iCs w:val="0"/>
          <w:kern w:val="2"/>
          <w:lang w:val="en-US" w:eastAsia="zh-CN" w:bidi="ar-SA"/>
        </w:rPr>
        <w:t xml:space="preserve"> cell.</w:t>
      </w:r>
    </w:p>
    <w:p>
      <w:pPr>
        <w:pStyle w:val="31"/>
        <w:keepNext w:val="0"/>
        <w:keepLines w:val="0"/>
        <w:pageBreakBefore w:val="0"/>
        <w:widowControl/>
        <w:kinsoku/>
        <w:wordWrap/>
        <w:overflowPunct/>
        <w:topLinePunct w:val="0"/>
        <w:autoSpaceDE/>
        <w:autoSpaceDN/>
        <w:bidi w:val="0"/>
        <w:adjustRightInd/>
        <w:snapToGrid/>
        <w:spacing w:before="137" w:beforeLines="50" w:after="137" w:afterLines="50" w:line="240" w:lineRule="auto"/>
        <w:textAlignment w:val="auto"/>
        <w:rPr>
          <w:rFonts w:hint="default" w:ascii="Arial" w:hAnsi="Arial" w:cs="Arial"/>
          <w:i w:val="0"/>
          <w:iCs w:val="0"/>
          <w:lang w:val="en-US"/>
        </w:rPr>
      </w:pPr>
    </w:p>
    <w:p>
      <w:pPr>
        <w:pStyle w:val="2"/>
        <w:spacing w:before="72" w:beforeLines="30" w:after="72" w:afterLines="30" w:line="288" w:lineRule="auto"/>
        <w:rPr>
          <w:rFonts w:hint="default" w:ascii="Arial" w:hAnsi="Arial" w:eastAsia="宋体" w:cs="Arial"/>
        </w:rPr>
      </w:pPr>
      <w:r>
        <w:rPr>
          <w:rFonts w:hint="default" w:ascii="Arial" w:hAnsi="Arial" w:eastAsia="宋体" w:cs="Arial"/>
        </w:rPr>
        <w:t>Conclusion</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iCs/>
          <w:kern w:val="2"/>
          <w:u w:val="single"/>
          <w:lang w:val="en-US" w:eastAsia="zh-CN" w:bidi="ar-SA"/>
        </w:rPr>
      </w:pPr>
      <w:r>
        <w:rPr>
          <w:rFonts w:hint="eastAsia" w:ascii="Arial" w:hAnsi="Arial" w:cs="Arial" w:eastAsiaTheme="minorEastAsia"/>
          <w:b w:val="0"/>
          <w:bCs w:val="0"/>
          <w:i/>
          <w:iCs/>
          <w:kern w:val="2"/>
          <w:u w:val="single"/>
          <w:lang w:val="en-US" w:eastAsia="zh-CN" w:bidi="ar-SA"/>
        </w:rPr>
        <w:t xml:space="preserve">On Signaling of functionality applicability reporting </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r>
        <w:rPr>
          <w:rFonts w:hint="eastAsia" w:ascii="Arial" w:hAnsi="Arial" w:cs="Arial"/>
          <w:b/>
          <w:bCs/>
          <w:lang w:val="en-US" w:eastAsia="zh-CN"/>
        </w:rPr>
        <w:t xml:space="preserve">Proposal 1: RRCResume/RRCResumeComplete can be used to report applicable functionalities. </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r>
        <w:rPr>
          <w:rFonts w:hint="eastAsia" w:ascii="Arial" w:hAnsi="Arial" w:cs="Arial"/>
          <w:b/>
          <w:bCs/>
          <w:lang w:val="en-US" w:eastAsia="zh-CN"/>
        </w:rPr>
        <w:t>Proposal 2: RAN2 to wait for RAN1</w:t>
      </w:r>
      <w:r>
        <w:rPr>
          <w:rFonts w:hint="default" w:ascii="Arial" w:hAnsi="Arial" w:cs="Arial"/>
          <w:b/>
          <w:bCs/>
          <w:lang w:val="en-US" w:eastAsia="zh-CN"/>
        </w:rPr>
        <w:t>’</w:t>
      </w:r>
      <w:r>
        <w:rPr>
          <w:rFonts w:hint="eastAsia" w:ascii="Arial" w:hAnsi="Arial" w:cs="Arial"/>
          <w:b/>
          <w:bCs/>
          <w:lang w:val="en-US" w:eastAsia="zh-CN"/>
        </w:rPr>
        <w:t>s input before decide whether inference configuration can be signaled in step 3 and applicability reporting content.</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eastAsiaTheme="minorEastAsia"/>
          <w:highlight w:val="cyan"/>
        </w:rPr>
      </w:pP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iCs/>
          <w:kern w:val="2"/>
          <w:u w:val="single"/>
          <w:lang w:val="en-US" w:eastAsia="zh-CN" w:bidi="ar-SA"/>
        </w:rPr>
      </w:pPr>
      <w:r>
        <w:rPr>
          <w:rFonts w:hint="eastAsia" w:ascii="Arial" w:hAnsi="Arial" w:cs="Arial" w:eastAsiaTheme="minorEastAsia"/>
          <w:b w:val="0"/>
          <w:bCs w:val="0"/>
          <w:i/>
          <w:iCs/>
          <w:kern w:val="2"/>
          <w:u w:val="single"/>
          <w:lang w:val="en-US" w:eastAsia="zh-CN" w:bidi="ar-SA"/>
        </w:rPr>
        <w:t>On reporting for applicability change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r>
        <w:rPr>
          <w:rFonts w:hint="eastAsia" w:ascii="Arial" w:hAnsi="Arial" w:cs="Arial"/>
          <w:b/>
          <w:bCs/>
          <w:lang w:val="en-US" w:eastAsia="zh-CN"/>
        </w:rPr>
        <w:t>Proposal 3: RAN2 to confirm that reporting for applicability change of a functionality is triggered if the functionality that has reported as applicable to the NW before.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b/>
          <w:bCs/>
          <w:lang w:val="en-US" w:eastAsia="zh-CN"/>
        </w:rPr>
      </w:pPr>
      <w:r>
        <w:rPr>
          <w:rFonts w:hint="eastAsia" w:ascii="Arial" w:hAnsi="Arial" w:cs="Arial"/>
          <w:b/>
          <w:bCs/>
          <w:lang w:val="en-US" w:eastAsia="zh-CN"/>
        </w:rPr>
        <w:t>Proposal 4: If additional information is needed for the functionality that is reported as non-applicable , e.g. to include the cause of non-applicable, explicit signaling of the non-applicable functionality is adopt in the reporting.</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b/>
          <w:bCs/>
          <w:lang w:val="en-US" w:eastAsia="zh-CN"/>
        </w:rPr>
      </w:pPr>
      <w:r>
        <w:rPr>
          <w:rFonts w:hint="eastAsia" w:ascii="Arial" w:hAnsi="Arial" w:cs="Arial"/>
          <w:b/>
          <w:bCs/>
          <w:lang w:val="en-US" w:eastAsia="zh-CN"/>
        </w:rPr>
        <w:t>Observation 1: Both active and deactivated functionality may become inapplicable if UE side additional condition and UE side hardware capacity changes after applicability reporting.</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b/>
          <w:bCs/>
          <w:lang w:val="en-US" w:eastAsia="zh-CN"/>
        </w:rPr>
      </w:pPr>
      <w:r>
        <w:rPr>
          <w:rFonts w:hint="eastAsia" w:ascii="Arial" w:hAnsi="Arial" w:cs="Arial"/>
          <w:b/>
          <w:bCs/>
          <w:lang w:val="en-US" w:eastAsia="zh-CN"/>
        </w:rPr>
        <w:t>Proposal 5: The reporting for applicability change shall be triggered when either active or deactivated functionality becomes inapplicable.</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eastAsiaTheme="minorEastAsia"/>
          <w:highlight w:val="cyan"/>
        </w:rPr>
      </w:pP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iCs/>
          <w:kern w:val="2"/>
          <w:u w:val="single"/>
          <w:lang w:val="en-US" w:eastAsia="zh-CN" w:bidi="ar-SA"/>
        </w:rPr>
      </w:pPr>
      <w:r>
        <w:rPr>
          <w:rFonts w:hint="default" w:ascii="Arial" w:hAnsi="Arial" w:cs="Arial" w:eastAsiaTheme="minorEastAsia"/>
          <w:b w:val="0"/>
          <w:bCs w:val="0"/>
          <w:i/>
          <w:iCs/>
          <w:kern w:val="2"/>
          <w:u w:val="single"/>
          <w:lang w:val="en-US" w:eastAsia="zh-CN" w:bidi="ar-SA"/>
        </w:rPr>
        <w:t>Data Collection and model training</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b/>
          <w:bCs/>
          <w:lang w:val="en-US" w:eastAsia="zh-CN"/>
        </w:rPr>
      </w:pPr>
      <w:r>
        <w:rPr>
          <w:rFonts w:hint="eastAsia" w:ascii="Arial" w:hAnsi="Arial" w:cs="Arial"/>
          <w:b/>
          <w:bCs/>
          <w:lang w:val="en-US" w:eastAsia="zh-CN"/>
        </w:rPr>
        <w:t xml:space="preserve">Proposal 6: RAN2 to adopt option 1, i.e. UE sends RRC message directly to serving gNB to request configuration for data collection for UE side model training. </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ascii="Arial" w:hAnsi="Arial" w:cs="Arial" w:eastAsiaTheme="minorEastAsia"/>
          <w:b/>
          <w:bCs/>
          <w:lang w:val="en-US" w:eastAsia="zh-CN"/>
        </w:rPr>
      </w:pPr>
      <w:r>
        <w:rPr>
          <w:rFonts w:hint="eastAsia" w:ascii="Arial" w:hAnsi="Arial" w:cs="Arial" w:eastAsiaTheme="minorEastAsia"/>
          <w:b/>
          <w:bCs/>
          <w:lang w:val="en-US" w:eastAsia="zh-CN"/>
        </w:rPr>
        <w:t>Proposal 7: RAN 2 to consider following methods for network control of the initiation and configuration for data collection:</w:t>
      </w:r>
    </w:p>
    <w:p>
      <w:pPr>
        <w:keepNext w:val="0"/>
        <w:keepLines w:val="0"/>
        <w:pageBreakBefore w:val="0"/>
        <w:widowControl/>
        <w:numPr>
          <w:ilvl w:val="0"/>
          <w:numId w:val="13"/>
        </w:numPr>
        <w:tabs>
          <w:tab w:val="clear" w:pos="840"/>
        </w:tabs>
        <w:kinsoku/>
        <w:wordWrap/>
        <w:overflowPunct/>
        <w:topLinePunct w:val="0"/>
        <w:autoSpaceDE/>
        <w:autoSpaceDN/>
        <w:bidi w:val="0"/>
        <w:adjustRightInd/>
        <w:snapToGrid/>
        <w:spacing w:before="137" w:beforeLines="50" w:after="137" w:afterLines="50"/>
        <w:ind w:left="1260" w:leftChars="0" w:hanging="420" w:firstLineChars="0"/>
        <w:textAlignment w:val="auto"/>
        <w:rPr>
          <w:rFonts w:hint="default" w:ascii="Arial" w:hAnsi="Arial" w:cs="Arial" w:eastAsiaTheme="minorEastAsia"/>
          <w:b/>
          <w:bCs/>
          <w:lang w:val="en-US" w:eastAsia="zh-CN"/>
        </w:rPr>
      </w:pPr>
      <w:r>
        <w:rPr>
          <w:rFonts w:hint="eastAsia" w:ascii="Arial" w:hAnsi="Arial" w:cs="Arial" w:eastAsiaTheme="minorEastAsia"/>
          <w:b/>
          <w:bCs/>
          <w:lang w:val="en-US" w:eastAsia="zh-CN"/>
        </w:rPr>
        <w:t>The network can configure whether UE is allowed to initiate request for data collection.</w:t>
      </w:r>
    </w:p>
    <w:p>
      <w:pPr>
        <w:keepNext w:val="0"/>
        <w:keepLines w:val="0"/>
        <w:pageBreakBefore w:val="0"/>
        <w:widowControl/>
        <w:numPr>
          <w:ilvl w:val="0"/>
          <w:numId w:val="13"/>
        </w:numPr>
        <w:tabs>
          <w:tab w:val="clear" w:pos="840"/>
        </w:tabs>
        <w:kinsoku/>
        <w:wordWrap/>
        <w:overflowPunct/>
        <w:topLinePunct w:val="0"/>
        <w:autoSpaceDE/>
        <w:autoSpaceDN/>
        <w:bidi w:val="0"/>
        <w:adjustRightInd/>
        <w:snapToGrid/>
        <w:spacing w:before="137" w:beforeLines="50" w:after="137" w:afterLines="50"/>
        <w:ind w:left="1260" w:leftChars="0" w:hanging="420" w:firstLineChars="0"/>
        <w:textAlignment w:val="auto"/>
        <w:rPr>
          <w:rFonts w:hint="default" w:ascii="Arial" w:hAnsi="Arial" w:cs="Arial" w:eastAsiaTheme="minorEastAsia"/>
          <w:b/>
          <w:bCs/>
          <w:lang w:val="en-US" w:eastAsia="zh-CN"/>
        </w:rPr>
      </w:pPr>
      <w:r>
        <w:rPr>
          <w:rFonts w:hint="eastAsia" w:ascii="Arial" w:hAnsi="Arial" w:cs="Arial" w:eastAsiaTheme="minorEastAsia"/>
          <w:b/>
          <w:bCs/>
          <w:lang w:val="en-US" w:eastAsia="zh-CN"/>
        </w:rPr>
        <w:t>The network can decide whether to accept UE</w:t>
      </w:r>
      <w:r>
        <w:rPr>
          <w:rFonts w:hint="default" w:ascii="Arial" w:hAnsi="Arial" w:cs="Arial" w:eastAsiaTheme="minorEastAsia"/>
          <w:b/>
          <w:bCs/>
          <w:lang w:val="en-US" w:eastAsia="zh-CN"/>
        </w:rPr>
        <w:t>’</w:t>
      </w:r>
      <w:r>
        <w:rPr>
          <w:rFonts w:hint="eastAsia" w:ascii="Arial" w:hAnsi="Arial" w:cs="Arial" w:eastAsiaTheme="minorEastAsia"/>
          <w:b/>
          <w:bCs/>
          <w:lang w:val="en-US" w:eastAsia="zh-CN"/>
        </w:rPr>
        <w:t xml:space="preserve">s request for data collection. </w:t>
      </w:r>
    </w:p>
    <w:p>
      <w:pPr>
        <w:keepNext w:val="0"/>
        <w:keepLines w:val="0"/>
        <w:pageBreakBefore w:val="0"/>
        <w:widowControl/>
        <w:numPr>
          <w:ilvl w:val="0"/>
          <w:numId w:val="13"/>
        </w:numPr>
        <w:tabs>
          <w:tab w:val="clear" w:pos="840"/>
        </w:tabs>
        <w:kinsoku/>
        <w:wordWrap/>
        <w:overflowPunct/>
        <w:topLinePunct w:val="0"/>
        <w:autoSpaceDE/>
        <w:autoSpaceDN/>
        <w:bidi w:val="0"/>
        <w:adjustRightInd/>
        <w:snapToGrid/>
        <w:spacing w:before="137" w:beforeLines="50" w:after="137" w:afterLines="50"/>
        <w:ind w:left="1260" w:leftChars="0" w:hanging="420" w:firstLineChars="0"/>
        <w:textAlignment w:val="auto"/>
        <w:rPr>
          <w:rFonts w:hint="default" w:ascii="Arial" w:hAnsi="Arial" w:cs="Arial" w:eastAsiaTheme="minorEastAsia"/>
          <w:b/>
          <w:bCs/>
          <w:lang w:val="en-US" w:eastAsia="zh-CN"/>
        </w:rPr>
      </w:pPr>
      <w:r>
        <w:rPr>
          <w:rFonts w:hint="eastAsia" w:ascii="Arial" w:hAnsi="Arial" w:cs="Arial" w:eastAsiaTheme="minorEastAsia"/>
          <w:b/>
          <w:bCs/>
          <w:lang w:val="en-US" w:eastAsia="zh-CN"/>
        </w:rPr>
        <w:t>The network can decide when to start/stop the configuration for data collection.</w:t>
      </w:r>
    </w:p>
    <w:p>
      <w:pPr>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ascii="Arial" w:hAnsi="Arial" w:cs="Arial" w:eastAsiaTheme="minorEastAsia"/>
          <w:highlight w:val="cyan"/>
        </w:rPr>
      </w:pP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val="0"/>
          <w:bCs w:val="0"/>
          <w:i/>
          <w:iCs/>
          <w:kern w:val="2"/>
          <w:u w:val="single"/>
          <w:lang w:val="en-US" w:eastAsia="zh-CN" w:bidi="ar-SA"/>
        </w:rPr>
      </w:pPr>
      <w:r>
        <w:rPr>
          <w:rFonts w:hint="default" w:ascii="Arial" w:hAnsi="Arial" w:cs="Arial" w:eastAsiaTheme="minorEastAsia"/>
          <w:b w:val="0"/>
          <w:bCs w:val="0"/>
          <w:i/>
          <w:iCs/>
          <w:kern w:val="2"/>
          <w:u w:val="single"/>
          <w:lang w:val="en-US" w:eastAsia="zh-CN" w:bidi="ar-SA"/>
        </w:rPr>
        <w:t xml:space="preserve">Applicability </w:t>
      </w:r>
      <w:r>
        <w:rPr>
          <w:rFonts w:hint="eastAsia" w:ascii="Arial" w:hAnsi="Arial" w:cs="Arial" w:eastAsiaTheme="minorEastAsia"/>
          <w:b w:val="0"/>
          <w:bCs w:val="0"/>
          <w:i/>
          <w:iCs/>
          <w:kern w:val="2"/>
          <w:u w:val="single"/>
          <w:lang w:val="en-US" w:eastAsia="zh-CN" w:bidi="ar-SA"/>
        </w:rPr>
        <w:t xml:space="preserve">reporting </w:t>
      </w:r>
      <w:r>
        <w:rPr>
          <w:rFonts w:hint="default" w:ascii="Arial" w:hAnsi="Arial" w:cs="Arial" w:eastAsiaTheme="minorEastAsia"/>
          <w:b w:val="0"/>
          <w:bCs w:val="0"/>
          <w:i/>
          <w:iCs/>
          <w:kern w:val="2"/>
          <w:u w:val="single"/>
          <w:lang w:val="en-US" w:eastAsia="zh-CN" w:bidi="ar-SA"/>
        </w:rPr>
        <w:t>during mobility aspect</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bCs/>
          <w:i w:val="0"/>
          <w:iCs w:val="0"/>
          <w:kern w:val="2"/>
          <w:lang w:val="en-US" w:eastAsia="zh-CN" w:bidi="ar-SA"/>
        </w:rPr>
      </w:pPr>
      <w:r>
        <w:rPr>
          <w:rFonts w:hint="eastAsia" w:ascii="Arial" w:hAnsi="Arial" w:cs="Arial" w:eastAsiaTheme="minorEastAsia"/>
          <w:b/>
          <w:bCs/>
          <w:i w:val="0"/>
          <w:iCs w:val="0"/>
          <w:kern w:val="2"/>
          <w:lang w:val="en-US" w:eastAsia="zh-CN" w:bidi="ar-SA"/>
        </w:rPr>
        <w:t xml:space="preserve">Proposal 8: </w:t>
      </w:r>
      <w:r>
        <w:rPr>
          <w:rFonts w:hint="default" w:ascii="Arial" w:hAnsi="Arial" w:cs="Arial" w:eastAsiaTheme="minorEastAsia"/>
          <w:b/>
          <w:bCs/>
          <w:i w:val="0"/>
          <w:iCs w:val="0"/>
          <w:kern w:val="2"/>
          <w:lang w:val="en-US" w:eastAsia="zh-CN" w:bidi="ar-SA"/>
        </w:rPr>
        <w:t>RAN2 to consider following options regarding the applicability reporting and inference configuration during mobility:</w:t>
      </w:r>
    </w:p>
    <w:p>
      <w:pPr>
        <w:keepNext w:val="0"/>
        <w:keepLines w:val="0"/>
        <w:pageBreakBefore w:val="0"/>
        <w:widowControl/>
        <w:numPr>
          <w:ilvl w:val="0"/>
          <w:numId w:val="14"/>
        </w:numPr>
        <w:kinsoku/>
        <w:wordWrap/>
        <w:overflowPunct/>
        <w:topLinePunct w:val="0"/>
        <w:autoSpaceDE/>
        <w:autoSpaceDN/>
        <w:bidi w:val="0"/>
        <w:adjustRightInd/>
        <w:snapToGrid/>
        <w:spacing w:before="137" w:beforeLines="50" w:after="137" w:afterLines="50" w:line="240" w:lineRule="auto"/>
        <w:ind w:left="1420" w:hanging="420"/>
        <w:jc w:val="left"/>
        <w:textAlignment w:val="auto"/>
        <w:rPr>
          <w:rFonts w:hint="default" w:ascii="Arial" w:hAnsi="Arial" w:cs="Arial" w:eastAsiaTheme="minorEastAsia"/>
          <w:b/>
          <w:bCs/>
          <w:i w:val="0"/>
          <w:iCs w:val="0"/>
          <w:kern w:val="2"/>
          <w:lang w:val="en-US" w:eastAsia="zh-CN" w:bidi="ar-SA"/>
        </w:rPr>
      </w:pPr>
      <w:r>
        <w:rPr>
          <w:rFonts w:hint="default" w:ascii="Arial" w:hAnsi="Arial" w:cs="Arial" w:eastAsiaTheme="minorEastAsia"/>
          <w:b/>
          <w:bCs/>
          <w:i w:val="0"/>
          <w:iCs w:val="0"/>
          <w:kern w:val="2"/>
          <w:lang w:val="en-US" w:eastAsia="zh-CN" w:bidi="ar-SA"/>
        </w:rPr>
        <w:t>Option 1: Target cell requests applicability reporting during or after handover.</w:t>
      </w:r>
    </w:p>
    <w:p>
      <w:pPr>
        <w:keepNext w:val="0"/>
        <w:keepLines w:val="0"/>
        <w:pageBreakBefore w:val="0"/>
        <w:widowControl/>
        <w:numPr>
          <w:ilvl w:val="0"/>
          <w:numId w:val="14"/>
        </w:numPr>
        <w:kinsoku/>
        <w:wordWrap/>
        <w:overflowPunct/>
        <w:topLinePunct w:val="0"/>
        <w:autoSpaceDE/>
        <w:autoSpaceDN/>
        <w:bidi w:val="0"/>
        <w:adjustRightInd/>
        <w:snapToGrid/>
        <w:spacing w:before="137" w:beforeLines="50" w:after="137" w:afterLines="50" w:line="240" w:lineRule="auto"/>
        <w:ind w:left="1420" w:hanging="420"/>
        <w:jc w:val="left"/>
        <w:textAlignment w:val="auto"/>
        <w:rPr>
          <w:rFonts w:hint="default" w:ascii="Arial" w:hAnsi="Arial" w:cs="Arial" w:eastAsiaTheme="minorEastAsia"/>
          <w:b/>
          <w:bCs/>
          <w:i w:val="0"/>
          <w:iCs w:val="0"/>
          <w:kern w:val="2"/>
          <w:lang w:val="en-US" w:eastAsia="zh-CN" w:bidi="ar-SA"/>
        </w:rPr>
      </w:pPr>
      <w:r>
        <w:rPr>
          <w:rFonts w:hint="default" w:ascii="Arial" w:hAnsi="Arial" w:cs="Arial" w:eastAsiaTheme="minorEastAsia"/>
          <w:b/>
          <w:bCs/>
          <w:i w:val="0"/>
          <w:iCs w:val="0"/>
          <w:kern w:val="2"/>
          <w:lang w:val="en-US" w:eastAsia="zh-CN" w:bidi="ar-SA"/>
        </w:rPr>
        <w:t>Option 2: Source cell transfers source cell’s applicability information to target cell to assist inference configuration in target cell.</w:t>
      </w:r>
    </w:p>
    <w:p>
      <w:pPr>
        <w:keepNext w:val="0"/>
        <w:keepLines w:val="0"/>
        <w:pageBreakBefore w:val="0"/>
        <w:widowControl/>
        <w:numPr>
          <w:ilvl w:val="0"/>
          <w:numId w:val="14"/>
        </w:numPr>
        <w:kinsoku/>
        <w:wordWrap/>
        <w:overflowPunct/>
        <w:topLinePunct w:val="0"/>
        <w:autoSpaceDE/>
        <w:autoSpaceDN/>
        <w:bidi w:val="0"/>
        <w:adjustRightInd/>
        <w:snapToGrid/>
        <w:spacing w:before="137" w:beforeLines="50" w:after="137" w:afterLines="50" w:line="240" w:lineRule="auto"/>
        <w:ind w:left="1420" w:hanging="420"/>
        <w:jc w:val="left"/>
        <w:textAlignment w:val="auto"/>
        <w:rPr>
          <w:rFonts w:hint="default" w:ascii="Arial" w:hAnsi="Arial" w:cs="Arial" w:eastAsiaTheme="minorEastAsia"/>
          <w:b/>
          <w:bCs/>
          <w:i w:val="0"/>
          <w:iCs w:val="0"/>
          <w:kern w:val="2"/>
          <w:lang w:val="en-US" w:eastAsia="zh-CN" w:bidi="ar-SA"/>
        </w:rPr>
      </w:pPr>
      <w:r>
        <w:rPr>
          <w:rFonts w:hint="default" w:ascii="Arial" w:hAnsi="Arial" w:cs="Arial" w:eastAsiaTheme="minorEastAsia"/>
          <w:b/>
          <w:bCs/>
          <w:i w:val="0"/>
          <w:iCs w:val="0"/>
          <w:kern w:val="2"/>
          <w:lang w:val="en-US" w:eastAsia="zh-CN" w:bidi="ar-SA"/>
        </w:rPr>
        <w:t>Option 3: Source cell requests applicability reporting for target cell with target cell’s network-side additional conditions.</w:t>
      </w:r>
    </w:p>
    <w:p>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hint="default" w:ascii="Arial" w:hAnsi="Arial" w:cs="Arial" w:eastAsiaTheme="minorEastAsia"/>
          <w:b/>
          <w:bCs/>
          <w:i w:val="0"/>
          <w:iCs w:val="0"/>
          <w:kern w:val="2"/>
          <w:lang w:val="en-US" w:eastAsia="zh-CN" w:bidi="ar-SA"/>
        </w:rPr>
      </w:pPr>
      <w:r>
        <w:rPr>
          <w:rFonts w:hint="eastAsia" w:ascii="Arial" w:hAnsi="Arial" w:cs="Arial" w:eastAsiaTheme="minorEastAsia"/>
          <w:b/>
          <w:bCs/>
          <w:i w:val="0"/>
          <w:iCs w:val="0"/>
          <w:kern w:val="2"/>
          <w:lang w:val="en-US" w:eastAsia="zh-CN" w:bidi="ar-SA"/>
        </w:rPr>
        <w:t xml:space="preserve">Proposal 9: </w:t>
      </w:r>
      <w:r>
        <w:rPr>
          <w:rFonts w:hint="default" w:ascii="Arial" w:hAnsi="Arial" w:cs="Arial" w:eastAsiaTheme="minorEastAsia"/>
          <w:b/>
          <w:bCs/>
          <w:i w:val="0"/>
          <w:iCs w:val="0"/>
          <w:kern w:val="2"/>
          <w:lang w:val="en-US" w:eastAsia="zh-CN" w:bidi="ar-SA"/>
        </w:rPr>
        <w:t>If option 3 is adopted, RAN2 to decide whether UAI</w:t>
      </w:r>
      <w:bookmarkStart w:id="2" w:name="_GoBack"/>
      <w:bookmarkEnd w:id="2"/>
      <w:r>
        <w:rPr>
          <w:rFonts w:hint="default" w:ascii="Arial" w:hAnsi="Arial" w:cs="Arial" w:eastAsiaTheme="minorEastAsia"/>
          <w:b/>
          <w:bCs/>
          <w:i w:val="0"/>
          <w:iCs w:val="0"/>
          <w:kern w:val="2"/>
          <w:lang w:val="en-US" w:eastAsia="zh-CN" w:bidi="ar-SA"/>
        </w:rPr>
        <w:t xml:space="preserve"> message can be used to convey applicability reporting for </w:t>
      </w:r>
      <w:r>
        <w:rPr>
          <w:rFonts w:hint="eastAsia" w:ascii="Arial" w:hAnsi="Arial" w:cs="Arial" w:eastAsiaTheme="minorEastAsia"/>
          <w:b/>
          <w:bCs/>
          <w:i w:val="0"/>
          <w:iCs w:val="0"/>
          <w:kern w:val="2"/>
          <w:lang w:val="en-US" w:eastAsia="zh-CN" w:bidi="ar-SA"/>
        </w:rPr>
        <w:t>neighbor</w:t>
      </w:r>
      <w:r>
        <w:rPr>
          <w:rFonts w:hint="default" w:ascii="Arial" w:hAnsi="Arial" w:cs="Arial" w:eastAsiaTheme="minorEastAsia"/>
          <w:b/>
          <w:bCs/>
          <w:i w:val="0"/>
          <w:iCs w:val="0"/>
          <w:kern w:val="2"/>
          <w:lang w:val="en-US" w:eastAsia="zh-CN" w:bidi="ar-SA"/>
        </w:rPr>
        <w:t xml:space="preserve"> cell.</w:t>
      </w:r>
    </w:p>
    <w:p>
      <w:pPr>
        <w:snapToGrid w:val="0"/>
        <w:spacing w:before="120" w:beforeLines="0" w:after="120" w:afterLines="0"/>
        <w:rPr>
          <w:rFonts w:hint="default" w:ascii="Arial" w:hAnsi="Arial" w:cs="Arial" w:eastAsiaTheme="minorEastAsia"/>
          <w:highlight w:val="cyan"/>
        </w:rPr>
      </w:pPr>
    </w:p>
    <w:p>
      <w:pPr>
        <w:pStyle w:val="2"/>
        <w:spacing w:before="72" w:beforeLines="30" w:after="72" w:afterLines="30" w:line="288" w:lineRule="auto"/>
        <w:rPr>
          <w:rFonts w:hint="default" w:ascii="Arial" w:hAnsi="Arial" w:eastAsia="宋体" w:cs="Arial"/>
        </w:rPr>
      </w:pPr>
      <w:r>
        <w:rPr>
          <w:rFonts w:hint="default" w:ascii="Arial" w:hAnsi="Arial" w:eastAsia="宋体" w:cs="Arial"/>
        </w:rPr>
        <w:t>References</w:t>
      </w:r>
    </w:p>
    <w:p>
      <w:pPr>
        <w:numPr>
          <w:ilvl w:val="0"/>
          <w:numId w:val="15"/>
        </w:numPr>
        <w:spacing w:before="120" w:after="120"/>
        <w:rPr>
          <w:rFonts w:hint="default" w:ascii="Arial" w:hAnsi="Arial" w:cs="Arial" w:eastAsiaTheme="minorEastAsia"/>
        </w:rPr>
      </w:pPr>
      <w:r>
        <w:rPr>
          <w:rFonts w:hint="default" w:ascii="Arial" w:hAnsi="Arial" w:cs="Arial" w:eastAsiaTheme="minorEastAsia"/>
        </w:rPr>
        <w:t>RAN2#127</w:t>
      </w:r>
      <w:r>
        <w:rPr>
          <w:rFonts w:hint="default" w:ascii="Arial" w:hAnsi="Arial" w:cs="Arial" w:eastAsiaTheme="minorEastAsia"/>
          <w:lang w:val="en-US" w:eastAsia="zh-CN"/>
        </w:rPr>
        <w:t>bis</w:t>
      </w:r>
      <w:r>
        <w:rPr>
          <w:rFonts w:hint="default" w:ascii="Arial" w:hAnsi="Arial" w:cs="Arial" w:eastAsiaTheme="minorEastAsia"/>
        </w:rPr>
        <w:t xml:space="preserve"> chairman notes</w:t>
      </w:r>
    </w:p>
    <w:p>
      <w:pPr>
        <w:numPr>
          <w:ilvl w:val="0"/>
          <w:numId w:val="15"/>
        </w:numPr>
        <w:spacing w:before="120" w:after="120"/>
        <w:rPr>
          <w:rFonts w:hint="default" w:ascii="Arial" w:hAnsi="Arial" w:cs="Arial" w:eastAsiaTheme="minorEastAsia"/>
          <w:lang w:val="en-US" w:eastAsia="zh-CN"/>
        </w:rPr>
      </w:pPr>
      <w:r>
        <w:rPr>
          <w:rFonts w:hint="default" w:ascii="Arial" w:hAnsi="Arial" w:cs="Arial" w:eastAsiaTheme="minorEastAsia"/>
          <w:lang w:val="en-US" w:eastAsia="zh-CN"/>
        </w:rPr>
        <w:t>R1-2409222 Session notes for 9.1 (</w:t>
      </w:r>
      <w:bookmarkStart w:id="0" w:name="_Toc156813287"/>
      <w:bookmarkStart w:id="1" w:name="_Toc101357082"/>
      <w:r>
        <w:rPr>
          <w:rFonts w:hint="default" w:ascii="Arial" w:hAnsi="Arial" w:cs="Arial" w:eastAsiaTheme="minorEastAsia"/>
          <w:lang w:val="en-US" w:eastAsia="zh-CN"/>
        </w:rPr>
        <w:t>Artificial Intelligence (AI)/Machine Learning (ML) for NR Air Interface</w:t>
      </w:r>
      <w:bookmarkEnd w:id="0"/>
      <w:bookmarkEnd w:id="1"/>
      <w:r>
        <w:rPr>
          <w:rFonts w:hint="default" w:ascii="Arial" w:hAnsi="Arial" w:cs="Arial" w:eastAsiaTheme="minorEastAsia"/>
          <w:lang w:val="en-US" w:eastAsia="zh-CN"/>
        </w:rPr>
        <w:t>), Ad-hoc Chair (CMCC), RAN1#118bis</w:t>
      </w: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44CF6D"/>
    <w:multiLevelType w:val="multilevel"/>
    <w:tmpl w:val="8744CF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Batang" w:hAnsi="Batang"/>
      </w:rPr>
    </w:lvl>
    <w:lvl w:ilvl="2" w:tentative="0">
      <w:start w:val="1"/>
      <w:numFmt w:val="bullet"/>
      <w:lvlText w:val=""/>
      <w:lvlJc w:val="left"/>
      <w:pPr>
        <w:tabs>
          <w:tab w:val="left" w:pos="1260"/>
        </w:tabs>
        <w:ind w:left="1260" w:leftChars="0" w:hanging="420" w:firstLineChars="0"/>
      </w:pPr>
      <w:rPr>
        <w:rFonts w:hint="default" w:ascii="Batang" w:hAnsi="Batang"/>
      </w:rPr>
    </w:lvl>
    <w:lvl w:ilvl="3" w:tentative="0">
      <w:start w:val="1"/>
      <w:numFmt w:val="bullet"/>
      <w:lvlText w:val=""/>
      <w:lvlJc w:val="left"/>
      <w:pPr>
        <w:tabs>
          <w:tab w:val="left" w:pos="1680"/>
        </w:tabs>
        <w:ind w:left="1680" w:leftChars="0" w:hanging="420" w:firstLineChars="0"/>
      </w:pPr>
      <w:rPr>
        <w:rFonts w:hint="default" w:ascii="Batang" w:hAnsi="Batang"/>
      </w:rPr>
    </w:lvl>
    <w:lvl w:ilvl="4" w:tentative="0">
      <w:start w:val="1"/>
      <w:numFmt w:val="bullet"/>
      <w:lvlText w:val=""/>
      <w:lvlJc w:val="left"/>
      <w:pPr>
        <w:tabs>
          <w:tab w:val="left" w:pos="2100"/>
        </w:tabs>
        <w:ind w:left="2100" w:leftChars="0" w:hanging="420" w:firstLineChars="0"/>
      </w:pPr>
      <w:rPr>
        <w:rFonts w:hint="default" w:ascii="Batang" w:hAnsi="Batang"/>
      </w:rPr>
    </w:lvl>
    <w:lvl w:ilvl="5" w:tentative="0">
      <w:start w:val="1"/>
      <w:numFmt w:val="bullet"/>
      <w:lvlText w:val=""/>
      <w:lvlJc w:val="left"/>
      <w:pPr>
        <w:tabs>
          <w:tab w:val="left" w:pos="2520"/>
        </w:tabs>
        <w:ind w:left="2520" w:leftChars="0" w:hanging="420" w:firstLineChars="0"/>
      </w:pPr>
      <w:rPr>
        <w:rFonts w:hint="default" w:ascii="Batang" w:hAnsi="Batang"/>
      </w:rPr>
    </w:lvl>
    <w:lvl w:ilvl="6" w:tentative="0">
      <w:start w:val="1"/>
      <w:numFmt w:val="bullet"/>
      <w:lvlText w:val=""/>
      <w:lvlJc w:val="left"/>
      <w:pPr>
        <w:tabs>
          <w:tab w:val="left" w:pos="2940"/>
        </w:tabs>
        <w:ind w:left="2940" w:leftChars="0" w:hanging="420" w:firstLineChars="0"/>
      </w:pPr>
      <w:rPr>
        <w:rFonts w:hint="default" w:ascii="Batang" w:hAnsi="Batang"/>
      </w:rPr>
    </w:lvl>
    <w:lvl w:ilvl="7" w:tentative="0">
      <w:start w:val="1"/>
      <w:numFmt w:val="bullet"/>
      <w:lvlText w:val=""/>
      <w:lvlJc w:val="left"/>
      <w:pPr>
        <w:tabs>
          <w:tab w:val="left" w:pos="3360"/>
        </w:tabs>
        <w:ind w:left="3360" w:leftChars="0" w:hanging="420" w:firstLineChars="0"/>
      </w:pPr>
      <w:rPr>
        <w:rFonts w:hint="default" w:ascii="Batang" w:hAnsi="Batang"/>
      </w:rPr>
    </w:lvl>
    <w:lvl w:ilvl="8" w:tentative="0">
      <w:start w:val="1"/>
      <w:numFmt w:val="bullet"/>
      <w:lvlText w:val=""/>
      <w:lvlJc w:val="left"/>
      <w:pPr>
        <w:tabs>
          <w:tab w:val="left" w:pos="3780"/>
        </w:tabs>
        <w:ind w:left="3780" w:leftChars="0" w:hanging="420" w:firstLineChars="0"/>
      </w:pPr>
      <w:rPr>
        <w:rFonts w:hint="default" w:ascii="Batang" w:hAnsi="Batang"/>
      </w:rPr>
    </w:lvl>
  </w:abstractNum>
  <w:abstractNum w:abstractNumId="1">
    <w:nsid w:val="97DB802A"/>
    <w:multiLevelType w:val="multilevel"/>
    <w:tmpl w:val="97DB802A"/>
    <w:lvl w:ilvl="0" w:tentative="0">
      <w:start w:val="1"/>
      <w:numFmt w:val="bullet"/>
      <w:pStyle w:val="34"/>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2">
    <w:nsid w:val="A77CE003"/>
    <w:multiLevelType w:val="singleLevel"/>
    <w:tmpl w:val="A77CE003"/>
    <w:lvl w:ilvl="0" w:tentative="0">
      <w:start w:val="1"/>
      <w:numFmt w:val="decimal"/>
      <w:pStyle w:val="30"/>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3">
    <w:nsid w:val="13F96EC8"/>
    <w:multiLevelType w:val="singleLevel"/>
    <w:tmpl w:val="13F96EC8"/>
    <w:lvl w:ilvl="0" w:tentative="0">
      <w:start w:val="1"/>
      <w:numFmt w:val="bullet"/>
      <w:lvlText w:val=""/>
      <w:lvlJc w:val="left"/>
      <w:pPr>
        <w:ind w:left="420" w:hanging="420"/>
      </w:pPr>
      <w:rPr>
        <w:rFonts w:hint="default" w:ascii="Wingdings" w:hAnsi="Wingdings"/>
      </w:rPr>
    </w:lvl>
  </w:abstractNum>
  <w:abstractNum w:abstractNumId="4">
    <w:nsid w:val="18A81664"/>
    <w:multiLevelType w:val="multilevel"/>
    <w:tmpl w:val="18A81664"/>
    <w:lvl w:ilvl="0" w:tentative="0">
      <w:start w:val="1"/>
      <w:numFmt w:val="bullet"/>
      <w:lvlText w:val=""/>
      <w:lvlJc w:val="left"/>
      <w:pPr>
        <w:ind w:left="1420" w:hanging="420"/>
      </w:pPr>
      <w:rPr>
        <w:rFonts w:hint="default" w:ascii="Wingdings" w:hAnsi="Wingdings"/>
      </w:rPr>
    </w:lvl>
    <w:lvl w:ilvl="1" w:tentative="0">
      <w:start w:val="1"/>
      <w:numFmt w:val="bullet"/>
      <w:lvlText w:val=""/>
      <w:lvlJc w:val="left"/>
      <w:pPr>
        <w:ind w:left="1840" w:hanging="420"/>
      </w:pPr>
      <w:rPr>
        <w:rFonts w:hint="default" w:ascii="Wingdings" w:hAnsi="Wingdings"/>
      </w:rPr>
    </w:lvl>
    <w:lvl w:ilvl="2" w:tentative="0">
      <w:start w:val="1"/>
      <w:numFmt w:val="bullet"/>
      <w:lvlText w:val=""/>
      <w:lvlJc w:val="left"/>
      <w:pPr>
        <w:ind w:left="2260" w:hanging="420"/>
      </w:pPr>
      <w:rPr>
        <w:rFonts w:hint="default" w:ascii="Wingdings" w:hAnsi="Wingdings"/>
      </w:rPr>
    </w:lvl>
    <w:lvl w:ilvl="3" w:tentative="0">
      <w:start w:val="1"/>
      <w:numFmt w:val="bullet"/>
      <w:lvlText w:val=""/>
      <w:lvlJc w:val="left"/>
      <w:pPr>
        <w:ind w:left="2680" w:hanging="420"/>
      </w:pPr>
      <w:rPr>
        <w:rFonts w:hint="default" w:ascii="Wingdings" w:hAnsi="Wingdings"/>
      </w:rPr>
    </w:lvl>
    <w:lvl w:ilvl="4" w:tentative="0">
      <w:start w:val="1"/>
      <w:numFmt w:val="bullet"/>
      <w:lvlText w:val=""/>
      <w:lvlJc w:val="left"/>
      <w:pPr>
        <w:ind w:left="3100" w:hanging="420"/>
      </w:pPr>
      <w:rPr>
        <w:rFonts w:hint="default" w:ascii="Wingdings" w:hAnsi="Wingdings"/>
      </w:rPr>
    </w:lvl>
    <w:lvl w:ilvl="5" w:tentative="0">
      <w:start w:val="1"/>
      <w:numFmt w:val="bullet"/>
      <w:lvlText w:val=""/>
      <w:lvlJc w:val="left"/>
      <w:pPr>
        <w:ind w:left="3520" w:hanging="420"/>
      </w:pPr>
      <w:rPr>
        <w:rFonts w:hint="default" w:ascii="Wingdings" w:hAnsi="Wingdings"/>
      </w:rPr>
    </w:lvl>
    <w:lvl w:ilvl="6" w:tentative="0">
      <w:start w:val="1"/>
      <w:numFmt w:val="bullet"/>
      <w:lvlText w:val=""/>
      <w:lvlJc w:val="left"/>
      <w:pPr>
        <w:ind w:left="3940" w:hanging="420"/>
      </w:pPr>
      <w:rPr>
        <w:rFonts w:hint="default" w:ascii="Wingdings" w:hAnsi="Wingdings"/>
      </w:rPr>
    </w:lvl>
    <w:lvl w:ilvl="7" w:tentative="0">
      <w:start w:val="1"/>
      <w:numFmt w:val="bullet"/>
      <w:lvlText w:val=""/>
      <w:lvlJc w:val="left"/>
      <w:pPr>
        <w:ind w:left="4360" w:hanging="420"/>
      </w:pPr>
      <w:rPr>
        <w:rFonts w:hint="default" w:ascii="Wingdings" w:hAnsi="Wingdings"/>
      </w:rPr>
    </w:lvl>
    <w:lvl w:ilvl="8" w:tentative="0">
      <w:start w:val="1"/>
      <w:numFmt w:val="bullet"/>
      <w:lvlText w:val=""/>
      <w:lvlJc w:val="left"/>
      <w:pPr>
        <w:ind w:left="4780" w:hanging="420"/>
      </w:pPr>
      <w:rPr>
        <w:rFonts w:hint="default" w:ascii="Wingdings" w:hAnsi="Wingdings"/>
      </w:rPr>
    </w:lvl>
  </w:abstractNum>
  <w:abstractNum w:abstractNumId="5">
    <w:nsid w:val="1B967824"/>
    <w:multiLevelType w:val="multilevel"/>
    <w:tmpl w:val="1B96782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1E25C1A0"/>
    <w:multiLevelType w:val="singleLevel"/>
    <w:tmpl w:val="1E25C1A0"/>
    <w:lvl w:ilvl="0" w:tentative="0">
      <w:start w:val="1"/>
      <w:numFmt w:val="bullet"/>
      <w:pStyle w:val="37"/>
      <w:lvlText w:val="◦"/>
      <w:lvlJc w:val="left"/>
      <w:pPr>
        <w:ind w:left="420" w:hanging="420"/>
      </w:pPr>
      <w:rPr>
        <w:rFonts w:hint="default" w:ascii="Arial" w:hAnsi="Arial" w:cs="Arial"/>
      </w:rPr>
    </w:lvl>
  </w:abstractNum>
  <w:abstractNum w:abstractNumId="7">
    <w:nsid w:val="241795E7"/>
    <w:multiLevelType w:val="singleLevel"/>
    <w:tmpl w:val="241795E7"/>
    <w:lvl w:ilvl="0" w:tentative="0">
      <w:start w:val="1"/>
      <w:numFmt w:val="bullet"/>
      <w:pStyle w:val="36"/>
      <w:lvlText w:val="◦"/>
      <w:lvlJc w:val="left"/>
      <w:pPr>
        <w:ind w:left="420" w:hanging="420"/>
      </w:pPr>
      <w:rPr>
        <w:rFonts w:hint="default" w:ascii="Arial" w:hAnsi="Arial" w:cs="Arial"/>
      </w:rPr>
    </w:lvl>
  </w:abstractNum>
  <w:abstractNum w:abstractNumId="8">
    <w:nsid w:val="28544DF2"/>
    <w:multiLevelType w:val="singleLevel"/>
    <w:tmpl w:val="28544DF2"/>
    <w:lvl w:ilvl="0" w:tentative="0">
      <w:start w:val="1"/>
      <w:numFmt w:val="decimal"/>
      <w:pStyle w:val="57"/>
      <w:suff w:val="nothing"/>
      <w:lvlText w:val="Observation %1:"/>
      <w:lvlJc w:val="left"/>
      <w:pPr>
        <w:ind w:left="0" w:firstLine="403"/>
      </w:pPr>
      <w:rPr>
        <w:rFonts w:hint="default"/>
      </w:rPr>
    </w:lvl>
  </w:abstractNum>
  <w:abstractNum w:abstractNumId="9">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10">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1">
    <w:nsid w:val="54713D2C"/>
    <w:multiLevelType w:val="singleLevel"/>
    <w:tmpl w:val="54713D2C"/>
    <w:lvl w:ilvl="0" w:tentative="0">
      <w:start w:val="1"/>
      <w:numFmt w:val="bullet"/>
      <w:pStyle w:val="35"/>
      <w:lvlText w:val="•"/>
      <w:lvlJc w:val="left"/>
      <w:pPr>
        <w:ind w:left="420" w:hanging="420"/>
      </w:pPr>
      <w:rPr>
        <w:rFonts w:hint="default" w:ascii="Arial" w:hAnsi="Arial" w:cs="Arial"/>
      </w:rPr>
    </w:lvl>
  </w:abstractNum>
  <w:abstractNum w:abstractNumId="12">
    <w:nsid w:val="56BA34EA"/>
    <w:multiLevelType w:val="singleLevel"/>
    <w:tmpl w:val="56BA34EA"/>
    <w:lvl w:ilvl="0" w:tentative="0">
      <w:start w:val="1"/>
      <w:numFmt w:val="decimal"/>
      <w:suff w:val="space"/>
      <w:lvlText w:val="[%1]"/>
      <w:lvlJc w:val="left"/>
    </w:lvl>
  </w:abstractNum>
  <w:abstractNum w:abstractNumId="13">
    <w:nsid w:val="70146DC0"/>
    <w:multiLevelType w:val="multilevel"/>
    <w:tmpl w:val="70146DC0"/>
    <w:lvl w:ilvl="0" w:tentative="0">
      <w:start w:val="1"/>
      <w:numFmt w:val="bullet"/>
      <w:pStyle w:val="58"/>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abstractNum w:abstractNumId="14">
    <w:nsid w:val="725CD2B4"/>
    <w:multiLevelType w:val="singleLevel"/>
    <w:tmpl w:val="725CD2B4"/>
    <w:lvl w:ilvl="0" w:tentative="0">
      <w:start w:val="1"/>
      <w:numFmt w:val="bullet"/>
      <w:lvlText w:val=""/>
      <w:lvlJc w:val="left"/>
      <w:pPr>
        <w:tabs>
          <w:tab w:val="left" w:pos="840"/>
        </w:tabs>
        <w:ind w:left="1260" w:hanging="420"/>
      </w:pPr>
      <w:rPr>
        <w:rFonts w:hint="default" w:ascii="Wingdings" w:hAnsi="Wingdings"/>
      </w:rPr>
    </w:lvl>
  </w:abstractNum>
  <w:num w:numId="1">
    <w:abstractNumId w:val="10"/>
  </w:num>
  <w:num w:numId="2">
    <w:abstractNumId w:val="2"/>
  </w:num>
  <w:num w:numId="3">
    <w:abstractNumId w:val="1"/>
  </w:num>
  <w:num w:numId="4">
    <w:abstractNumId w:val="11"/>
  </w:num>
  <w:num w:numId="5">
    <w:abstractNumId w:val="7"/>
  </w:num>
  <w:num w:numId="6">
    <w:abstractNumId w:val="6"/>
  </w:num>
  <w:num w:numId="7">
    <w:abstractNumId w:val="9"/>
  </w:num>
  <w:num w:numId="8">
    <w:abstractNumId w:val="8"/>
  </w:num>
  <w:num w:numId="9">
    <w:abstractNumId w:val="13"/>
  </w:num>
  <w:num w:numId="10">
    <w:abstractNumId w:val="5"/>
  </w:num>
  <w:num w:numId="11">
    <w:abstractNumId w:val="3"/>
  </w:num>
  <w:num w:numId="12">
    <w:abstractNumId w:val="0"/>
  </w:num>
  <w:num w:numId="13">
    <w:abstractNumId w:val="14"/>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FA"/>
    <w:rsid w:val="000041BB"/>
    <w:rsid w:val="00004C7A"/>
    <w:rsid w:val="00006FC2"/>
    <w:rsid w:val="000100C9"/>
    <w:rsid w:val="00011F8F"/>
    <w:rsid w:val="0001293E"/>
    <w:rsid w:val="00014C8C"/>
    <w:rsid w:val="00015E70"/>
    <w:rsid w:val="00016428"/>
    <w:rsid w:val="00017CB8"/>
    <w:rsid w:val="000215AB"/>
    <w:rsid w:val="0002205F"/>
    <w:rsid w:val="000227D8"/>
    <w:rsid w:val="00022FD6"/>
    <w:rsid w:val="00024584"/>
    <w:rsid w:val="00024ABB"/>
    <w:rsid w:val="0002757D"/>
    <w:rsid w:val="0003348F"/>
    <w:rsid w:val="00034074"/>
    <w:rsid w:val="00036757"/>
    <w:rsid w:val="0003734B"/>
    <w:rsid w:val="00037EA8"/>
    <w:rsid w:val="00037F12"/>
    <w:rsid w:val="0004127F"/>
    <w:rsid w:val="0004226F"/>
    <w:rsid w:val="00044B96"/>
    <w:rsid w:val="000475A2"/>
    <w:rsid w:val="000507AF"/>
    <w:rsid w:val="00051CE3"/>
    <w:rsid w:val="0005307B"/>
    <w:rsid w:val="0005349F"/>
    <w:rsid w:val="00053593"/>
    <w:rsid w:val="00055D2A"/>
    <w:rsid w:val="000604CA"/>
    <w:rsid w:val="00061566"/>
    <w:rsid w:val="000616AA"/>
    <w:rsid w:val="000646D4"/>
    <w:rsid w:val="000665B8"/>
    <w:rsid w:val="0007038E"/>
    <w:rsid w:val="000746AC"/>
    <w:rsid w:val="00080A82"/>
    <w:rsid w:val="00080D25"/>
    <w:rsid w:val="000829B2"/>
    <w:rsid w:val="00086BFF"/>
    <w:rsid w:val="00093967"/>
    <w:rsid w:val="00097C8C"/>
    <w:rsid w:val="000A4107"/>
    <w:rsid w:val="000A497E"/>
    <w:rsid w:val="000A5713"/>
    <w:rsid w:val="000A77C8"/>
    <w:rsid w:val="000B0250"/>
    <w:rsid w:val="000B1599"/>
    <w:rsid w:val="000B2C1E"/>
    <w:rsid w:val="000B5F83"/>
    <w:rsid w:val="000B631C"/>
    <w:rsid w:val="000C36E2"/>
    <w:rsid w:val="000C41C8"/>
    <w:rsid w:val="000D1FE3"/>
    <w:rsid w:val="000D2DAA"/>
    <w:rsid w:val="000D59EB"/>
    <w:rsid w:val="000D65FC"/>
    <w:rsid w:val="000D6AC7"/>
    <w:rsid w:val="000E0ADA"/>
    <w:rsid w:val="000E3346"/>
    <w:rsid w:val="000E6F83"/>
    <w:rsid w:val="000E79DE"/>
    <w:rsid w:val="000E7FCE"/>
    <w:rsid w:val="000F15B3"/>
    <w:rsid w:val="000F174D"/>
    <w:rsid w:val="000F36D8"/>
    <w:rsid w:val="000F3F7B"/>
    <w:rsid w:val="000F6BF0"/>
    <w:rsid w:val="00100504"/>
    <w:rsid w:val="0010710F"/>
    <w:rsid w:val="001078F9"/>
    <w:rsid w:val="001114E2"/>
    <w:rsid w:val="001123BE"/>
    <w:rsid w:val="001171FF"/>
    <w:rsid w:val="001176A4"/>
    <w:rsid w:val="001177F2"/>
    <w:rsid w:val="00121D8B"/>
    <w:rsid w:val="00126CB7"/>
    <w:rsid w:val="00136DEE"/>
    <w:rsid w:val="00140BF5"/>
    <w:rsid w:val="00145D02"/>
    <w:rsid w:val="0014770A"/>
    <w:rsid w:val="00150867"/>
    <w:rsid w:val="00151184"/>
    <w:rsid w:val="0015300A"/>
    <w:rsid w:val="00154C74"/>
    <w:rsid w:val="0015763C"/>
    <w:rsid w:val="00160F63"/>
    <w:rsid w:val="00167F63"/>
    <w:rsid w:val="00171C2E"/>
    <w:rsid w:val="00171C44"/>
    <w:rsid w:val="00172A27"/>
    <w:rsid w:val="0017519D"/>
    <w:rsid w:val="001768FE"/>
    <w:rsid w:val="00185F95"/>
    <w:rsid w:val="0018673E"/>
    <w:rsid w:val="00187321"/>
    <w:rsid w:val="00193046"/>
    <w:rsid w:val="00193FF0"/>
    <w:rsid w:val="001969D4"/>
    <w:rsid w:val="00196D9A"/>
    <w:rsid w:val="001A16AC"/>
    <w:rsid w:val="001A2BEB"/>
    <w:rsid w:val="001A2EE2"/>
    <w:rsid w:val="001A4594"/>
    <w:rsid w:val="001A6A08"/>
    <w:rsid w:val="001A760F"/>
    <w:rsid w:val="001B1AB9"/>
    <w:rsid w:val="001B3B68"/>
    <w:rsid w:val="001B502E"/>
    <w:rsid w:val="001B51E0"/>
    <w:rsid w:val="001B6467"/>
    <w:rsid w:val="001B649B"/>
    <w:rsid w:val="001B75A4"/>
    <w:rsid w:val="001C0E88"/>
    <w:rsid w:val="001C1E2D"/>
    <w:rsid w:val="001C62B4"/>
    <w:rsid w:val="001C69CE"/>
    <w:rsid w:val="001C74F5"/>
    <w:rsid w:val="001C7AD2"/>
    <w:rsid w:val="001D46C6"/>
    <w:rsid w:val="001D4F62"/>
    <w:rsid w:val="001D5D14"/>
    <w:rsid w:val="001E3384"/>
    <w:rsid w:val="001E4A33"/>
    <w:rsid w:val="001E4ED9"/>
    <w:rsid w:val="001E51E6"/>
    <w:rsid w:val="001E6836"/>
    <w:rsid w:val="001F3CB3"/>
    <w:rsid w:val="001F5727"/>
    <w:rsid w:val="001F7D64"/>
    <w:rsid w:val="00200B95"/>
    <w:rsid w:val="002065B0"/>
    <w:rsid w:val="0021168D"/>
    <w:rsid w:val="00215BAA"/>
    <w:rsid w:val="00221F35"/>
    <w:rsid w:val="00222AAA"/>
    <w:rsid w:val="00230D90"/>
    <w:rsid w:val="00235A83"/>
    <w:rsid w:val="0023685F"/>
    <w:rsid w:val="002376AE"/>
    <w:rsid w:val="00241942"/>
    <w:rsid w:val="00247404"/>
    <w:rsid w:val="00252207"/>
    <w:rsid w:val="0025765A"/>
    <w:rsid w:val="00260B08"/>
    <w:rsid w:val="002653B2"/>
    <w:rsid w:val="0026711E"/>
    <w:rsid w:val="00267447"/>
    <w:rsid w:val="00267B92"/>
    <w:rsid w:val="00271AE3"/>
    <w:rsid w:val="00281738"/>
    <w:rsid w:val="00283AC3"/>
    <w:rsid w:val="002849E2"/>
    <w:rsid w:val="00287778"/>
    <w:rsid w:val="002933F5"/>
    <w:rsid w:val="002955BE"/>
    <w:rsid w:val="00297C92"/>
    <w:rsid w:val="00297D4A"/>
    <w:rsid w:val="002A19A2"/>
    <w:rsid w:val="002A1EB1"/>
    <w:rsid w:val="002A1FF2"/>
    <w:rsid w:val="002A3230"/>
    <w:rsid w:val="002A38F7"/>
    <w:rsid w:val="002B1022"/>
    <w:rsid w:val="002B3874"/>
    <w:rsid w:val="002C0735"/>
    <w:rsid w:val="002C4BE9"/>
    <w:rsid w:val="002C550E"/>
    <w:rsid w:val="002E0681"/>
    <w:rsid w:val="002E129B"/>
    <w:rsid w:val="002E312D"/>
    <w:rsid w:val="002E4228"/>
    <w:rsid w:val="002E478D"/>
    <w:rsid w:val="002E5E77"/>
    <w:rsid w:val="002E749F"/>
    <w:rsid w:val="002F3768"/>
    <w:rsid w:val="002F7B2E"/>
    <w:rsid w:val="002F7EC3"/>
    <w:rsid w:val="0030067D"/>
    <w:rsid w:val="00301063"/>
    <w:rsid w:val="00302DFE"/>
    <w:rsid w:val="003041BB"/>
    <w:rsid w:val="00304314"/>
    <w:rsid w:val="00305DF9"/>
    <w:rsid w:val="00307C0A"/>
    <w:rsid w:val="00307CAC"/>
    <w:rsid w:val="003100E6"/>
    <w:rsid w:val="003103BC"/>
    <w:rsid w:val="00312788"/>
    <w:rsid w:val="003145CD"/>
    <w:rsid w:val="003161BA"/>
    <w:rsid w:val="00316E7F"/>
    <w:rsid w:val="00323C39"/>
    <w:rsid w:val="00324214"/>
    <w:rsid w:val="00326222"/>
    <w:rsid w:val="00327869"/>
    <w:rsid w:val="00330EA0"/>
    <w:rsid w:val="003334D8"/>
    <w:rsid w:val="003347A9"/>
    <w:rsid w:val="00335993"/>
    <w:rsid w:val="003404DF"/>
    <w:rsid w:val="0034081B"/>
    <w:rsid w:val="00342493"/>
    <w:rsid w:val="00344AD1"/>
    <w:rsid w:val="00346D73"/>
    <w:rsid w:val="003503A9"/>
    <w:rsid w:val="003506B8"/>
    <w:rsid w:val="00350843"/>
    <w:rsid w:val="00352530"/>
    <w:rsid w:val="00354BD0"/>
    <w:rsid w:val="00355768"/>
    <w:rsid w:val="0035608C"/>
    <w:rsid w:val="003565CC"/>
    <w:rsid w:val="00362039"/>
    <w:rsid w:val="00363259"/>
    <w:rsid w:val="0037030F"/>
    <w:rsid w:val="003709EA"/>
    <w:rsid w:val="00376B17"/>
    <w:rsid w:val="00377B7C"/>
    <w:rsid w:val="00377F42"/>
    <w:rsid w:val="00385770"/>
    <w:rsid w:val="0038728A"/>
    <w:rsid w:val="003904D9"/>
    <w:rsid w:val="00391161"/>
    <w:rsid w:val="003931CD"/>
    <w:rsid w:val="00393BA0"/>
    <w:rsid w:val="00393BF5"/>
    <w:rsid w:val="00395F21"/>
    <w:rsid w:val="003A1C72"/>
    <w:rsid w:val="003A41DA"/>
    <w:rsid w:val="003A6064"/>
    <w:rsid w:val="003A6BA5"/>
    <w:rsid w:val="003B270E"/>
    <w:rsid w:val="003B293F"/>
    <w:rsid w:val="003C0B54"/>
    <w:rsid w:val="003C1436"/>
    <w:rsid w:val="003C36EF"/>
    <w:rsid w:val="003C3CE4"/>
    <w:rsid w:val="003D0E01"/>
    <w:rsid w:val="003D15D9"/>
    <w:rsid w:val="003D17AE"/>
    <w:rsid w:val="003D1882"/>
    <w:rsid w:val="003D194F"/>
    <w:rsid w:val="003D2430"/>
    <w:rsid w:val="003D3D34"/>
    <w:rsid w:val="003D4966"/>
    <w:rsid w:val="003E1BA1"/>
    <w:rsid w:val="003E42E2"/>
    <w:rsid w:val="003E5CBE"/>
    <w:rsid w:val="003E6EAB"/>
    <w:rsid w:val="003E7177"/>
    <w:rsid w:val="003E75BC"/>
    <w:rsid w:val="003E7805"/>
    <w:rsid w:val="003F31D3"/>
    <w:rsid w:val="003F640E"/>
    <w:rsid w:val="003F6CD6"/>
    <w:rsid w:val="003F7C4B"/>
    <w:rsid w:val="0040342D"/>
    <w:rsid w:val="00404DA5"/>
    <w:rsid w:val="00405D92"/>
    <w:rsid w:val="004075C0"/>
    <w:rsid w:val="004100E3"/>
    <w:rsid w:val="0041046C"/>
    <w:rsid w:val="00416724"/>
    <w:rsid w:val="0041743C"/>
    <w:rsid w:val="00421D57"/>
    <w:rsid w:val="00421D72"/>
    <w:rsid w:val="00422D64"/>
    <w:rsid w:val="004242A6"/>
    <w:rsid w:val="004247BB"/>
    <w:rsid w:val="004253A1"/>
    <w:rsid w:val="0042542D"/>
    <w:rsid w:val="004304ED"/>
    <w:rsid w:val="00432EB8"/>
    <w:rsid w:val="00443E69"/>
    <w:rsid w:val="00445F63"/>
    <w:rsid w:val="00446877"/>
    <w:rsid w:val="00447634"/>
    <w:rsid w:val="00447F6A"/>
    <w:rsid w:val="00450367"/>
    <w:rsid w:val="004537E0"/>
    <w:rsid w:val="00456B4D"/>
    <w:rsid w:val="00460FD9"/>
    <w:rsid w:val="00462120"/>
    <w:rsid w:val="00464A8F"/>
    <w:rsid w:val="00464E5F"/>
    <w:rsid w:val="004675C8"/>
    <w:rsid w:val="004678B5"/>
    <w:rsid w:val="00471887"/>
    <w:rsid w:val="00473437"/>
    <w:rsid w:val="00474887"/>
    <w:rsid w:val="00475B67"/>
    <w:rsid w:val="004762C2"/>
    <w:rsid w:val="00480247"/>
    <w:rsid w:val="00480D68"/>
    <w:rsid w:val="0048356B"/>
    <w:rsid w:val="00487793"/>
    <w:rsid w:val="00492B1D"/>
    <w:rsid w:val="00492D52"/>
    <w:rsid w:val="004939E4"/>
    <w:rsid w:val="004944A1"/>
    <w:rsid w:val="004A1DB6"/>
    <w:rsid w:val="004A3706"/>
    <w:rsid w:val="004A5C4F"/>
    <w:rsid w:val="004B0D16"/>
    <w:rsid w:val="004B0DEA"/>
    <w:rsid w:val="004B3809"/>
    <w:rsid w:val="004B41A4"/>
    <w:rsid w:val="004B77B2"/>
    <w:rsid w:val="004B7B9B"/>
    <w:rsid w:val="004B7F37"/>
    <w:rsid w:val="004C0478"/>
    <w:rsid w:val="004C3224"/>
    <w:rsid w:val="004C5F29"/>
    <w:rsid w:val="004D7FFE"/>
    <w:rsid w:val="004E034E"/>
    <w:rsid w:val="004E1BD5"/>
    <w:rsid w:val="004E5BAE"/>
    <w:rsid w:val="004E711E"/>
    <w:rsid w:val="004F6ACD"/>
    <w:rsid w:val="004F74EE"/>
    <w:rsid w:val="005025EA"/>
    <w:rsid w:val="005035E5"/>
    <w:rsid w:val="00503A6C"/>
    <w:rsid w:val="005073FF"/>
    <w:rsid w:val="00514033"/>
    <w:rsid w:val="0052106F"/>
    <w:rsid w:val="00521C07"/>
    <w:rsid w:val="00522B66"/>
    <w:rsid w:val="005242B5"/>
    <w:rsid w:val="00525C26"/>
    <w:rsid w:val="00525E65"/>
    <w:rsid w:val="00525F49"/>
    <w:rsid w:val="005313BF"/>
    <w:rsid w:val="005317CA"/>
    <w:rsid w:val="00534212"/>
    <w:rsid w:val="00535232"/>
    <w:rsid w:val="0053694F"/>
    <w:rsid w:val="005427F4"/>
    <w:rsid w:val="005444D9"/>
    <w:rsid w:val="00551302"/>
    <w:rsid w:val="00552A9B"/>
    <w:rsid w:val="005627C2"/>
    <w:rsid w:val="00562BA4"/>
    <w:rsid w:val="00565A97"/>
    <w:rsid w:val="00572097"/>
    <w:rsid w:val="00572390"/>
    <w:rsid w:val="0057368E"/>
    <w:rsid w:val="00573BED"/>
    <w:rsid w:val="0057415E"/>
    <w:rsid w:val="005742D2"/>
    <w:rsid w:val="0057442E"/>
    <w:rsid w:val="00576B2A"/>
    <w:rsid w:val="00580813"/>
    <w:rsid w:val="005811A1"/>
    <w:rsid w:val="00582174"/>
    <w:rsid w:val="005869C2"/>
    <w:rsid w:val="00591EFD"/>
    <w:rsid w:val="005926CC"/>
    <w:rsid w:val="00592C2F"/>
    <w:rsid w:val="0059672B"/>
    <w:rsid w:val="005A296C"/>
    <w:rsid w:val="005A6735"/>
    <w:rsid w:val="005B065E"/>
    <w:rsid w:val="005B2D2B"/>
    <w:rsid w:val="005B312B"/>
    <w:rsid w:val="005B428F"/>
    <w:rsid w:val="005B6F6F"/>
    <w:rsid w:val="005B78CD"/>
    <w:rsid w:val="005C2C87"/>
    <w:rsid w:val="005C2E42"/>
    <w:rsid w:val="005D02A0"/>
    <w:rsid w:val="005D2368"/>
    <w:rsid w:val="005D307B"/>
    <w:rsid w:val="005D4DE5"/>
    <w:rsid w:val="005D56D6"/>
    <w:rsid w:val="005D79BE"/>
    <w:rsid w:val="005E3362"/>
    <w:rsid w:val="005E4853"/>
    <w:rsid w:val="005E5170"/>
    <w:rsid w:val="005F290A"/>
    <w:rsid w:val="005F7426"/>
    <w:rsid w:val="005F7B99"/>
    <w:rsid w:val="00600862"/>
    <w:rsid w:val="0060090D"/>
    <w:rsid w:val="00602BF6"/>
    <w:rsid w:val="00605856"/>
    <w:rsid w:val="00606083"/>
    <w:rsid w:val="00606497"/>
    <w:rsid w:val="006144B4"/>
    <w:rsid w:val="00615819"/>
    <w:rsid w:val="00616D43"/>
    <w:rsid w:val="006212C7"/>
    <w:rsid w:val="00630BC2"/>
    <w:rsid w:val="00633C2D"/>
    <w:rsid w:val="00634C1C"/>
    <w:rsid w:val="00637B01"/>
    <w:rsid w:val="00641474"/>
    <w:rsid w:val="00644DDC"/>
    <w:rsid w:val="0064664A"/>
    <w:rsid w:val="00647F19"/>
    <w:rsid w:val="00651C7E"/>
    <w:rsid w:val="00652490"/>
    <w:rsid w:val="006524E1"/>
    <w:rsid w:val="00652774"/>
    <w:rsid w:val="00652D8F"/>
    <w:rsid w:val="00661A31"/>
    <w:rsid w:val="00662F19"/>
    <w:rsid w:val="00663F0A"/>
    <w:rsid w:val="00664100"/>
    <w:rsid w:val="0066599E"/>
    <w:rsid w:val="00676515"/>
    <w:rsid w:val="006807E6"/>
    <w:rsid w:val="006823E1"/>
    <w:rsid w:val="0068504F"/>
    <w:rsid w:val="00685259"/>
    <w:rsid w:val="00691D2E"/>
    <w:rsid w:val="0069416A"/>
    <w:rsid w:val="0069696B"/>
    <w:rsid w:val="006A22A1"/>
    <w:rsid w:val="006A6A31"/>
    <w:rsid w:val="006A761C"/>
    <w:rsid w:val="006A763A"/>
    <w:rsid w:val="006B145B"/>
    <w:rsid w:val="006B5D05"/>
    <w:rsid w:val="006B60F5"/>
    <w:rsid w:val="006C1AD1"/>
    <w:rsid w:val="006D0EA4"/>
    <w:rsid w:val="006D202D"/>
    <w:rsid w:val="006D31B6"/>
    <w:rsid w:val="006D6019"/>
    <w:rsid w:val="006D681D"/>
    <w:rsid w:val="006F1508"/>
    <w:rsid w:val="006F26CE"/>
    <w:rsid w:val="006F2E24"/>
    <w:rsid w:val="006F3A7D"/>
    <w:rsid w:val="006F788C"/>
    <w:rsid w:val="00700498"/>
    <w:rsid w:val="00700F13"/>
    <w:rsid w:val="007016C2"/>
    <w:rsid w:val="00707A07"/>
    <w:rsid w:val="00713F6C"/>
    <w:rsid w:val="007142F4"/>
    <w:rsid w:val="007144EF"/>
    <w:rsid w:val="0071556D"/>
    <w:rsid w:val="00716B76"/>
    <w:rsid w:val="007173B5"/>
    <w:rsid w:val="0072105A"/>
    <w:rsid w:val="00723865"/>
    <w:rsid w:val="00723AF4"/>
    <w:rsid w:val="00724E53"/>
    <w:rsid w:val="00730334"/>
    <w:rsid w:val="0073266A"/>
    <w:rsid w:val="0073461C"/>
    <w:rsid w:val="00736495"/>
    <w:rsid w:val="00736808"/>
    <w:rsid w:val="00742F5B"/>
    <w:rsid w:val="00746C4B"/>
    <w:rsid w:val="00751310"/>
    <w:rsid w:val="00751599"/>
    <w:rsid w:val="0075288E"/>
    <w:rsid w:val="00756F97"/>
    <w:rsid w:val="0075753F"/>
    <w:rsid w:val="00757823"/>
    <w:rsid w:val="0077252D"/>
    <w:rsid w:val="00773481"/>
    <w:rsid w:val="00773968"/>
    <w:rsid w:val="00774644"/>
    <w:rsid w:val="00774664"/>
    <w:rsid w:val="007751C1"/>
    <w:rsid w:val="007775E4"/>
    <w:rsid w:val="00781B94"/>
    <w:rsid w:val="00781BC0"/>
    <w:rsid w:val="00782221"/>
    <w:rsid w:val="0078247F"/>
    <w:rsid w:val="0078378C"/>
    <w:rsid w:val="00785301"/>
    <w:rsid w:val="007879A8"/>
    <w:rsid w:val="00793BEF"/>
    <w:rsid w:val="00793C3C"/>
    <w:rsid w:val="0079414B"/>
    <w:rsid w:val="007954C5"/>
    <w:rsid w:val="00795DF6"/>
    <w:rsid w:val="00797FEF"/>
    <w:rsid w:val="007A0C7F"/>
    <w:rsid w:val="007A7A84"/>
    <w:rsid w:val="007B059A"/>
    <w:rsid w:val="007B1083"/>
    <w:rsid w:val="007B2986"/>
    <w:rsid w:val="007B44B3"/>
    <w:rsid w:val="007B590A"/>
    <w:rsid w:val="007C0E31"/>
    <w:rsid w:val="007C43DE"/>
    <w:rsid w:val="007C7A6A"/>
    <w:rsid w:val="007D319F"/>
    <w:rsid w:val="007D67FB"/>
    <w:rsid w:val="007E035C"/>
    <w:rsid w:val="007E10A4"/>
    <w:rsid w:val="007E2F17"/>
    <w:rsid w:val="007E71E2"/>
    <w:rsid w:val="007E7A15"/>
    <w:rsid w:val="007F3DCC"/>
    <w:rsid w:val="007F4E77"/>
    <w:rsid w:val="007F7E54"/>
    <w:rsid w:val="00800B60"/>
    <w:rsid w:val="00801C01"/>
    <w:rsid w:val="0080288F"/>
    <w:rsid w:val="00804C6E"/>
    <w:rsid w:val="00806BE3"/>
    <w:rsid w:val="0081096B"/>
    <w:rsid w:val="008109C3"/>
    <w:rsid w:val="00812177"/>
    <w:rsid w:val="00814D2D"/>
    <w:rsid w:val="008165E4"/>
    <w:rsid w:val="008173AB"/>
    <w:rsid w:val="00820E09"/>
    <w:rsid w:val="008212F1"/>
    <w:rsid w:val="0082203A"/>
    <w:rsid w:val="00824F27"/>
    <w:rsid w:val="00827B07"/>
    <w:rsid w:val="0083344F"/>
    <w:rsid w:val="008364AF"/>
    <w:rsid w:val="008406E8"/>
    <w:rsid w:val="00840AE2"/>
    <w:rsid w:val="00840EAF"/>
    <w:rsid w:val="00845385"/>
    <w:rsid w:val="00846E6F"/>
    <w:rsid w:val="008503AC"/>
    <w:rsid w:val="00850BF1"/>
    <w:rsid w:val="008511AF"/>
    <w:rsid w:val="00853C58"/>
    <w:rsid w:val="00856F5A"/>
    <w:rsid w:val="0086109C"/>
    <w:rsid w:val="008648C7"/>
    <w:rsid w:val="008731A4"/>
    <w:rsid w:val="008735FD"/>
    <w:rsid w:val="00874456"/>
    <w:rsid w:val="00874DED"/>
    <w:rsid w:val="0087563A"/>
    <w:rsid w:val="00875689"/>
    <w:rsid w:val="00876496"/>
    <w:rsid w:val="008779F1"/>
    <w:rsid w:val="00885FE5"/>
    <w:rsid w:val="00890F3B"/>
    <w:rsid w:val="008930B3"/>
    <w:rsid w:val="00893E41"/>
    <w:rsid w:val="00896AA6"/>
    <w:rsid w:val="008A1318"/>
    <w:rsid w:val="008A1EED"/>
    <w:rsid w:val="008A2E93"/>
    <w:rsid w:val="008A404E"/>
    <w:rsid w:val="008A6763"/>
    <w:rsid w:val="008A682C"/>
    <w:rsid w:val="008B06A4"/>
    <w:rsid w:val="008B242A"/>
    <w:rsid w:val="008B2C6D"/>
    <w:rsid w:val="008B2D1C"/>
    <w:rsid w:val="008B4EB5"/>
    <w:rsid w:val="008B5FA9"/>
    <w:rsid w:val="008C20F0"/>
    <w:rsid w:val="008C2959"/>
    <w:rsid w:val="008C399F"/>
    <w:rsid w:val="008C739A"/>
    <w:rsid w:val="008C7D20"/>
    <w:rsid w:val="008D0507"/>
    <w:rsid w:val="008D083A"/>
    <w:rsid w:val="008D123B"/>
    <w:rsid w:val="008D1553"/>
    <w:rsid w:val="008D19DE"/>
    <w:rsid w:val="008D304B"/>
    <w:rsid w:val="008D3B0B"/>
    <w:rsid w:val="008E176C"/>
    <w:rsid w:val="008E1F58"/>
    <w:rsid w:val="008E4C5A"/>
    <w:rsid w:val="008E534D"/>
    <w:rsid w:val="008E67A6"/>
    <w:rsid w:val="008F0DB0"/>
    <w:rsid w:val="008F2817"/>
    <w:rsid w:val="008F30BC"/>
    <w:rsid w:val="008F3CF6"/>
    <w:rsid w:val="008F5537"/>
    <w:rsid w:val="00900AB9"/>
    <w:rsid w:val="0090413C"/>
    <w:rsid w:val="00904642"/>
    <w:rsid w:val="00904F6C"/>
    <w:rsid w:val="00907ABD"/>
    <w:rsid w:val="00910330"/>
    <w:rsid w:val="00910506"/>
    <w:rsid w:val="00911D5B"/>
    <w:rsid w:val="009141DD"/>
    <w:rsid w:val="00920C5A"/>
    <w:rsid w:val="009226FA"/>
    <w:rsid w:val="0092285E"/>
    <w:rsid w:val="009260F9"/>
    <w:rsid w:val="009305AD"/>
    <w:rsid w:val="00937011"/>
    <w:rsid w:val="00937046"/>
    <w:rsid w:val="00937EC3"/>
    <w:rsid w:val="009401EC"/>
    <w:rsid w:val="00942041"/>
    <w:rsid w:val="00944C1A"/>
    <w:rsid w:val="00945B44"/>
    <w:rsid w:val="00945B60"/>
    <w:rsid w:val="00945CF3"/>
    <w:rsid w:val="00946656"/>
    <w:rsid w:val="0095088E"/>
    <w:rsid w:val="00954A8B"/>
    <w:rsid w:val="00955ACA"/>
    <w:rsid w:val="0096044C"/>
    <w:rsid w:val="00963F76"/>
    <w:rsid w:val="00967CFC"/>
    <w:rsid w:val="009756AC"/>
    <w:rsid w:val="00980780"/>
    <w:rsid w:val="009817D2"/>
    <w:rsid w:val="009840ED"/>
    <w:rsid w:val="00984825"/>
    <w:rsid w:val="009854BE"/>
    <w:rsid w:val="0098560C"/>
    <w:rsid w:val="00991EDF"/>
    <w:rsid w:val="009944E7"/>
    <w:rsid w:val="00995752"/>
    <w:rsid w:val="009965BF"/>
    <w:rsid w:val="009971BD"/>
    <w:rsid w:val="009A1C9E"/>
    <w:rsid w:val="009A291D"/>
    <w:rsid w:val="009A5F11"/>
    <w:rsid w:val="009A6245"/>
    <w:rsid w:val="009A704B"/>
    <w:rsid w:val="009B04AB"/>
    <w:rsid w:val="009C7266"/>
    <w:rsid w:val="009C7CB7"/>
    <w:rsid w:val="009D0E98"/>
    <w:rsid w:val="009D3B70"/>
    <w:rsid w:val="009D7FBD"/>
    <w:rsid w:val="009E1155"/>
    <w:rsid w:val="009E4C8F"/>
    <w:rsid w:val="009E7270"/>
    <w:rsid w:val="009F158C"/>
    <w:rsid w:val="009F17A8"/>
    <w:rsid w:val="009F1FFA"/>
    <w:rsid w:val="009F3D8C"/>
    <w:rsid w:val="009F4060"/>
    <w:rsid w:val="009F43A9"/>
    <w:rsid w:val="009F756D"/>
    <w:rsid w:val="00A00EF4"/>
    <w:rsid w:val="00A056FF"/>
    <w:rsid w:val="00A05B81"/>
    <w:rsid w:val="00A074BC"/>
    <w:rsid w:val="00A1020D"/>
    <w:rsid w:val="00A107E3"/>
    <w:rsid w:val="00A12C8C"/>
    <w:rsid w:val="00A1326F"/>
    <w:rsid w:val="00A137A4"/>
    <w:rsid w:val="00A151F5"/>
    <w:rsid w:val="00A1778D"/>
    <w:rsid w:val="00A2005F"/>
    <w:rsid w:val="00A2422D"/>
    <w:rsid w:val="00A24542"/>
    <w:rsid w:val="00A25440"/>
    <w:rsid w:val="00A25CEE"/>
    <w:rsid w:val="00A31A40"/>
    <w:rsid w:val="00A37542"/>
    <w:rsid w:val="00A37B97"/>
    <w:rsid w:val="00A40102"/>
    <w:rsid w:val="00A406CD"/>
    <w:rsid w:val="00A41C84"/>
    <w:rsid w:val="00A436D8"/>
    <w:rsid w:val="00A44989"/>
    <w:rsid w:val="00A50086"/>
    <w:rsid w:val="00A5717C"/>
    <w:rsid w:val="00A71162"/>
    <w:rsid w:val="00A76AA7"/>
    <w:rsid w:val="00A7741A"/>
    <w:rsid w:val="00A777FD"/>
    <w:rsid w:val="00A90FF7"/>
    <w:rsid w:val="00A91DCF"/>
    <w:rsid w:val="00A94501"/>
    <w:rsid w:val="00A96304"/>
    <w:rsid w:val="00A96837"/>
    <w:rsid w:val="00A96FE7"/>
    <w:rsid w:val="00A9766A"/>
    <w:rsid w:val="00AA02A1"/>
    <w:rsid w:val="00AA0482"/>
    <w:rsid w:val="00AA2551"/>
    <w:rsid w:val="00AA3164"/>
    <w:rsid w:val="00AA32B4"/>
    <w:rsid w:val="00AA5295"/>
    <w:rsid w:val="00AA6A90"/>
    <w:rsid w:val="00AB279E"/>
    <w:rsid w:val="00AB5B8C"/>
    <w:rsid w:val="00AB67B2"/>
    <w:rsid w:val="00AB696E"/>
    <w:rsid w:val="00AB6E40"/>
    <w:rsid w:val="00AB7D74"/>
    <w:rsid w:val="00AB7F53"/>
    <w:rsid w:val="00AC14C2"/>
    <w:rsid w:val="00AC4CB5"/>
    <w:rsid w:val="00AC4F68"/>
    <w:rsid w:val="00AC6402"/>
    <w:rsid w:val="00AC6BD3"/>
    <w:rsid w:val="00AD1D49"/>
    <w:rsid w:val="00AD2AE8"/>
    <w:rsid w:val="00AD6794"/>
    <w:rsid w:val="00AD67DB"/>
    <w:rsid w:val="00AD71BF"/>
    <w:rsid w:val="00AE051A"/>
    <w:rsid w:val="00AE0D6E"/>
    <w:rsid w:val="00AE1039"/>
    <w:rsid w:val="00AE2E05"/>
    <w:rsid w:val="00AE3EC3"/>
    <w:rsid w:val="00AE78CE"/>
    <w:rsid w:val="00AF1EA4"/>
    <w:rsid w:val="00AF3480"/>
    <w:rsid w:val="00AF5B20"/>
    <w:rsid w:val="00AF6CFA"/>
    <w:rsid w:val="00AF6F20"/>
    <w:rsid w:val="00B003AA"/>
    <w:rsid w:val="00B03CE5"/>
    <w:rsid w:val="00B04130"/>
    <w:rsid w:val="00B056D9"/>
    <w:rsid w:val="00B07F5A"/>
    <w:rsid w:val="00B11188"/>
    <w:rsid w:val="00B14503"/>
    <w:rsid w:val="00B15656"/>
    <w:rsid w:val="00B21D02"/>
    <w:rsid w:val="00B23BAD"/>
    <w:rsid w:val="00B257EA"/>
    <w:rsid w:val="00B276C6"/>
    <w:rsid w:val="00B30D2E"/>
    <w:rsid w:val="00B31889"/>
    <w:rsid w:val="00B3279A"/>
    <w:rsid w:val="00B42358"/>
    <w:rsid w:val="00B428B5"/>
    <w:rsid w:val="00B43826"/>
    <w:rsid w:val="00B46BB6"/>
    <w:rsid w:val="00B50C9F"/>
    <w:rsid w:val="00B57B7C"/>
    <w:rsid w:val="00B644DF"/>
    <w:rsid w:val="00B649A3"/>
    <w:rsid w:val="00B66CB1"/>
    <w:rsid w:val="00B75C99"/>
    <w:rsid w:val="00B764C8"/>
    <w:rsid w:val="00B8129D"/>
    <w:rsid w:val="00B824F1"/>
    <w:rsid w:val="00B82D76"/>
    <w:rsid w:val="00B90947"/>
    <w:rsid w:val="00B928EB"/>
    <w:rsid w:val="00B93D0B"/>
    <w:rsid w:val="00B95835"/>
    <w:rsid w:val="00B978C9"/>
    <w:rsid w:val="00BA2BE3"/>
    <w:rsid w:val="00BA3F20"/>
    <w:rsid w:val="00BA4756"/>
    <w:rsid w:val="00BA5983"/>
    <w:rsid w:val="00BA763A"/>
    <w:rsid w:val="00BB0B7F"/>
    <w:rsid w:val="00BB17D9"/>
    <w:rsid w:val="00BB2AB2"/>
    <w:rsid w:val="00BB6518"/>
    <w:rsid w:val="00BB6F9E"/>
    <w:rsid w:val="00BC41AE"/>
    <w:rsid w:val="00BD1806"/>
    <w:rsid w:val="00BD4C09"/>
    <w:rsid w:val="00BD6330"/>
    <w:rsid w:val="00BE367B"/>
    <w:rsid w:val="00BE67D9"/>
    <w:rsid w:val="00BF10A3"/>
    <w:rsid w:val="00C02396"/>
    <w:rsid w:val="00C034DC"/>
    <w:rsid w:val="00C03BBC"/>
    <w:rsid w:val="00C053CB"/>
    <w:rsid w:val="00C11946"/>
    <w:rsid w:val="00C11E62"/>
    <w:rsid w:val="00C14B69"/>
    <w:rsid w:val="00C155C1"/>
    <w:rsid w:val="00C202A3"/>
    <w:rsid w:val="00C2286F"/>
    <w:rsid w:val="00C22D94"/>
    <w:rsid w:val="00C261EF"/>
    <w:rsid w:val="00C26BD2"/>
    <w:rsid w:val="00C27B95"/>
    <w:rsid w:val="00C32E7E"/>
    <w:rsid w:val="00C3461F"/>
    <w:rsid w:val="00C3593A"/>
    <w:rsid w:val="00C37ABB"/>
    <w:rsid w:val="00C404CE"/>
    <w:rsid w:val="00C41484"/>
    <w:rsid w:val="00C4496F"/>
    <w:rsid w:val="00C450AC"/>
    <w:rsid w:val="00C47491"/>
    <w:rsid w:val="00C51A87"/>
    <w:rsid w:val="00C51C7C"/>
    <w:rsid w:val="00C54E67"/>
    <w:rsid w:val="00C5672F"/>
    <w:rsid w:val="00C6294E"/>
    <w:rsid w:val="00C71AAD"/>
    <w:rsid w:val="00C72411"/>
    <w:rsid w:val="00C951F7"/>
    <w:rsid w:val="00C96494"/>
    <w:rsid w:val="00CA4842"/>
    <w:rsid w:val="00CA5C46"/>
    <w:rsid w:val="00CA60B2"/>
    <w:rsid w:val="00CB4CA6"/>
    <w:rsid w:val="00CB6631"/>
    <w:rsid w:val="00CC6CE9"/>
    <w:rsid w:val="00CD0A81"/>
    <w:rsid w:val="00CD2D72"/>
    <w:rsid w:val="00CD48CE"/>
    <w:rsid w:val="00CD58FB"/>
    <w:rsid w:val="00CD5CB5"/>
    <w:rsid w:val="00CE0EA2"/>
    <w:rsid w:val="00CE1D22"/>
    <w:rsid w:val="00CE2B6B"/>
    <w:rsid w:val="00CE3392"/>
    <w:rsid w:val="00CE4B7F"/>
    <w:rsid w:val="00CE5758"/>
    <w:rsid w:val="00CF1DFE"/>
    <w:rsid w:val="00CF370E"/>
    <w:rsid w:val="00D01B41"/>
    <w:rsid w:val="00D03DF4"/>
    <w:rsid w:val="00D04075"/>
    <w:rsid w:val="00D055E6"/>
    <w:rsid w:val="00D10013"/>
    <w:rsid w:val="00D16E8B"/>
    <w:rsid w:val="00D20216"/>
    <w:rsid w:val="00D20CDB"/>
    <w:rsid w:val="00D20E01"/>
    <w:rsid w:val="00D20EC2"/>
    <w:rsid w:val="00D214BE"/>
    <w:rsid w:val="00D2151F"/>
    <w:rsid w:val="00D21A57"/>
    <w:rsid w:val="00D2290B"/>
    <w:rsid w:val="00D234CC"/>
    <w:rsid w:val="00D235D0"/>
    <w:rsid w:val="00D23656"/>
    <w:rsid w:val="00D23F8B"/>
    <w:rsid w:val="00D301EB"/>
    <w:rsid w:val="00D316E9"/>
    <w:rsid w:val="00D35B96"/>
    <w:rsid w:val="00D37CB2"/>
    <w:rsid w:val="00D402E2"/>
    <w:rsid w:val="00D4152C"/>
    <w:rsid w:val="00D428E2"/>
    <w:rsid w:val="00D44606"/>
    <w:rsid w:val="00D5113B"/>
    <w:rsid w:val="00D51B49"/>
    <w:rsid w:val="00D52FDF"/>
    <w:rsid w:val="00D5321F"/>
    <w:rsid w:val="00D5481E"/>
    <w:rsid w:val="00D554A2"/>
    <w:rsid w:val="00D556D5"/>
    <w:rsid w:val="00D6239E"/>
    <w:rsid w:val="00D63E15"/>
    <w:rsid w:val="00D71DA7"/>
    <w:rsid w:val="00D76AC7"/>
    <w:rsid w:val="00D80E67"/>
    <w:rsid w:val="00D81635"/>
    <w:rsid w:val="00D81864"/>
    <w:rsid w:val="00D83525"/>
    <w:rsid w:val="00D840E4"/>
    <w:rsid w:val="00D85113"/>
    <w:rsid w:val="00D9363B"/>
    <w:rsid w:val="00D949F7"/>
    <w:rsid w:val="00DA679D"/>
    <w:rsid w:val="00DA7FC2"/>
    <w:rsid w:val="00DB0B58"/>
    <w:rsid w:val="00DB3413"/>
    <w:rsid w:val="00DB4C20"/>
    <w:rsid w:val="00DB4D72"/>
    <w:rsid w:val="00DB5801"/>
    <w:rsid w:val="00DC1D12"/>
    <w:rsid w:val="00DC3B5F"/>
    <w:rsid w:val="00DC7CCD"/>
    <w:rsid w:val="00DC7FF9"/>
    <w:rsid w:val="00DD273C"/>
    <w:rsid w:val="00DD3AB9"/>
    <w:rsid w:val="00DD4925"/>
    <w:rsid w:val="00DD5091"/>
    <w:rsid w:val="00DD752D"/>
    <w:rsid w:val="00DE5844"/>
    <w:rsid w:val="00DE6094"/>
    <w:rsid w:val="00DE6D3B"/>
    <w:rsid w:val="00DE79EC"/>
    <w:rsid w:val="00DF0330"/>
    <w:rsid w:val="00DF03AF"/>
    <w:rsid w:val="00DF03C1"/>
    <w:rsid w:val="00DF0709"/>
    <w:rsid w:val="00DF0950"/>
    <w:rsid w:val="00DF1F35"/>
    <w:rsid w:val="00DF4BAE"/>
    <w:rsid w:val="00DF75DB"/>
    <w:rsid w:val="00E0158E"/>
    <w:rsid w:val="00E01F9E"/>
    <w:rsid w:val="00E022FD"/>
    <w:rsid w:val="00E06467"/>
    <w:rsid w:val="00E13816"/>
    <w:rsid w:val="00E14274"/>
    <w:rsid w:val="00E231FB"/>
    <w:rsid w:val="00E25072"/>
    <w:rsid w:val="00E264CC"/>
    <w:rsid w:val="00E27091"/>
    <w:rsid w:val="00E31A57"/>
    <w:rsid w:val="00E35C5B"/>
    <w:rsid w:val="00E35DE6"/>
    <w:rsid w:val="00E36F16"/>
    <w:rsid w:val="00E422E5"/>
    <w:rsid w:val="00E440B6"/>
    <w:rsid w:val="00E45E7F"/>
    <w:rsid w:val="00E47052"/>
    <w:rsid w:val="00E479BD"/>
    <w:rsid w:val="00E47E3E"/>
    <w:rsid w:val="00E51FDE"/>
    <w:rsid w:val="00E530A4"/>
    <w:rsid w:val="00E53DAB"/>
    <w:rsid w:val="00E54CEF"/>
    <w:rsid w:val="00E55907"/>
    <w:rsid w:val="00E5638F"/>
    <w:rsid w:val="00E644F5"/>
    <w:rsid w:val="00E65603"/>
    <w:rsid w:val="00E663E6"/>
    <w:rsid w:val="00E67FF7"/>
    <w:rsid w:val="00E70B92"/>
    <w:rsid w:val="00E71889"/>
    <w:rsid w:val="00E728F0"/>
    <w:rsid w:val="00E739F0"/>
    <w:rsid w:val="00E73B08"/>
    <w:rsid w:val="00E74F94"/>
    <w:rsid w:val="00E8615B"/>
    <w:rsid w:val="00E90598"/>
    <w:rsid w:val="00E95277"/>
    <w:rsid w:val="00E9685B"/>
    <w:rsid w:val="00E96E7F"/>
    <w:rsid w:val="00EA2F70"/>
    <w:rsid w:val="00EA3D5D"/>
    <w:rsid w:val="00EA4204"/>
    <w:rsid w:val="00EA59BF"/>
    <w:rsid w:val="00EA5E9B"/>
    <w:rsid w:val="00EB05C0"/>
    <w:rsid w:val="00EB11C7"/>
    <w:rsid w:val="00EB1390"/>
    <w:rsid w:val="00EB365B"/>
    <w:rsid w:val="00EB50B5"/>
    <w:rsid w:val="00EB52C6"/>
    <w:rsid w:val="00EB7B8C"/>
    <w:rsid w:val="00EC1CA6"/>
    <w:rsid w:val="00EC40D9"/>
    <w:rsid w:val="00ED2508"/>
    <w:rsid w:val="00ED25A6"/>
    <w:rsid w:val="00ED26AB"/>
    <w:rsid w:val="00ED43E6"/>
    <w:rsid w:val="00EE0F51"/>
    <w:rsid w:val="00EE1367"/>
    <w:rsid w:val="00EE554B"/>
    <w:rsid w:val="00EE5F9D"/>
    <w:rsid w:val="00EF3C62"/>
    <w:rsid w:val="00EF473E"/>
    <w:rsid w:val="00EF641B"/>
    <w:rsid w:val="00EF6A75"/>
    <w:rsid w:val="00F00065"/>
    <w:rsid w:val="00F00A59"/>
    <w:rsid w:val="00F02F64"/>
    <w:rsid w:val="00F044FB"/>
    <w:rsid w:val="00F0534C"/>
    <w:rsid w:val="00F0703E"/>
    <w:rsid w:val="00F12A75"/>
    <w:rsid w:val="00F145AF"/>
    <w:rsid w:val="00F15BD2"/>
    <w:rsid w:val="00F17DC9"/>
    <w:rsid w:val="00F21791"/>
    <w:rsid w:val="00F2238B"/>
    <w:rsid w:val="00F23648"/>
    <w:rsid w:val="00F24223"/>
    <w:rsid w:val="00F25E98"/>
    <w:rsid w:val="00F31A7B"/>
    <w:rsid w:val="00F31CEB"/>
    <w:rsid w:val="00F33ADA"/>
    <w:rsid w:val="00F33F85"/>
    <w:rsid w:val="00F35E7F"/>
    <w:rsid w:val="00F416C2"/>
    <w:rsid w:val="00F45A1F"/>
    <w:rsid w:val="00F46341"/>
    <w:rsid w:val="00F471FA"/>
    <w:rsid w:val="00F4721F"/>
    <w:rsid w:val="00F4751E"/>
    <w:rsid w:val="00F47C99"/>
    <w:rsid w:val="00F509E9"/>
    <w:rsid w:val="00F558C9"/>
    <w:rsid w:val="00F56B78"/>
    <w:rsid w:val="00F60665"/>
    <w:rsid w:val="00F62419"/>
    <w:rsid w:val="00F62BF1"/>
    <w:rsid w:val="00F64AB3"/>
    <w:rsid w:val="00F64E3E"/>
    <w:rsid w:val="00F65BA8"/>
    <w:rsid w:val="00F65D73"/>
    <w:rsid w:val="00F72117"/>
    <w:rsid w:val="00F801EC"/>
    <w:rsid w:val="00F818AC"/>
    <w:rsid w:val="00F821A9"/>
    <w:rsid w:val="00F902F8"/>
    <w:rsid w:val="00F903A3"/>
    <w:rsid w:val="00F91E9E"/>
    <w:rsid w:val="00F946EA"/>
    <w:rsid w:val="00F94BB2"/>
    <w:rsid w:val="00F973F2"/>
    <w:rsid w:val="00FA1D4B"/>
    <w:rsid w:val="00FA3B80"/>
    <w:rsid w:val="00FA46EB"/>
    <w:rsid w:val="00FA6241"/>
    <w:rsid w:val="00FA6C3F"/>
    <w:rsid w:val="00FB0CCA"/>
    <w:rsid w:val="00FB2C13"/>
    <w:rsid w:val="00FB4228"/>
    <w:rsid w:val="00FB44AC"/>
    <w:rsid w:val="00FB55DA"/>
    <w:rsid w:val="00FB5803"/>
    <w:rsid w:val="00FC1444"/>
    <w:rsid w:val="00FC3929"/>
    <w:rsid w:val="00FC6E1D"/>
    <w:rsid w:val="00FD2DE4"/>
    <w:rsid w:val="00FE287B"/>
    <w:rsid w:val="00FE3372"/>
    <w:rsid w:val="00FE3A28"/>
    <w:rsid w:val="00FE3B1F"/>
    <w:rsid w:val="00FE4641"/>
    <w:rsid w:val="00FF023A"/>
    <w:rsid w:val="00FF0AE2"/>
    <w:rsid w:val="00FF1EC4"/>
    <w:rsid w:val="00FF224B"/>
    <w:rsid w:val="00FF38B8"/>
    <w:rsid w:val="00FF4DDB"/>
    <w:rsid w:val="00FF57B7"/>
    <w:rsid w:val="00FF6441"/>
    <w:rsid w:val="01063446"/>
    <w:rsid w:val="010F5CFD"/>
    <w:rsid w:val="011411D4"/>
    <w:rsid w:val="011B081B"/>
    <w:rsid w:val="012D15EF"/>
    <w:rsid w:val="01361F25"/>
    <w:rsid w:val="01420A1F"/>
    <w:rsid w:val="014F550F"/>
    <w:rsid w:val="01764F01"/>
    <w:rsid w:val="017A6DCA"/>
    <w:rsid w:val="01B52408"/>
    <w:rsid w:val="01CC7C92"/>
    <w:rsid w:val="01DC3F1A"/>
    <w:rsid w:val="01E079BD"/>
    <w:rsid w:val="01EB5EBF"/>
    <w:rsid w:val="01F86AD4"/>
    <w:rsid w:val="01FF5342"/>
    <w:rsid w:val="020D74B2"/>
    <w:rsid w:val="020F66B2"/>
    <w:rsid w:val="02182ED7"/>
    <w:rsid w:val="02215E8E"/>
    <w:rsid w:val="02293947"/>
    <w:rsid w:val="023006A7"/>
    <w:rsid w:val="02320327"/>
    <w:rsid w:val="023747AF"/>
    <w:rsid w:val="024D6B6A"/>
    <w:rsid w:val="02643701"/>
    <w:rsid w:val="029010D5"/>
    <w:rsid w:val="02951D7E"/>
    <w:rsid w:val="029B04E7"/>
    <w:rsid w:val="02AB0128"/>
    <w:rsid w:val="02C70662"/>
    <w:rsid w:val="02D41B01"/>
    <w:rsid w:val="030054FC"/>
    <w:rsid w:val="0305247E"/>
    <w:rsid w:val="03072F19"/>
    <w:rsid w:val="03073BDC"/>
    <w:rsid w:val="030C5976"/>
    <w:rsid w:val="031A60A6"/>
    <w:rsid w:val="03254437"/>
    <w:rsid w:val="032755F8"/>
    <w:rsid w:val="033F44DC"/>
    <w:rsid w:val="034871DC"/>
    <w:rsid w:val="0364672C"/>
    <w:rsid w:val="0381701C"/>
    <w:rsid w:val="039030BF"/>
    <w:rsid w:val="03AB0F73"/>
    <w:rsid w:val="03AF3A4C"/>
    <w:rsid w:val="03BB37FC"/>
    <w:rsid w:val="03ED0212"/>
    <w:rsid w:val="03FB3025"/>
    <w:rsid w:val="03FC0BE8"/>
    <w:rsid w:val="04013182"/>
    <w:rsid w:val="04064B7C"/>
    <w:rsid w:val="0411533A"/>
    <w:rsid w:val="04185C08"/>
    <w:rsid w:val="042011C5"/>
    <w:rsid w:val="04206331"/>
    <w:rsid w:val="043168B5"/>
    <w:rsid w:val="043260F6"/>
    <w:rsid w:val="04352076"/>
    <w:rsid w:val="043930DC"/>
    <w:rsid w:val="044A651F"/>
    <w:rsid w:val="044E7CD8"/>
    <w:rsid w:val="047E1145"/>
    <w:rsid w:val="049251C3"/>
    <w:rsid w:val="049E7685"/>
    <w:rsid w:val="04A92035"/>
    <w:rsid w:val="04B574F8"/>
    <w:rsid w:val="04D06915"/>
    <w:rsid w:val="04DA33A7"/>
    <w:rsid w:val="04E230F9"/>
    <w:rsid w:val="04E4249B"/>
    <w:rsid w:val="04EE7EEC"/>
    <w:rsid w:val="050510CA"/>
    <w:rsid w:val="053264C4"/>
    <w:rsid w:val="0555228E"/>
    <w:rsid w:val="057D6C1A"/>
    <w:rsid w:val="05833A23"/>
    <w:rsid w:val="05972BB7"/>
    <w:rsid w:val="059D1E39"/>
    <w:rsid w:val="05AB5594"/>
    <w:rsid w:val="05C55049"/>
    <w:rsid w:val="05E078B3"/>
    <w:rsid w:val="05E91F4B"/>
    <w:rsid w:val="05F87BB9"/>
    <w:rsid w:val="05FB39AE"/>
    <w:rsid w:val="060741C7"/>
    <w:rsid w:val="060F4745"/>
    <w:rsid w:val="06231E4A"/>
    <w:rsid w:val="062509EA"/>
    <w:rsid w:val="062A36ED"/>
    <w:rsid w:val="063C49CA"/>
    <w:rsid w:val="064D61B8"/>
    <w:rsid w:val="064D6A7D"/>
    <w:rsid w:val="06533D31"/>
    <w:rsid w:val="066E1B06"/>
    <w:rsid w:val="06734882"/>
    <w:rsid w:val="068E7199"/>
    <w:rsid w:val="069716DA"/>
    <w:rsid w:val="06BA0494"/>
    <w:rsid w:val="071E0A67"/>
    <w:rsid w:val="074573FA"/>
    <w:rsid w:val="075B28CD"/>
    <w:rsid w:val="07677DFE"/>
    <w:rsid w:val="077D0583"/>
    <w:rsid w:val="077E0859"/>
    <w:rsid w:val="07832E38"/>
    <w:rsid w:val="07936306"/>
    <w:rsid w:val="079724D0"/>
    <w:rsid w:val="079F14A7"/>
    <w:rsid w:val="07B64236"/>
    <w:rsid w:val="07D41B7E"/>
    <w:rsid w:val="07D55DF6"/>
    <w:rsid w:val="08045C1E"/>
    <w:rsid w:val="0810327C"/>
    <w:rsid w:val="081410F9"/>
    <w:rsid w:val="08166A43"/>
    <w:rsid w:val="082A352F"/>
    <w:rsid w:val="08325246"/>
    <w:rsid w:val="084D7D75"/>
    <w:rsid w:val="085310AF"/>
    <w:rsid w:val="0875181E"/>
    <w:rsid w:val="08790444"/>
    <w:rsid w:val="088C474E"/>
    <w:rsid w:val="08986A27"/>
    <w:rsid w:val="089D1B06"/>
    <w:rsid w:val="08C349D1"/>
    <w:rsid w:val="08CD23E1"/>
    <w:rsid w:val="08D27BD4"/>
    <w:rsid w:val="08DF7F73"/>
    <w:rsid w:val="08E623AA"/>
    <w:rsid w:val="08EA1A1B"/>
    <w:rsid w:val="08FC23B7"/>
    <w:rsid w:val="08FD1F99"/>
    <w:rsid w:val="09297FF5"/>
    <w:rsid w:val="092D6388"/>
    <w:rsid w:val="093627B6"/>
    <w:rsid w:val="093E3544"/>
    <w:rsid w:val="09460486"/>
    <w:rsid w:val="095A6ADF"/>
    <w:rsid w:val="095C1FE8"/>
    <w:rsid w:val="095C4FB4"/>
    <w:rsid w:val="095D7A6A"/>
    <w:rsid w:val="096C2283"/>
    <w:rsid w:val="096D6D5E"/>
    <w:rsid w:val="097112CB"/>
    <w:rsid w:val="09A54128"/>
    <w:rsid w:val="09D63145"/>
    <w:rsid w:val="09F423A0"/>
    <w:rsid w:val="09F67CD5"/>
    <w:rsid w:val="09F9316B"/>
    <w:rsid w:val="0A1658FC"/>
    <w:rsid w:val="0A292CF3"/>
    <w:rsid w:val="0A3A347E"/>
    <w:rsid w:val="0A415535"/>
    <w:rsid w:val="0A494C47"/>
    <w:rsid w:val="0A8F1278"/>
    <w:rsid w:val="0A94336A"/>
    <w:rsid w:val="0A9724B3"/>
    <w:rsid w:val="0AA956DC"/>
    <w:rsid w:val="0AAA5F19"/>
    <w:rsid w:val="0AAA770C"/>
    <w:rsid w:val="0AB9748A"/>
    <w:rsid w:val="0AC167FE"/>
    <w:rsid w:val="0AED1D7C"/>
    <w:rsid w:val="0AFC17D9"/>
    <w:rsid w:val="0B043FF4"/>
    <w:rsid w:val="0B1624E2"/>
    <w:rsid w:val="0B560EAA"/>
    <w:rsid w:val="0B584155"/>
    <w:rsid w:val="0B5973E4"/>
    <w:rsid w:val="0B6658C1"/>
    <w:rsid w:val="0B7727AE"/>
    <w:rsid w:val="0B7D6506"/>
    <w:rsid w:val="0B9362E3"/>
    <w:rsid w:val="0B954311"/>
    <w:rsid w:val="0B9E71DF"/>
    <w:rsid w:val="0B9F39A2"/>
    <w:rsid w:val="0BA039E8"/>
    <w:rsid w:val="0BA17D00"/>
    <w:rsid w:val="0BBD62CF"/>
    <w:rsid w:val="0BF07131"/>
    <w:rsid w:val="0C235CAF"/>
    <w:rsid w:val="0C3D2308"/>
    <w:rsid w:val="0C5515BA"/>
    <w:rsid w:val="0C776B79"/>
    <w:rsid w:val="0C7D51E6"/>
    <w:rsid w:val="0C923042"/>
    <w:rsid w:val="0C9351D2"/>
    <w:rsid w:val="0C9D30C2"/>
    <w:rsid w:val="0CCE3F0C"/>
    <w:rsid w:val="0CD95FD8"/>
    <w:rsid w:val="0CF12E49"/>
    <w:rsid w:val="0D193771"/>
    <w:rsid w:val="0D1B1A8F"/>
    <w:rsid w:val="0D216352"/>
    <w:rsid w:val="0D2242B0"/>
    <w:rsid w:val="0D494B5D"/>
    <w:rsid w:val="0D877DB6"/>
    <w:rsid w:val="0D8A02D2"/>
    <w:rsid w:val="0D8F4081"/>
    <w:rsid w:val="0D9D65F4"/>
    <w:rsid w:val="0DA020E3"/>
    <w:rsid w:val="0DA62019"/>
    <w:rsid w:val="0DB63A7B"/>
    <w:rsid w:val="0DC566A4"/>
    <w:rsid w:val="0DE77EDE"/>
    <w:rsid w:val="0DE91C8A"/>
    <w:rsid w:val="0E14552A"/>
    <w:rsid w:val="0E172BD0"/>
    <w:rsid w:val="0E18426E"/>
    <w:rsid w:val="0E1F420A"/>
    <w:rsid w:val="0E241F50"/>
    <w:rsid w:val="0E4711FC"/>
    <w:rsid w:val="0E48121B"/>
    <w:rsid w:val="0E5C209B"/>
    <w:rsid w:val="0E9E6388"/>
    <w:rsid w:val="0EB24CFE"/>
    <w:rsid w:val="0EDF02B5"/>
    <w:rsid w:val="0EEC1926"/>
    <w:rsid w:val="0EF0290F"/>
    <w:rsid w:val="0F033B2E"/>
    <w:rsid w:val="0F164D4D"/>
    <w:rsid w:val="0F315607"/>
    <w:rsid w:val="0F593CC6"/>
    <w:rsid w:val="0F7716EA"/>
    <w:rsid w:val="0F7C588C"/>
    <w:rsid w:val="0F7D1272"/>
    <w:rsid w:val="0FBA6733"/>
    <w:rsid w:val="0FD54405"/>
    <w:rsid w:val="0FD9610F"/>
    <w:rsid w:val="0FE9324B"/>
    <w:rsid w:val="100D6188"/>
    <w:rsid w:val="10277CAB"/>
    <w:rsid w:val="102F6B20"/>
    <w:rsid w:val="103706A7"/>
    <w:rsid w:val="103E0032"/>
    <w:rsid w:val="104A18C6"/>
    <w:rsid w:val="105037D0"/>
    <w:rsid w:val="10505D93"/>
    <w:rsid w:val="105F0547"/>
    <w:rsid w:val="10670F0E"/>
    <w:rsid w:val="106B2B6B"/>
    <w:rsid w:val="106D269D"/>
    <w:rsid w:val="107604C9"/>
    <w:rsid w:val="10936355"/>
    <w:rsid w:val="10A50104"/>
    <w:rsid w:val="10C97361"/>
    <w:rsid w:val="10DD11D7"/>
    <w:rsid w:val="10E64982"/>
    <w:rsid w:val="10EE6A98"/>
    <w:rsid w:val="113238BD"/>
    <w:rsid w:val="1132553A"/>
    <w:rsid w:val="1140361C"/>
    <w:rsid w:val="11421E5E"/>
    <w:rsid w:val="11422E62"/>
    <w:rsid w:val="114E14F4"/>
    <w:rsid w:val="115B3410"/>
    <w:rsid w:val="1176196F"/>
    <w:rsid w:val="119D7849"/>
    <w:rsid w:val="11AE186A"/>
    <w:rsid w:val="11BD721C"/>
    <w:rsid w:val="11E34CA7"/>
    <w:rsid w:val="11ED1B1E"/>
    <w:rsid w:val="11FC344C"/>
    <w:rsid w:val="120149B2"/>
    <w:rsid w:val="12134735"/>
    <w:rsid w:val="12257AB1"/>
    <w:rsid w:val="12261469"/>
    <w:rsid w:val="123A02A9"/>
    <w:rsid w:val="1242135C"/>
    <w:rsid w:val="12501584"/>
    <w:rsid w:val="12626D51"/>
    <w:rsid w:val="1282136C"/>
    <w:rsid w:val="128B26EC"/>
    <w:rsid w:val="12D66C42"/>
    <w:rsid w:val="12E03798"/>
    <w:rsid w:val="12E038EF"/>
    <w:rsid w:val="12E471B3"/>
    <w:rsid w:val="12E524C7"/>
    <w:rsid w:val="12F33A2A"/>
    <w:rsid w:val="12F91530"/>
    <w:rsid w:val="12F9640D"/>
    <w:rsid w:val="131533A4"/>
    <w:rsid w:val="133F0F36"/>
    <w:rsid w:val="134021C7"/>
    <w:rsid w:val="13454E10"/>
    <w:rsid w:val="134F44BD"/>
    <w:rsid w:val="13561985"/>
    <w:rsid w:val="135C3077"/>
    <w:rsid w:val="13806E8A"/>
    <w:rsid w:val="13A1683F"/>
    <w:rsid w:val="13AF13E0"/>
    <w:rsid w:val="13C22E30"/>
    <w:rsid w:val="13C92A3F"/>
    <w:rsid w:val="13EE5D2E"/>
    <w:rsid w:val="13F056EA"/>
    <w:rsid w:val="140164DF"/>
    <w:rsid w:val="14116131"/>
    <w:rsid w:val="14247998"/>
    <w:rsid w:val="143D0495"/>
    <w:rsid w:val="14403A25"/>
    <w:rsid w:val="144858D9"/>
    <w:rsid w:val="147D0FE2"/>
    <w:rsid w:val="148257B3"/>
    <w:rsid w:val="14960C8D"/>
    <w:rsid w:val="14A93836"/>
    <w:rsid w:val="14A93BF2"/>
    <w:rsid w:val="14BE5DC6"/>
    <w:rsid w:val="14D961C2"/>
    <w:rsid w:val="14DA3DA1"/>
    <w:rsid w:val="14E23E59"/>
    <w:rsid w:val="14E77EFC"/>
    <w:rsid w:val="14F0527E"/>
    <w:rsid w:val="15123D9E"/>
    <w:rsid w:val="152D3980"/>
    <w:rsid w:val="15474D46"/>
    <w:rsid w:val="155125E3"/>
    <w:rsid w:val="15763266"/>
    <w:rsid w:val="158C4B9F"/>
    <w:rsid w:val="158D6F6A"/>
    <w:rsid w:val="159348F7"/>
    <w:rsid w:val="15B33927"/>
    <w:rsid w:val="15BA32B2"/>
    <w:rsid w:val="15BE6B7D"/>
    <w:rsid w:val="15C839C8"/>
    <w:rsid w:val="15CF4290"/>
    <w:rsid w:val="15D70664"/>
    <w:rsid w:val="15DC256D"/>
    <w:rsid w:val="15E45FFC"/>
    <w:rsid w:val="15F25F90"/>
    <w:rsid w:val="15FD5DE9"/>
    <w:rsid w:val="160C7839"/>
    <w:rsid w:val="161B446F"/>
    <w:rsid w:val="16291E11"/>
    <w:rsid w:val="168C722A"/>
    <w:rsid w:val="16A40CB1"/>
    <w:rsid w:val="16CD4F32"/>
    <w:rsid w:val="16DE0A33"/>
    <w:rsid w:val="16FE580B"/>
    <w:rsid w:val="17046932"/>
    <w:rsid w:val="17155857"/>
    <w:rsid w:val="17170FF0"/>
    <w:rsid w:val="174662BC"/>
    <w:rsid w:val="176329A4"/>
    <w:rsid w:val="176973D8"/>
    <w:rsid w:val="17826121"/>
    <w:rsid w:val="17895AAB"/>
    <w:rsid w:val="17950508"/>
    <w:rsid w:val="179E0C36"/>
    <w:rsid w:val="17AD7BB9"/>
    <w:rsid w:val="17AE4590"/>
    <w:rsid w:val="17B865FB"/>
    <w:rsid w:val="17C01C99"/>
    <w:rsid w:val="17CD0BAB"/>
    <w:rsid w:val="17CD7250"/>
    <w:rsid w:val="17E33C32"/>
    <w:rsid w:val="17FC23C6"/>
    <w:rsid w:val="18014935"/>
    <w:rsid w:val="181C25FB"/>
    <w:rsid w:val="1827319E"/>
    <w:rsid w:val="182C6EFC"/>
    <w:rsid w:val="184E2F83"/>
    <w:rsid w:val="18663B72"/>
    <w:rsid w:val="18677125"/>
    <w:rsid w:val="186827EC"/>
    <w:rsid w:val="18701620"/>
    <w:rsid w:val="187757F8"/>
    <w:rsid w:val="18807569"/>
    <w:rsid w:val="18B26BC9"/>
    <w:rsid w:val="18B4714D"/>
    <w:rsid w:val="18C67B41"/>
    <w:rsid w:val="18E875A5"/>
    <w:rsid w:val="18ED360C"/>
    <w:rsid w:val="18F062F7"/>
    <w:rsid w:val="19010C43"/>
    <w:rsid w:val="19084C73"/>
    <w:rsid w:val="19145D4E"/>
    <w:rsid w:val="192704F2"/>
    <w:rsid w:val="194239FF"/>
    <w:rsid w:val="194E6691"/>
    <w:rsid w:val="19604C71"/>
    <w:rsid w:val="19671814"/>
    <w:rsid w:val="19774C0D"/>
    <w:rsid w:val="198048E1"/>
    <w:rsid w:val="199D1C93"/>
    <w:rsid w:val="19D21C8E"/>
    <w:rsid w:val="19D70B73"/>
    <w:rsid w:val="19DD109C"/>
    <w:rsid w:val="19E04B14"/>
    <w:rsid w:val="19E51863"/>
    <w:rsid w:val="19EF21CA"/>
    <w:rsid w:val="1A0470F6"/>
    <w:rsid w:val="1A054259"/>
    <w:rsid w:val="1A273CC1"/>
    <w:rsid w:val="1A2F1202"/>
    <w:rsid w:val="1A330551"/>
    <w:rsid w:val="1A375276"/>
    <w:rsid w:val="1A3C6319"/>
    <w:rsid w:val="1A564770"/>
    <w:rsid w:val="1A994BDC"/>
    <w:rsid w:val="1AA20BEC"/>
    <w:rsid w:val="1AA73898"/>
    <w:rsid w:val="1AAB24C2"/>
    <w:rsid w:val="1AC83280"/>
    <w:rsid w:val="1ACB71A7"/>
    <w:rsid w:val="1B401413"/>
    <w:rsid w:val="1B5B4F29"/>
    <w:rsid w:val="1B691856"/>
    <w:rsid w:val="1B6A73D5"/>
    <w:rsid w:val="1B6B20E9"/>
    <w:rsid w:val="1B7168D1"/>
    <w:rsid w:val="1B7A36A9"/>
    <w:rsid w:val="1B7F6005"/>
    <w:rsid w:val="1B920E49"/>
    <w:rsid w:val="1B9D73EE"/>
    <w:rsid w:val="1BAE667F"/>
    <w:rsid w:val="1BC96DA5"/>
    <w:rsid w:val="1C132CB9"/>
    <w:rsid w:val="1C1343EC"/>
    <w:rsid w:val="1C1F3444"/>
    <w:rsid w:val="1C2019B2"/>
    <w:rsid w:val="1C2516BD"/>
    <w:rsid w:val="1C322B18"/>
    <w:rsid w:val="1C3639F2"/>
    <w:rsid w:val="1C437393"/>
    <w:rsid w:val="1C4E6FFE"/>
    <w:rsid w:val="1C7D0023"/>
    <w:rsid w:val="1C806C3B"/>
    <w:rsid w:val="1CAB33B7"/>
    <w:rsid w:val="1CC760B8"/>
    <w:rsid w:val="1CCC26CA"/>
    <w:rsid w:val="1CE40344"/>
    <w:rsid w:val="1CE76586"/>
    <w:rsid w:val="1CE94C7E"/>
    <w:rsid w:val="1CEC2380"/>
    <w:rsid w:val="1CF370D6"/>
    <w:rsid w:val="1CF70690"/>
    <w:rsid w:val="1CFF10CB"/>
    <w:rsid w:val="1CFF764F"/>
    <w:rsid w:val="1D0432AA"/>
    <w:rsid w:val="1D0B45EB"/>
    <w:rsid w:val="1D1236CD"/>
    <w:rsid w:val="1D274763"/>
    <w:rsid w:val="1D3F1E0A"/>
    <w:rsid w:val="1D6A0296"/>
    <w:rsid w:val="1D7448A2"/>
    <w:rsid w:val="1D8078B8"/>
    <w:rsid w:val="1DB26C50"/>
    <w:rsid w:val="1DB530CD"/>
    <w:rsid w:val="1E056606"/>
    <w:rsid w:val="1E0632B0"/>
    <w:rsid w:val="1E127BE4"/>
    <w:rsid w:val="1E4361B4"/>
    <w:rsid w:val="1E665A08"/>
    <w:rsid w:val="1E6E4DA5"/>
    <w:rsid w:val="1E7A1BD5"/>
    <w:rsid w:val="1E8224FF"/>
    <w:rsid w:val="1E8F7911"/>
    <w:rsid w:val="1E9D6342"/>
    <w:rsid w:val="1EA33C4F"/>
    <w:rsid w:val="1EA44B74"/>
    <w:rsid w:val="1EAE7285"/>
    <w:rsid w:val="1EB055BF"/>
    <w:rsid w:val="1EBD2365"/>
    <w:rsid w:val="1EC1716C"/>
    <w:rsid w:val="1ECA5C70"/>
    <w:rsid w:val="1EDE49FD"/>
    <w:rsid w:val="1EE1629A"/>
    <w:rsid w:val="1EE34BE4"/>
    <w:rsid w:val="1EE360FA"/>
    <w:rsid w:val="1F2078E0"/>
    <w:rsid w:val="1F254E27"/>
    <w:rsid w:val="1F4E4DD3"/>
    <w:rsid w:val="1F690195"/>
    <w:rsid w:val="1F6F2B1B"/>
    <w:rsid w:val="1F790691"/>
    <w:rsid w:val="1FB50E2A"/>
    <w:rsid w:val="1FE1495C"/>
    <w:rsid w:val="2005797F"/>
    <w:rsid w:val="20061318"/>
    <w:rsid w:val="201F2242"/>
    <w:rsid w:val="204E6676"/>
    <w:rsid w:val="205B30A6"/>
    <w:rsid w:val="20763EF8"/>
    <w:rsid w:val="20766689"/>
    <w:rsid w:val="20862B7C"/>
    <w:rsid w:val="208A71ED"/>
    <w:rsid w:val="20A839AB"/>
    <w:rsid w:val="20AC22B9"/>
    <w:rsid w:val="20F843D4"/>
    <w:rsid w:val="20FD7AEC"/>
    <w:rsid w:val="21022C5E"/>
    <w:rsid w:val="210B318A"/>
    <w:rsid w:val="210D3748"/>
    <w:rsid w:val="211B14A5"/>
    <w:rsid w:val="21247704"/>
    <w:rsid w:val="214F70E4"/>
    <w:rsid w:val="21572E0E"/>
    <w:rsid w:val="216A16BF"/>
    <w:rsid w:val="2195668B"/>
    <w:rsid w:val="21962F88"/>
    <w:rsid w:val="21A1039B"/>
    <w:rsid w:val="21BE5AD4"/>
    <w:rsid w:val="21CA1BB1"/>
    <w:rsid w:val="21F128CC"/>
    <w:rsid w:val="220B1CB9"/>
    <w:rsid w:val="221861F4"/>
    <w:rsid w:val="223A4BF4"/>
    <w:rsid w:val="224C6FD4"/>
    <w:rsid w:val="22551E62"/>
    <w:rsid w:val="22633A1C"/>
    <w:rsid w:val="22670C51"/>
    <w:rsid w:val="22695D7F"/>
    <w:rsid w:val="226B7889"/>
    <w:rsid w:val="22742781"/>
    <w:rsid w:val="22DA5720"/>
    <w:rsid w:val="22F90E08"/>
    <w:rsid w:val="23081A49"/>
    <w:rsid w:val="2314495C"/>
    <w:rsid w:val="2334383D"/>
    <w:rsid w:val="23437A88"/>
    <w:rsid w:val="234826EF"/>
    <w:rsid w:val="234D7183"/>
    <w:rsid w:val="234E207A"/>
    <w:rsid w:val="237776CF"/>
    <w:rsid w:val="23A91ADB"/>
    <w:rsid w:val="23B00775"/>
    <w:rsid w:val="23B369D5"/>
    <w:rsid w:val="23BB4C2C"/>
    <w:rsid w:val="23C15D2D"/>
    <w:rsid w:val="23C46113"/>
    <w:rsid w:val="23CE335E"/>
    <w:rsid w:val="23DB1C0A"/>
    <w:rsid w:val="23EB17FC"/>
    <w:rsid w:val="23F65599"/>
    <w:rsid w:val="241A03AC"/>
    <w:rsid w:val="243D3550"/>
    <w:rsid w:val="243E205B"/>
    <w:rsid w:val="244C451B"/>
    <w:rsid w:val="245C52F8"/>
    <w:rsid w:val="245F0637"/>
    <w:rsid w:val="2463385E"/>
    <w:rsid w:val="246919F1"/>
    <w:rsid w:val="24763F21"/>
    <w:rsid w:val="247E405B"/>
    <w:rsid w:val="24964F18"/>
    <w:rsid w:val="24971EEC"/>
    <w:rsid w:val="24B832A2"/>
    <w:rsid w:val="24C97368"/>
    <w:rsid w:val="24CC0E51"/>
    <w:rsid w:val="24E64719"/>
    <w:rsid w:val="24E8221E"/>
    <w:rsid w:val="25040446"/>
    <w:rsid w:val="250D568B"/>
    <w:rsid w:val="25134332"/>
    <w:rsid w:val="251608D7"/>
    <w:rsid w:val="253C66CD"/>
    <w:rsid w:val="25505F27"/>
    <w:rsid w:val="25510545"/>
    <w:rsid w:val="25593E9F"/>
    <w:rsid w:val="255F2345"/>
    <w:rsid w:val="257E508F"/>
    <w:rsid w:val="25891455"/>
    <w:rsid w:val="25910BD5"/>
    <w:rsid w:val="25961FCE"/>
    <w:rsid w:val="25A523BE"/>
    <w:rsid w:val="25B4291C"/>
    <w:rsid w:val="25C52CA6"/>
    <w:rsid w:val="25CA498C"/>
    <w:rsid w:val="25E71D3E"/>
    <w:rsid w:val="2606502A"/>
    <w:rsid w:val="261C4DDA"/>
    <w:rsid w:val="263544FF"/>
    <w:rsid w:val="2668090A"/>
    <w:rsid w:val="26886044"/>
    <w:rsid w:val="26893EC7"/>
    <w:rsid w:val="26BF5712"/>
    <w:rsid w:val="26C0150C"/>
    <w:rsid w:val="26D251BE"/>
    <w:rsid w:val="26D25624"/>
    <w:rsid w:val="26D519C6"/>
    <w:rsid w:val="26DB388E"/>
    <w:rsid w:val="270011DC"/>
    <w:rsid w:val="27007A65"/>
    <w:rsid w:val="27016E0C"/>
    <w:rsid w:val="270C081B"/>
    <w:rsid w:val="272B10D0"/>
    <w:rsid w:val="276D0F63"/>
    <w:rsid w:val="27746F46"/>
    <w:rsid w:val="277E52D7"/>
    <w:rsid w:val="27992E69"/>
    <w:rsid w:val="27AB7429"/>
    <w:rsid w:val="27B32FBD"/>
    <w:rsid w:val="27B37D2F"/>
    <w:rsid w:val="27B8643F"/>
    <w:rsid w:val="27BA54BC"/>
    <w:rsid w:val="27DB7BEF"/>
    <w:rsid w:val="27DD7599"/>
    <w:rsid w:val="27E22DFD"/>
    <w:rsid w:val="27E631D6"/>
    <w:rsid w:val="27F105E3"/>
    <w:rsid w:val="281C2C78"/>
    <w:rsid w:val="282C66F4"/>
    <w:rsid w:val="282E572A"/>
    <w:rsid w:val="28416E7E"/>
    <w:rsid w:val="285C053E"/>
    <w:rsid w:val="287E141B"/>
    <w:rsid w:val="28AC6B38"/>
    <w:rsid w:val="28BB102D"/>
    <w:rsid w:val="28CA0B7C"/>
    <w:rsid w:val="290D6EBE"/>
    <w:rsid w:val="291D5E12"/>
    <w:rsid w:val="293351FB"/>
    <w:rsid w:val="29621FF4"/>
    <w:rsid w:val="296D0C94"/>
    <w:rsid w:val="29955A56"/>
    <w:rsid w:val="29CF1324"/>
    <w:rsid w:val="29D335AD"/>
    <w:rsid w:val="29DF5253"/>
    <w:rsid w:val="29FA7F26"/>
    <w:rsid w:val="2A0C4A0C"/>
    <w:rsid w:val="2A0E07A2"/>
    <w:rsid w:val="2A0F29F0"/>
    <w:rsid w:val="2A0F7B8F"/>
    <w:rsid w:val="2A1C3D86"/>
    <w:rsid w:val="2A271FA9"/>
    <w:rsid w:val="2A374081"/>
    <w:rsid w:val="2A520385"/>
    <w:rsid w:val="2A5F0C68"/>
    <w:rsid w:val="2A725FE5"/>
    <w:rsid w:val="2A962B3D"/>
    <w:rsid w:val="2ACC4A84"/>
    <w:rsid w:val="2B0A5828"/>
    <w:rsid w:val="2B143BB9"/>
    <w:rsid w:val="2B1A1346"/>
    <w:rsid w:val="2B1F5E71"/>
    <w:rsid w:val="2B546A64"/>
    <w:rsid w:val="2B5833A9"/>
    <w:rsid w:val="2B774832"/>
    <w:rsid w:val="2B7A4BE2"/>
    <w:rsid w:val="2B8C0B0E"/>
    <w:rsid w:val="2BA0795A"/>
    <w:rsid w:val="2BBB0ECF"/>
    <w:rsid w:val="2BCE686B"/>
    <w:rsid w:val="2BD23509"/>
    <w:rsid w:val="2BE02B6A"/>
    <w:rsid w:val="2C0C5068"/>
    <w:rsid w:val="2C393D1C"/>
    <w:rsid w:val="2C3E7B79"/>
    <w:rsid w:val="2C42309D"/>
    <w:rsid w:val="2C5306F8"/>
    <w:rsid w:val="2C6C4E68"/>
    <w:rsid w:val="2C8068B2"/>
    <w:rsid w:val="2C8F7FB8"/>
    <w:rsid w:val="2C946521"/>
    <w:rsid w:val="2CB52ADF"/>
    <w:rsid w:val="2CDE11E4"/>
    <w:rsid w:val="2CE55F57"/>
    <w:rsid w:val="2CE65F44"/>
    <w:rsid w:val="2D074C6E"/>
    <w:rsid w:val="2D156D07"/>
    <w:rsid w:val="2D2E4746"/>
    <w:rsid w:val="2D3736B2"/>
    <w:rsid w:val="2D4865E1"/>
    <w:rsid w:val="2D505C98"/>
    <w:rsid w:val="2D62795A"/>
    <w:rsid w:val="2D637F86"/>
    <w:rsid w:val="2D76778B"/>
    <w:rsid w:val="2DE43D61"/>
    <w:rsid w:val="2DFF5BD0"/>
    <w:rsid w:val="2E027D0C"/>
    <w:rsid w:val="2E090901"/>
    <w:rsid w:val="2E0A1A19"/>
    <w:rsid w:val="2E1275F1"/>
    <w:rsid w:val="2E2C3379"/>
    <w:rsid w:val="2E2C73EF"/>
    <w:rsid w:val="2E743646"/>
    <w:rsid w:val="2E876B6B"/>
    <w:rsid w:val="2E897160"/>
    <w:rsid w:val="2E8E6773"/>
    <w:rsid w:val="2E8F7BEB"/>
    <w:rsid w:val="2EAC1F75"/>
    <w:rsid w:val="2ED44965"/>
    <w:rsid w:val="2EE00777"/>
    <w:rsid w:val="2EFD22A6"/>
    <w:rsid w:val="2F031C30"/>
    <w:rsid w:val="2F1251F2"/>
    <w:rsid w:val="2F15794C"/>
    <w:rsid w:val="2F1A79DF"/>
    <w:rsid w:val="2F351DA2"/>
    <w:rsid w:val="2F3A7B8C"/>
    <w:rsid w:val="2F5603B6"/>
    <w:rsid w:val="2F6509D0"/>
    <w:rsid w:val="2F6C1E19"/>
    <w:rsid w:val="2F8F15BD"/>
    <w:rsid w:val="2FB118A3"/>
    <w:rsid w:val="2FC26447"/>
    <w:rsid w:val="30055B75"/>
    <w:rsid w:val="300C7EE4"/>
    <w:rsid w:val="30220EE0"/>
    <w:rsid w:val="303B192D"/>
    <w:rsid w:val="305912C5"/>
    <w:rsid w:val="306308F3"/>
    <w:rsid w:val="306434E9"/>
    <w:rsid w:val="3072568A"/>
    <w:rsid w:val="30962F3E"/>
    <w:rsid w:val="30A6332F"/>
    <w:rsid w:val="30AE6293"/>
    <w:rsid w:val="30D17E68"/>
    <w:rsid w:val="30DB5444"/>
    <w:rsid w:val="30E374BC"/>
    <w:rsid w:val="30E61F3A"/>
    <w:rsid w:val="30FA42EA"/>
    <w:rsid w:val="30FB5FDD"/>
    <w:rsid w:val="30FF2795"/>
    <w:rsid w:val="31023A93"/>
    <w:rsid w:val="311F1DB1"/>
    <w:rsid w:val="31722255"/>
    <w:rsid w:val="31772283"/>
    <w:rsid w:val="31A550A6"/>
    <w:rsid w:val="31BF4254"/>
    <w:rsid w:val="31D941D2"/>
    <w:rsid w:val="31E067A2"/>
    <w:rsid w:val="31E10D64"/>
    <w:rsid w:val="31F206BD"/>
    <w:rsid w:val="31F40B3F"/>
    <w:rsid w:val="322D54F6"/>
    <w:rsid w:val="3283370E"/>
    <w:rsid w:val="329027F6"/>
    <w:rsid w:val="3291389F"/>
    <w:rsid w:val="329A6ACE"/>
    <w:rsid w:val="329C4365"/>
    <w:rsid w:val="32BA4562"/>
    <w:rsid w:val="32BB0C42"/>
    <w:rsid w:val="32C02951"/>
    <w:rsid w:val="32D32892"/>
    <w:rsid w:val="32D60378"/>
    <w:rsid w:val="330C2B1C"/>
    <w:rsid w:val="330D2A50"/>
    <w:rsid w:val="33100CE4"/>
    <w:rsid w:val="3311524E"/>
    <w:rsid w:val="331200F8"/>
    <w:rsid w:val="33172783"/>
    <w:rsid w:val="33334184"/>
    <w:rsid w:val="333A6A27"/>
    <w:rsid w:val="333C359F"/>
    <w:rsid w:val="33434945"/>
    <w:rsid w:val="335B4D4D"/>
    <w:rsid w:val="33607071"/>
    <w:rsid w:val="336452A8"/>
    <w:rsid w:val="336E7B19"/>
    <w:rsid w:val="337558F7"/>
    <w:rsid w:val="338B3324"/>
    <w:rsid w:val="338B5000"/>
    <w:rsid w:val="338D7587"/>
    <w:rsid w:val="33B62DBD"/>
    <w:rsid w:val="33ED7709"/>
    <w:rsid w:val="33FF5CD2"/>
    <w:rsid w:val="344B1C71"/>
    <w:rsid w:val="34521CAF"/>
    <w:rsid w:val="346F775F"/>
    <w:rsid w:val="3479550A"/>
    <w:rsid w:val="348232D4"/>
    <w:rsid w:val="34907BB4"/>
    <w:rsid w:val="34A12E66"/>
    <w:rsid w:val="34A16B63"/>
    <w:rsid w:val="34B47CEF"/>
    <w:rsid w:val="34B677C3"/>
    <w:rsid w:val="34BC4C1A"/>
    <w:rsid w:val="34D94F8E"/>
    <w:rsid w:val="34EF5164"/>
    <w:rsid w:val="34F23B6A"/>
    <w:rsid w:val="34FB06CA"/>
    <w:rsid w:val="350134AA"/>
    <w:rsid w:val="3538685D"/>
    <w:rsid w:val="35700BFC"/>
    <w:rsid w:val="357E25A3"/>
    <w:rsid w:val="35813491"/>
    <w:rsid w:val="3586106A"/>
    <w:rsid w:val="358D4674"/>
    <w:rsid w:val="359547E0"/>
    <w:rsid w:val="35A4779E"/>
    <w:rsid w:val="35D963E6"/>
    <w:rsid w:val="35D97C38"/>
    <w:rsid w:val="35E62285"/>
    <w:rsid w:val="35EB3B29"/>
    <w:rsid w:val="35F14C97"/>
    <w:rsid w:val="35F5455A"/>
    <w:rsid w:val="360B1D73"/>
    <w:rsid w:val="361F3323"/>
    <w:rsid w:val="363661C0"/>
    <w:rsid w:val="363D6240"/>
    <w:rsid w:val="36422592"/>
    <w:rsid w:val="364635D5"/>
    <w:rsid w:val="364F2A3B"/>
    <w:rsid w:val="3651394C"/>
    <w:rsid w:val="36801982"/>
    <w:rsid w:val="368671A6"/>
    <w:rsid w:val="36890788"/>
    <w:rsid w:val="36A04581"/>
    <w:rsid w:val="36B76EFF"/>
    <w:rsid w:val="36B93385"/>
    <w:rsid w:val="36E93760"/>
    <w:rsid w:val="372E6D18"/>
    <w:rsid w:val="37305077"/>
    <w:rsid w:val="37453535"/>
    <w:rsid w:val="375436D4"/>
    <w:rsid w:val="37635EED"/>
    <w:rsid w:val="376B65F6"/>
    <w:rsid w:val="376E647C"/>
    <w:rsid w:val="37702EFF"/>
    <w:rsid w:val="3772107F"/>
    <w:rsid w:val="377C1015"/>
    <w:rsid w:val="377E620D"/>
    <w:rsid w:val="3784394E"/>
    <w:rsid w:val="379E1AD6"/>
    <w:rsid w:val="37A46956"/>
    <w:rsid w:val="37A507E2"/>
    <w:rsid w:val="37C322E4"/>
    <w:rsid w:val="37D45891"/>
    <w:rsid w:val="37DB686A"/>
    <w:rsid w:val="38040035"/>
    <w:rsid w:val="38192432"/>
    <w:rsid w:val="38694C20"/>
    <w:rsid w:val="38766CAF"/>
    <w:rsid w:val="38784A0F"/>
    <w:rsid w:val="387A1A0B"/>
    <w:rsid w:val="387D59CC"/>
    <w:rsid w:val="388A594F"/>
    <w:rsid w:val="38AE3BB0"/>
    <w:rsid w:val="38B47CD5"/>
    <w:rsid w:val="38B6081F"/>
    <w:rsid w:val="38B932C2"/>
    <w:rsid w:val="38BE093D"/>
    <w:rsid w:val="38C9516C"/>
    <w:rsid w:val="38E31989"/>
    <w:rsid w:val="38E564F0"/>
    <w:rsid w:val="38FE486E"/>
    <w:rsid w:val="39143A18"/>
    <w:rsid w:val="391A6BCE"/>
    <w:rsid w:val="3923463F"/>
    <w:rsid w:val="392463F2"/>
    <w:rsid w:val="395F6C2C"/>
    <w:rsid w:val="39C14A43"/>
    <w:rsid w:val="39F80849"/>
    <w:rsid w:val="3A21645A"/>
    <w:rsid w:val="3A2A28A9"/>
    <w:rsid w:val="3A4C0E33"/>
    <w:rsid w:val="3A6067BD"/>
    <w:rsid w:val="3A731A30"/>
    <w:rsid w:val="3A8723CC"/>
    <w:rsid w:val="3A900623"/>
    <w:rsid w:val="3AA31C0C"/>
    <w:rsid w:val="3AA940E2"/>
    <w:rsid w:val="3AAB766B"/>
    <w:rsid w:val="3AAF56A0"/>
    <w:rsid w:val="3AB3057B"/>
    <w:rsid w:val="3AC71DA2"/>
    <w:rsid w:val="3ACB5746"/>
    <w:rsid w:val="3AF410E4"/>
    <w:rsid w:val="3AFC11E0"/>
    <w:rsid w:val="3B191D44"/>
    <w:rsid w:val="3B3D61BD"/>
    <w:rsid w:val="3B403ECA"/>
    <w:rsid w:val="3B4211D6"/>
    <w:rsid w:val="3B423065"/>
    <w:rsid w:val="3B6162CB"/>
    <w:rsid w:val="3B6F3423"/>
    <w:rsid w:val="3BB20883"/>
    <w:rsid w:val="3BB97DCC"/>
    <w:rsid w:val="3BCA6795"/>
    <w:rsid w:val="3BCC1DBE"/>
    <w:rsid w:val="3BD6582D"/>
    <w:rsid w:val="3C007580"/>
    <w:rsid w:val="3C0E1FB8"/>
    <w:rsid w:val="3C152AF5"/>
    <w:rsid w:val="3C1771A5"/>
    <w:rsid w:val="3C187B84"/>
    <w:rsid w:val="3C5E2982"/>
    <w:rsid w:val="3C935077"/>
    <w:rsid w:val="3CB61A4F"/>
    <w:rsid w:val="3CC350C0"/>
    <w:rsid w:val="3CCC3EC3"/>
    <w:rsid w:val="3CD06756"/>
    <w:rsid w:val="3CD63D77"/>
    <w:rsid w:val="3D1345F3"/>
    <w:rsid w:val="3D223AA7"/>
    <w:rsid w:val="3D2F161D"/>
    <w:rsid w:val="3D58438F"/>
    <w:rsid w:val="3D6C09D0"/>
    <w:rsid w:val="3DA8275C"/>
    <w:rsid w:val="3DAE01EA"/>
    <w:rsid w:val="3DBD0BB9"/>
    <w:rsid w:val="3DC448E2"/>
    <w:rsid w:val="3DE43AD5"/>
    <w:rsid w:val="3DF328BF"/>
    <w:rsid w:val="3E0E15BC"/>
    <w:rsid w:val="3E386D41"/>
    <w:rsid w:val="3E416785"/>
    <w:rsid w:val="3E441C7D"/>
    <w:rsid w:val="3E453F37"/>
    <w:rsid w:val="3E4624A7"/>
    <w:rsid w:val="3E767F89"/>
    <w:rsid w:val="3E7C4DD3"/>
    <w:rsid w:val="3E9C4753"/>
    <w:rsid w:val="3EB32CAA"/>
    <w:rsid w:val="3F250D3D"/>
    <w:rsid w:val="3F2A7D78"/>
    <w:rsid w:val="3F374A79"/>
    <w:rsid w:val="3F3808CA"/>
    <w:rsid w:val="3F3C3EA0"/>
    <w:rsid w:val="3F3D00EE"/>
    <w:rsid w:val="3F3D66CD"/>
    <w:rsid w:val="3F4960C1"/>
    <w:rsid w:val="3F5B48B2"/>
    <w:rsid w:val="3F72500C"/>
    <w:rsid w:val="3F7578F1"/>
    <w:rsid w:val="3F792164"/>
    <w:rsid w:val="3F7C1A35"/>
    <w:rsid w:val="3F851AC5"/>
    <w:rsid w:val="3FC956FF"/>
    <w:rsid w:val="3FCC5FA2"/>
    <w:rsid w:val="3FE33605"/>
    <w:rsid w:val="3FF44640"/>
    <w:rsid w:val="3FFC3940"/>
    <w:rsid w:val="3FFE665C"/>
    <w:rsid w:val="4015092F"/>
    <w:rsid w:val="40327F7E"/>
    <w:rsid w:val="40531A99"/>
    <w:rsid w:val="406364B0"/>
    <w:rsid w:val="40711332"/>
    <w:rsid w:val="40721F86"/>
    <w:rsid w:val="408C57D5"/>
    <w:rsid w:val="40A111BE"/>
    <w:rsid w:val="40A36A71"/>
    <w:rsid w:val="40C5331A"/>
    <w:rsid w:val="40EE35ED"/>
    <w:rsid w:val="40FC6E1E"/>
    <w:rsid w:val="410E4736"/>
    <w:rsid w:val="411932BC"/>
    <w:rsid w:val="412A0477"/>
    <w:rsid w:val="414F18C3"/>
    <w:rsid w:val="41824C42"/>
    <w:rsid w:val="418739A1"/>
    <w:rsid w:val="41AB47AA"/>
    <w:rsid w:val="41D3631F"/>
    <w:rsid w:val="41D424D6"/>
    <w:rsid w:val="41E03D3A"/>
    <w:rsid w:val="41E9500D"/>
    <w:rsid w:val="41F466FD"/>
    <w:rsid w:val="42277B6B"/>
    <w:rsid w:val="423815B7"/>
    <w:rsid w:val="424332C9"/>
    <w:rsid w:val="42433670"/>
    <w:rsid w:val="42557F64"/>
    <w:rsid w:val="42573468"/>
    <w:rsid w:val="4258637E"/>
    <w:rsid w:val="42633ECA"/>
    <w:rsid w:val="426623FD"/>
    <w:rsid w:val="42707F41"/>
    <w:rsid w:val="42807E69"/>
    <w:rsid w:val="42881B91"/>
    <w:rsid w:val="42A14829"/>
    <w:rsid w:val="42A16D5F"/>
    <w:rsid w:val="42A67A24"/>
    <w:rsid w:val="42AA1BED"/>
    <w:rsid w:val="42AA28EE"/>
    <w:rsid w:val="42B20943"/>
    <w:rsid w:val="42C34C5E"/>
    <w:rsid w:val="42D846B9"/>
    <w:rsid w:val="42E24E8B"/>
    <w:rsid w:val="42E41C46"/>
    <w:rsid w:val="430D7A82"/>
    <w:rsid w:val="431D6E2F"/>
    <w:rsid w:val="43316857"/>
    <w:rsid w:val="435F790B"/>
    <w:rsid w:val="436F5993"/>
    <w:rsid w:val="43775ABD"/>
    <w:rsid w:val="437D5FB0"/>
    <w:rsid w:val="438310F8"/>
    <w:rsid w:val="438F5697"/>
    <w:rsid w:val="43A33591"/>
    <w:rsid w:val="43A55B32"/>
    <w:rsid w:val="43C732BE"/>
    <w:rsid w:val="43D95BBF"/>
    <w:rsid w:val="43F76C9D"/>
    <w:rsid w:val="440D5045"/>
    <w:rsid w:val="440E3F24"/>
    <w:rsid w:val="44173BF9"/>
    <w:rsid w:val="4430055E"/>
    <w:rsid w:val="44416E39"/>
    <w:rsid w:val="445960B0"/>
    <w:rsid w:val="44613B62"/>
    <w:rsid w:val="44AC5F21"/>
    <w:rsid w:val="44BC6E74"/>
    <w:rsid w:val="44C37525"/>
    <w:rsid w:val="44DB5630"/>
    <w:rsid w:val="44F3408E"/>
    <w:rsid w:val="4515300D"/>
    <w:rsid w:val="452132CE"/>
    <w:rsid w:val="452C1C8C"/>
    <w:rsid w:val="455164AC"/>
    <w:rsid w:val="45585FD3"/>
    <w:rsid w:val="455A36D4"/>
    <w:rsid w:val="455B0E88"/>
    <w:rsid w:val="45665BF5"/>
    <w:rsid w:val="456A1771"/>
    <w:rsid w:val="457136E3"/>
    <w:rsid w:val="458C2144"/>
    <w:rsid w:val="45924EB3"/>
    <w:rsid w:val="45BE6191"/>
    <w:rsid w:val="45C538B7"/>
    <w:rsid w:val="45CF4C53"/>
    <w:rsid w:val="45D64113"/>
    <w:rsid w:val="45ED64C7"/>
    <w:rsid w:val="45F4123C"/>
    <w:rsid w:val="460B7E71"/>
    <w:rsid w:val="460C5979"/>
    <w:rsid w:val="461C2E4C"/>
    <w:rsid w:val="461F5BAF"/>
    <w:rsid w:val="462A2AA8"/>
    <w:rsid w:val="46326797"/>
    <w:rsid w:val="46580297"/>
    <w:rsid w:val="465C35C1"/>
    <w:rsid w:val="468C18DF"/>
    <w:rsid w:val="46955DF9"/>
    <w:rsid w:val="4698704D"/>
    <w:rsid w:val="469C5730"/>
    <w:rsid w:val="469C5C42"/>
    <w:rsid w:val="46DC034D"/>
    <w:rsid w:val="46EF7E4E"/>
    <w:rsid w:val="470C2D53"/>
    <w:rsid w:val="470D5676"/>
    <w:rsid w:val="47206858"/>
    <w:rsid w:val="47412B37"/>
    <w:rsid w:val="474A4532"/>
    <w:rsid w:val="475E782E"/>
    <w:rsid w:val="476218AB"/>
    <w:rsid w:val="476F0FC5"/>
    <w:rsid w:val="4784753A"/>
    <w:rsid w:val="47882F90"/>
    <w:rsid w:val="47A42A08"/>
    <w:rsid w:val="47B72EE3"/>
    <w:rsid w:val="47B8632C"/>
    <w:rsid w:val="47C01792"/>
    <w:rsid w:val="47D40C3F"/>
    <w:rsid w:val="47E559CD"/>
    <w:rsid w:val="47F56D0E"/>
    <w:rsid w:val="47F90D4E"/>
    <w:rsid w:val="4808150F"/>
    <w:rsid w:val="48107720"/>
    <w:rsid w:val="482955FE"/>
    <w:rsid w:val="482D0F7C"/>
    <w:rsid w:val="482D66CC"/>
    <w:rsid w:val="4830797A"/>
    <w:rsid w:val="483B65F5"/>
    <w:rsid w:val="484808A4"/>
    <w:rsid w:val="485F2A9D"/>
    <w:rsid w:val="486465BB"/>
    <w:rsid w:val="4866075F"/>
    <w:rsid w:val="48773535"/>
    <w:rsid w:val="48773972"/>
    <w:rsid w:val="487865D4"/>
    <w:rsid w:val="48AE404C"/>
    <w:rsid w:val="48C856F0"/>
    <w:rsid w:val="48D85F6F"/>
    <w:rsid w:val="48EE364B"/>
    <w:rsid w:val="48F2072A"/>
    <w:rsid w:val="49073F06"/>
    <w:rsid w:val="49075BB6"/>
    <w:rsid w:val="490E72F6"/>
    <w:rsid w:val="49131272"/>
    <w:rsid w:val="492C40EC"/>
    <w:rsid w:val="49564100"/>
    <w:rsid w:val="495661FE"/>
    <w:rsid w:val="498A5485"/>
    <w:rsid w:val="499330A8"/>
    <w:rsid w:val="49A53524"/>
    <w:rsid w:val="49B25205"/>
    <w:rsid w:val="49BC4BE1"/>
    <w:rsid w:val="49C74315"/>
    <w:rsid w:val="49E9233D"/>
    <w:rsid w:val="4A156B48"/>
    <w:rsid w:val="4A3C74E0"/>
    <w:rsid w:val="4A3D7457"/>
    <w:rsid w:val="4A42266B"/>
    <w:rsid w:val="4A434E8D"/>
    <w:rsid w:val="4A4F31F8"/>
    <w:rsid w:val="4A6D5363"/>
    <w:rsid w:val="4A861153"/>
    <w:rsid w:val="4A884657"/>
    <w:rsid w:val="4A8D18B3"/>
    <w:rsid w:val="4AAD1944"/>
    <w:rsid w:val="4AAE12AF"/>
    <w:rsid w:val="4AB94E26"/>
    <w:rsid w:val="4AC31003"/>
    <w:rsid w:val="4AC35735"/>
    <w:rsid w:val="4AE14CE5"/>
    <w:rsid w:val="4AE53878"/>
    <w:rsid w:val="4AE93159"/>
    <w:rsid w:val="4B0A1E22"/>
    <w:rsid w:val="4B1706B1"/>
    <w:rsid w:val="4B28179F"/>
    <w:rsid w:val="4B5C4413"/>
    <w:rsid w:val="4B6D15FE"/>
    <w:rsid w:val="4B8C00F5"/>
    <w:rsid w:val="4BAD62AC"/>
    <w:rsid w:val="4BB45090"/>
    <w:rsid w:val="4BC6625C"/>
    <w:rsid w:val="4BD0339A"/>
    <w:rsid w:val="4BD96E26"/>
    <w:rsid w:val="4BE31424"/>
    <w:rsid w:val="4BE45480"/>
    <w:rsid w:val="4BF8620C"/>
    <w:rsid w:val="4C2578FB"/>
    <w:rsid w:val="4C3A71CC"/>
    <w:rsid w:val="4C496836"/>
    <w:rsid w:val="4C631B5F"/>
    <w:rsid w:val="4C71475D"/>
    <w:rsid w:val="4C8E129D"/>
    <w:rsid w:val="4C9A1FAB"/>
    <w:rsid w:val="4C9A533B"/>
    <w:rsid w:val="4CAC0AD9"/>
    <w:rsid w:val="4CC53B80"/>
    <w:rsid w:val="4CD42100"/>
    <w:rsid w:val="4D19690C"/>
    <w:rsid w:val="4D1A4990"/>
    <w:rsid w:val="4D23781E"/>
    <w:rsid w:val="4D462159"/>
    <w:rsid w:val="4D4B3ECB"/>
    <w:rsid w:val="4D536CE8"/>
    <w:rsid w:val="4D577E17"/>
    <w:rsid w:val="4D5C5FAC"/>
    <w:rsid w:val="4D66378A"/>
    <w:rsid w:val="4D672FD1"/>
    <w:rsid w:val="4D8A3695"/>
    <w:rsid w:val="4DB25F15"/>
    <w:rsid w:val="4DBA5BE0"/>
    <w:rsid w:val="4DBD315A"/>
    <w:rsid w:val="4DC605B6"/>
    <w:rsid w:val="4DD825EE"/>
    <w:rsid w:val="4DD95FD8"/>
    <w:rsid w:val="4DE319B7"/>
    <w:rsid w:val="4DE77799"/>
    <w:rsid w:val="4DEC0985"/>
    <w:rsid w:val="4DFA3FFE"/>
    <w:rsid w:val="4E044BB0"/>
    <w:rsid w:val="4E1E1072"/>
    <w:rsid w:val="4E27683A"/>
    <w:rsid w:val="4E565839"/>
    <w:rsid w:val="4E833E8E"/>
    <w:rsid w:val="4E887604"/>
    <w:rsid w:val="4E963E7C"/>
    <w:rsid w:val="4ED13954"/>
    <w:rsid w:val="4EDA65FB"/>
    <w:rsid w:val="4EF70A8D"/>
    <w:rsid w:val="4F0C733E"/>
    <w:rsid w:val="4F0E7AB6"/>
    <w:rsid w:val="4F1A715B"/>
    <w:rsid w:val="4F2765B1"/>
    <w:rsid w:val="4F282359"/>
    <w:rsid w:val="4F285975"/>
    <w:rsid w:val="4F2C4C71"/>
    <w:rsid w:val="4F382EB9"/>
    <w:rsid w:val="4F486A66"/>
    <w:rsid w:val="4F612D05"/>
    <w:rsid w:val="4F672A37"/>
    <w:rsid w:val="4F7409E6"/>
    <w:rsid w:val="4F7D5AED"/>
    <w:rsid w:val="4F951821"/>
    <w:rsid w:val="4FB045C9"/>
    <w:rsid w:val="4FF73C52"/>
    <w:rsid w:val="50062DD9"/>
    <w:rsid w:val="501B7300"/>
    <w:rsid w:val="50285325"/>
    <w:rsid w:val="504B4F45"/>
    <w:rsid w:val="50741D80"/>
    <w:rsid w:val="5090028C"/>
    <w:rsid w:val="509E0356"/>
    <w:rsid w:val="50A230FD"/>
    <w:rsid w:val="50AB535A"/>
    <w:rsid w:val="50AF7D6F"/>
    <w:rsid w:val="50D731F5"/>
    <w:rsid w:val="50DD17B8"/>
    <w:rsid w:val="50DD1BD1"/>
    <w:rsid w:val="512633E9"/>
    <w:rsid w:val="512A0A1B"/>
    <w:rsid w:val="513726D4"/>
    <w:rsid w:val="5145149A"/>
    <w:rsid w:val="5156017D"/>
    <w:rsid w:val="515A521A"/>
    <w:rsid w:val="516721CB"/>
    <w:rsid w:val="517370C0"/>
    <w:rsid w:val="51746790"/>
    <w:rsid w:val="51796EDE"/>
    <w:rsid w:val="51867298"/>
    <w:rsid w:val="51884CAE"/>
    <w:rsid w:val="5197080C"/>
    <w:rsid w:val="519E7677"/>
    <w:rsid w:val="51AC0F10"/>
    <w:rsid w:val="51C22AD4"/>
    <w:rsid w:val="51E42DDF"/>
    <w:rsid w:val="51F83019"/>
    <w:rsid w:val="52020A82"/>
    <w:rsid w:val="520B2AA4"/>
    <w:rsid w:val="52190C6F"/>
    <w:rsid w:val="52195EDF"/>
    <w:rsid w:val="523100DE"/>
    <w:rsid w:val="52313387"/>
    <w:rsid w:val="52595E1D"/>
    <w:rsid w:val="526F021F"/>
    <w:rsid w:val="52711BCE"/>
    <w:rsid w:val="5283747E"/>
    <w:rsid w:val="528E52E5"/>
    <w:rsid w:val="529F0593"/>
    <w:rsid w:val="52AB7DDE"/>
    <w:rsid w:val="52B05355"/>
    <w:rsid w:val="52C104ED"/>
    <w:rsid w:val="52DE243F"/>
    <w:rsid w:val="52E04D27"/>
    <w:rsid w:val="52E437A7"/>
    <w:rsid w:val="52F21E11"/>
    <w:rsid w:val="52FF78E7"/>
    <w:rsid w:val="53036F3E"/>
    <w:rsid w:val="53146D7E"/>
    <w:rsid w:val="53260029"/>
    <w:rsid w:val="53265B42"/>
    <w:rsid w:val="532F29E7"/>
    <w:rsid w:val="534236F0"/>
    <w:rsid w:val="53590047"/>
    <w:rsid w:val="53867518"/>
    <w:rsid w:val="539A390F"/>
    <w:rsid w:val="539C7C35"/>
    <w:rsid w:val="539F2091"/>
    <w:rsid w:val="53AD3511"/>
    <w:rsid w:val="53C62000"/>
    <w:rsid w:val="53CF14EE"/>
    <w:rsid w:val="53D32529"/>
    <w:rsid w:val="53D92E34"/>
    <w:rsid w:val="53DB3477"/>
    <w:rsid w:val="53F27D44"/>
    <w:rsid w:val="540A7425"/>
    <w:rsid w:val="54417C4B"/>
    <w:rsid w:val="54782323"/>
    <w:rsid w:val="5480192E"/>
    <w:rsid w:val="549B37DD"/>
    <w:rsid w:val="54A337CF"/>
    <w:rsid w:val="54AF6B42"/>
    <w:rsid w:val="54C02717"/>
    <w:rsid w:val="54E86AFF"/>
    <w:rsid w:val="550607A9"/>
    <w:rsid w:val="55321632"/>
    <w:rsid w:val="553E2FE6"/>
    <w:rsid w:val="55891CDF"/>
    <w:rsid w:val="558E406A"/>
    <w:rsid w:val="55A72A15"/>
    <w:rsid w:val="55B442A9"/>
    <w:rsid w:val="55D02E6C"/>
    <w:rsid w:val="55DD6F2A"/>
    <w:rsid w:val="55E52812"/>
    <w:rsid w:val="560939B3"/>
    <w:rsid w:val="560E3399"/>
    <w:rsid w:val="565D57F4"/>
    <w:rsid w:val="567225BE"/>
    <w:rsid w:val="5674038B"/>
    <w:rsid w:val="56874282"/>
    <w:rsid w:val="56B363CB"/>
    <w:rsid w:val="56CA091A"/>
    <w:rsid w:val="56D02A7B"/>
    <w:rsid w:val="56E23696"/>
    <w:rsid w:val="56E23970"/>
    <w:rsid w:val="56EA3E6B"/>
    <w:rsid w:val="56FE2FE7"/>
    <w:rsid w:val="571444FF"/>
    <w:rsid w:val="57155486"/>
    <w:rsid w:val="571E38A5"/>
    <w:rsid w:val="57322FA3"/>
    <w:rsid w:val="574F29EA"/>
    <w:rsid w:val="57522AF0"/>
    <w:rsid w:val="575E4D02"/>
    <w:rsid w:val="576E0286"/>
    <w:rsid w:val="57773B00"/>
    <w:rsid w:val="577A3C7D"/>
    <w:rsid w:val="578C1931"/>
    <w:rsid w:val="578F220A"/>
    <w:rsid w:val="57964727"/>
    <w:rsid w:val="579801E8"/>
    <w:rsid w:val="57AB43E4"/>
    <w:rsid w:val="57C70491"/>
    <w:rsid w:val="57DE5494"/>
    <w:rsid w:val="57EF684B"/>
    <w:rsid w:val="57F112D5"/>
    <w:rsid w:val="57FB5468"/>
    <w:rsid w:val="57FC07D9"/>
    <w:rsid w:val="581D5E01"/>
    <w:rsid w:val="58234724"/>
    <w:rsid w:val="5841494A"/>
    <w:rsid w:val="58500F22"/>
    <w:rsid w:val="58562122"/>
    <w:rsid w:val="585D78CA"/>
    <w:rsid w:val="5886783D"/>
    <w:rsid w:val="58B01CD1"/>
    <w:rsid w:val="58C84D91"/>
    <w:rsid w:val="58DD7FD9"/>
    <w:rsid w:val="5903226C"/>
    <w:rsid w:val="59044DFA"/>
    <w:rsid w:val="591C0009"/>
    <w:rsid w:val="591D7CE9"/>
    <w:rsid w:val="5944519D"/>
    <w:rsid w:val="59471C07"/>
    <w:rsid w:val="59474D9D"/>
    <w:rsid w:val="594C40CB"/>
    <w:rsid w:val="5957661E"/>
    <w:rsid w:val="59613566"/>
    <w:rsid w:val="59772C15"/>
    <w:rsid w:val="59943F04"/>
    <w:rsid w:val="599D7DEB"/>
    <w:rsid w:val="59A42F3A"/>
    <w:rsid w:val="59A82571"/>
    <w:rsid w:val="59B51EC6"/>
    <w:rsid w:val="59BB6249"/>
    <w:rsid w:val="5A11196A"/>
    <w:rsid w:val="5A143BAB"/>
    <w:rsid w:val="5A256629"/>
    <w:rsid w:val="5A3069BC"/>
    <w:rsid w:val="5A4F4638"/>
    <w:rsid w:val="5A683F99"/>
    <w:rsid w:val="5A6F0B7C"/>
    <w:rsid w:val="5A6F196A"/>
    <w:rsid w:val="5A7C7F4E"/>
    <w:rsid w:val="5A7E4720"/>
    <w:rsid w:val="5A8A1D8B"/>
    <w:rsid w:val="5AB706BC"/>
    <w:rsid w:val="5AC53768"/>
    <w:rsid w:val="5AC558CA"/>
    <w:rsid w:val="5ACF0F3A"/>
    <w:rsid w:val="5AD2560B"/>
    <w:rsid w:val="5AD827C0"/>
    <w:rsid w:val="5ADC2F10"/>
    <w:rsid w:val="5AE91C1F"/>
    <w:rsid w:val="5AFF0F58"/>
    <w:rsid w:val="5B265683"/>
    <w:rsid w:val="5B375D2B"/>
    <w:rsid w:val="5B3917E9"/>
    <w:rsid w:val="5B4C57D4"/>
    <w:rsid w:val="5B5F6754"/>
    <w:rsid w:val="5B6F16F1"/>
    <w:rsid w:val="5B8A7D02"/>
    <w:rsid w:val="5B96615F"/>
    <w:rsid w:val="5B9955B7"/>
    <w:rsid w:val="5B9A6BD8"/>
    <w:rsid w:val="5BB132C6"/>
    <w:rsid w:val="5BED6C94"/>
    <w:rsid w:val="5BF2621B"/>
    <w:rsid w:val="5BFF437E"/>
    <w:rsid w:val="5C2340B8"/>
    <w:rsid w:val="5C3E4F9B"/>
    <w:rsid w:val="5C4C28F4"/>
    <w:rsid w:val="5C6414D7"/>
    <w:rsid w:val="5C6B14AF"/>
    <w:rsid w:val="5C6B1600"/>
    <w:rsid w:val="5C824211"/>
    <w:rsid w:val="5C921AD0"/>
    <w:rsid w:val="5CA73892"/>
    <w:rsid w:val="5CCC024F"/>
    <w:rsid w:val="5CF633B5"/>
    <w:rsid w:val="5CF7438B"/>
    <w:rsid w:val="5CFA7B5F"/>
    <w:rsid w:val="5D031B74"/>
    <w:rsid w:val="5D057B55"/>
    <w:rsid w:val="5D0900B4"/>
    <w:rsid w:val="5D1F6C27"/>
    <w:rsid w:val="5D370C40"/>
    <w:rsid w:val="5D39398D"/>
    <w:rsid w:val="5D464695"/>
    <w:rsid w:val="5D7D0B67"/>
    <w:rsid w:val="5D7E2ED3"/>
    <w:rsid w:val="5D82252C"/>
    <w:rsid w:val="5DCC1B15"/>
    <w:rsid w:val="5DFD51DB"/>
    <w:rsid w:val="5E037478"/>
    <w:rsid w:val="5E0D36E5"/>
    <w:rsid w:val="5E395BA4"/>
    <w:rsid w:val="5E405827"/>
    <w:rsid w:val="5E490A40"/>
    <w:rsid w:val="5E4A67FD"/>
    <w:rsid w:val="5E7A598C"/>
    <w:rsid w:val="5E7F7360"/>
    <w:rsid w:val="5E813D1A"/>
    <w:rsid w:val="5E8B5F18"/>
    <w:rsid w:val="5E8C140A"/>
    <w:rsid w:val="5E941DB9"/>
    <w:rsid w:val="5E966929"/>
    <w:rsid w:val="5EB903DA"/>
    <w:rsid w:val="5EC83995"/>
    <w:rsid w:val="5ED837A7"/>
    <w:rsid w:val="5F296378"/>
    <w:rsid w:val="5F2A7DEE"/>
    <w:rsid w:val="5F4E479B"/>
    <w:rsid w:val="5F501BDB"/>
    <w:rsid w:val="5F53635F"/>
    <w:rsid w:val="5F5E0F4F"/>
    <w:rsid w:val="5F8669AF"/>
    <w:rsid w:val="5F8753EC"/>
    <w:rsid w:val="5F8B6ACE"/>
    <w:rsid w:val="5F8E7FF5"/>
    <w:rsid w:val="5FB6281C"/>
    <w:rsid w:val="5FB96CF7"/>
    <w:rsid w:val="5FF53D41"/>
    <w:rsid w:val="60086221"/>
    <w:rsid w:val="60140907"/>
    <w:rsid w:val="603802AC"/>
    <w:rsid w:val="60642278"/>
    <w:rsid w:val="607408A0"/>
    <w:rsid w:val="607B1C59"/>
    <w:rsid w:val="607C3753"/>
    <w:rsid w:val="60C30855"/>
    <w:rsid w:val="60DD6CFC"/>
    <w:rsid w:val="60F13096"/>
    <w:rsid w:val="611823B4"/>
    <w:rsid w:val="61251456"/>
    <w:rsid w:val="612F4F80"/>
    <w:rsid w:val="61335402"/>
    <w:rsid w:val="61421EFD"/>
    <w:rsid w:val="61425E0B"/>
    <w:rsid w:val="6142619F"/>
    <w:rsid w:val="615A230C"/>
    <w:rsid w:val="615C5041"/>
    <w:rsid w:val="61621CC5"/>
    <w:rsid w:val="616271CC"/>
    <w:rsid w:val="617D57F6"/>
    <w:rsid w:val="617E795A"/>
    <w:rsid w:val="61927223"/>
    <w:rsid w:val="619F11D4"/>
    <w:rsid w:val="61AA58F8"/>
    <w:rsid w:val="61AE7EAA"/>
    <w:rsid w:val="61B25AC4"/>
    <w:rsid w:val="61C139EE"/>
    <w:rsid w:val="61C6651B"/>
    <w:rsid w:val="61C736BE"/>
    <w:rsid w:val="61C81623"/>
    <w:rsid w:val="61CC2880"/>
    <w:rsid w:val="61F3273F"/>
    <w:rsid w:val="61FC4FE5"/>
    <w:rsid w:val="6215147B"/>
    <w:rsid w:val="62736511"/>
    <w:rsid w:val="627D34D2"/>
    <w:rsid w:val="628345AD"/>
    <w:rsid w:val="6299678C"/>
    <w:rsid w:val="62E170DB"/>
    <w:rsid w:val="630F140E"/>
    <w:rsid w:val="631B746D"/>
    <w:rsid w:val="631E1140"/>
    <w:rsid w:val="6335481C"/>
    <w:rsid w:val="63372785"/>
    <w:rsid w:val="633B1780"/>
    <w:rsid w:val="63544BEA"/>
    <w:rsid w:val="635A4FA7"/>
    <w:rsid w:val="636412FC"/>
    <w:rsid w:val="636A526A"/>
    <w:rsid w:val="63757831"/>
    <w:rsid w:val="637B48FF"/>
    <w:rsid w:val="638031CB"/>
    <w:rsid w:val="638266CE"/>
    <w:rsid w:val="63A55989"/>
    <w:rsid w:val="63D61872"/>
    <w:rsid w:val="63DD6A1D"/>
    <w:rsid w:val="63EF4B04"/>
    <w:rsid w:val="63FE69C1"/>
    <w:rsid w:val="640D40B4"/>
    <w:rsid w:val="64292225"/>
    <w:rsid w:val="64570A99"/>
    <w:rsid w:val="64680F4A"/>
    <w:rsid w:val="64771EB8"/>
    <w:rsid w:val="648D6FB9"/>
    <w:rsid w:val="64934878"/>
    <w:rsid w:val="64A85782"/>
    <w:rsid w:val="64AE73D4"/>
    <w:rsid w:val="64C221D4"/>
    <w:rsid w:val="64DA1397"/>
    <w:rsid w:val="6513630E"/>
    <w:rsid w:val="652C227F"/>
    <w:rsid w:val="658B7653"/>
    <w:rsid w:val="65954E34"/>
    <w:rsid w:val="65967AC8"/>
    <w:rsid w:val="65A553E1"/>
    <w:rsid w:val="65B75CDE"/>
    <w:rsid w:val="65B86A98"/>
    <w:rsid w:val="65F56152"/>
    <w:rsid w:val="66220A77"/>
    <w:rsid w:val="664805B8"/>
    <w:rsid w:val="664B1B7B"/>
    <w:rsid w:val="665477F1"/>
    <w:rsid w:val="66602E73"/>
    <w:rsid w:val="668140CD"/>
    <w:rsid w:val="66894448"/>
    <w:rsid w:val="668B4837"/>
    <w:rsid w:val="66907CC1"/>
    <w:rsid w:val="669604C6"/>
    <w:rsid w:val="66BB2698"/>
    <w:rsid w:val="66C765D1"/>
    <w:rsid w:val="66E7629B"/>
    <w:rsid w:val="67291244"/>
    <w:rsid w:val="672F1DCA"/>
    <w:rsid w:val="67496984"/>
    <w:rsid w:val="674E01CD"/>
    <w:rsid w:val="67712EE1"/>
    <w:rsid w:val="67864336"/>
    <w:rsid w:val="67AB555E"/>
    <w:rsid w:val="67AE1807"/>
    <w:rsid w:val="67B01CAC"/>
    <w:rsid w:val="67BC021F"/>
    <w:rsid w:val="67D45E10"/>
    <w:rsid w:val="67D544BC"/>
    <w:rsid w:val="681A7612"/>
    <w:rsid w:val="68282344"/>
    <w:rsid w:val="68316EE8"/>
    <w:rsid w:val="6833385B"/>
    <w:rsid w:val="684B5BAD"/>
    <w:rsid w:val="684E0C60"/>
    <w:rsid w:val="68640BCB"/>
    <w:rsid w:val="687D5AFA"/>
    <w:rsid w:val="687E7D7B"/>
    <w:rsid w:val="688A692E"/>
    <w:rsid w:val="68BA3992"/>
    <w:rsid w:val="68BD1218"/>
    <w:rsid w:val="68CA1810"/>
    <w:rsid w:val="68CB171E"/>
    <w:rsid w:val="68EB7A82"/>
    <w:rsid w:val="68FE3DCC"/>
    <w:rsid w:val="690F418B"/>
    <w:rsid w:val="691B6CFF"/>
    <w:rsid w:val="69280904"/>
    <w:rsid w:val="69305620"/>
    <w:rsid w:val="695E0E7B"/>
    <w:rsid w:val="69615727"/>
    <w:rsid w:val="6977357E"/>
    <w:rsid w:val="697C2979"/>
    <w:rsid w:val="699373DA"/>
    <w:rsid w:val="699E284E"/>
    <w:rsid w:val="69B20A4E"/>
    <w:rsid w:val="69B77186"/>
    <w:rsid w:val="69C629D5"/>
    <w:rsid w:val="69D11FD9"/>
    <w:rsid w:val="69ED1256"/>
    <w:rsid w:val="69FA4CD5"/>
    <w:rsid w:val="69FB7936"/>
    <w:rsid w:val="69FD3A6F"/>
    <w:rsid w:val="6A0D71AD"/>
    <w:rsid w:val="6A154B1E"/>
    <w:rsid w:val="6A352CCF"/>
    <w:rsid w:val="6A4926D1"/>
    <w:rsid w:val="6A73734B"/>
    <w:rsid w:val="6A7A2736"/>
    <w:rsid w:val="6A7B4B9C"/>
    <w:rsid w:val="6AB87A25"/>
    <w:rsid w:val="6AC769D6"/>
    <w:rsid w:val="6AD04902"/>
    <w:rsid w:val="6AEF0D6E"/>
    <w:rsid w:val="6AFA0E71"/>
    <w:rsid w:val="6AFF6CB8"/>
    <w:rsid w:val="6B3E23A9"/>
    <w:rsid w:val="6B452105"/>
    <w:rsid w:val="6B58545F"/>
    <w:rsid w:val="6B664301"/>
    <w:rsid w:val="6B7D5D71"/>
    <w:rsid w:val="6B9B54AC"/>
    <w:rsid w:val="6BB23AD8"/>
    <w:rsid w:val="6BBA2ACB"/>
    <w:rsid w:val="6BCB528A"/>
    <w:rsid w:val="6BE61376"/>
    <w:rsid w:val="6BF264A8"/>
    <w:rsid w:val="6BF26CCB"/>
    <w:rsid w:val="6BF84491"/>
    <w:rsid w:val="6BFE7D3C"/>
    <w:rsid w:val="6C2E37C4"/>
    <w:rsid w:val="6C2F63F5"/>
    <w:rsid w:val="6C376397"/>
    <w:rsid w:val="6C45339A"/>
    <w:rsid w:val="6C465ECD"/>
    <w:rsid w:val="6C4D333F"/>
    <w:rsid w:val="6C7D1B5B"/>
    <w:rsid w:val="6C89456C"/>
    <w:rsid w:val="6C9D4453"/>
    <w:rsid w:val="6CA35FF1"/>
    <w:rsid w:val="6CB80EF2"/>
    <w:rsid w:val="6CD0391C"/>
    <w:rsid w:val="6CD84F34"/>
    <w:rsid w:val="6CDD60A6"/>
    <w:rsid w:val="6D011EC8"/>
    <w:rsid w:val="6D1338DD"/>
    <w:rsid w:val="6D1B57EE"/>
    <w:rsid w:val="6D2968C0"/>
    <w:rsid w:val="6D2C4F2B"/>
    <w:rsid w:val="6D565D6F"/>
    <w:rsid w:val="6D663271"/>
    <w:rsid w:val="6D920153"/>
    <w:rsid w:val="6D9B5DDA"/>
    <w:rsid w:val="6DA34B2C"/>
    <w:rsid w:val="6DB72C5A"/>
    <w:rsid w:val="6DC23CFC"/>
    <w:rsid w:val="6DD775C2"/>
    <w:rsid w:val="6DDC0661"/>
    <w:rsid w:val="6DF139EF"/>
    <w:rsid w:val="6E041F9C"/>
    <w:rsid w:val="6E072310"/>
    <w:rsid w:val="6E391BE5"/>
    <w:rsid w:val="6E3D6DD9"/>
    <w:rsid w:val="6E491E80"/>
    <w:rsid w:val="6E53278F"/>
    <w:rsid w:val="6E540211"/>
    <w:rsid w:val="6E5D26A5"/>
    <w:rsid w:val="6E6B2034"/>
    <w:rsid w:val="6EA136AE"/>
    <w:rsid w:val="6EA14A8D"/>
    <w:rsid w:val="6EB87F35"/>
    <w:rsid w:val="6EB9492E"/>
    <w:rsid w:val="6EC9129A"/>
    <w:rsid w:val="6EDE0154"/>
    <w:rsid w:val="6EE1644B"/>
    <w:rsid w:val="6EEF16FE"/>
    <w:rsid w:val="6F3E5DD3"/>
    <w:rsid w:val="6F477B5B"/>
    <w:rsid w:val="6F551878"/>
    <w:rsid w:val="6F642127"/>
    <w:rsid w:val="6F757AC1"/>
    <w:rsid w:val="6F866C02"/>
    <w:rsid w:val="6F901B66"/>
    <w:rsid w:val="6F961F51"/>
    <w:rsid w:val="6F9E1365"/>
    <w:rsid w:val="6FA333B6"/>
    <w:rsid w:val="6FA44E6A"/>
    <w:rsid w:val="6FA629D4"/>
    <w:rsid w:val="6FB62678"/>
    <w:rsid w:val="6FBE27F1"/>
    <w:rsid w:val="6FC05247"/>
    <w:rsid w:val="6FD10552"/>
    <w:rsid w:val="6FD47408"/>
    <w:rsid w:val="6FD6601C"/>
    <w:rsid w:val="6FEC35B1"/>
    <w:rsid w:val="6FF01D9A"/>
    <w:rsid w:val="6FF444CC"/>
    <w:rsid w:val="700D4FE4"/>
    <w:rsid w:val="70193966"/>
    <w:rsid w:val="705D6B36"/>
    <w:rsid w:val="70602E31"/>
    <w:rsid w:val="707340F9"/>
    <w:rsid w:val="70744AC3"/>
    <w:rsid w:val="708135E5"/>
    <w:rsid w:val="70912EBC"/>
    <w:rsid w:val="709A0A54"/>
    <w:rsid w:val="70BB2EF0"/>
    <w:rsid w:val="70D66C2B"/>
    <w:rsid w:val="70DF533C"/>
    <w:rsid w:val="70DF7A50"/>
    <w:rsid w:val="70E03831"/>
    <w:rsid w:val="70E36BBB"/>
    <w:rsid w:val="70E43928"/>
    <w:rsid w:val="70F857E7"/>
    <w:rsid w:val="70FF5871"/>
    <w:rsid w:val="71045B37"/>
    <w:rsid w:val="71083B80"/>
    <w:rsid w:val="71172F17"/>
    <w:rsid w:val="712D2EBD"/>
    <w:rsid w:val="713361A4"/>
    <w:rsid w:val="71701081"/>
    <w:rsid w:val="71811486"/>
    <w:rsid w:val="718D1664"/>
    <w:rsid w:val="719921EC"/>
    <w:rsid w:val="71A43FDF"/>
    <w:rsid w:val="71A55A61"/>
    <w:rsid w:val="71A67303"/>
    <w:rsid w:val="71BB73C8"/>
    <w:rsid w:val="71C54335"/>
    <w:rsid w:val="7205242C"/>
    <w:rsid w:val="724B706D"/>
    <w:rsid w:val="72694601"/>
    <w:rsid w:val="726D10CF"/>
    <w:rsid w:val="727047CE"/>
    <w:rsid w:val="727971A4"/>
    <w:rsid w:val="727E4E2F"/>
    <w:rsid w:val="728A5C8F"/>
    <w:rsid w:val="72AD464D"/>
    <w:rsid w:val="72C33A8B"/>
    <w:rsid w:val="72D41927"/>
    <w:rsid w:val="72F458ED"/>
    <w:rsid w:val="72F665CE"/>
    <w:rsid w:val="73033922"/>
    <w:rsid w:val="730A49CC"/>
    <w:rsid w:val="731745E3"/>
    <w:rsid w:val="73226091"/>
    <w:rsid w:val="73237AF4"/>
    <w:rsid w:val="73414765"/>
    <w:rsid w:val="73455C21"/>
    <w:rsid w:val="73761AFD"/>
    <w:rsid w:val="73821A52"/>
    <w:rsid w:val="738A61B6"/>
    <w:rsid w:val="739F1690"/>
    <w:rsid w:val="739F201D"/>
    <w:rsid w:val="73AA1159"/>
    <w:rsid w:val="73D354FF"/>
    <w:rsid w:val="73D425F7"/>
    <w:rsid w:val="73ED2A40"/>
    <w:rsid w:val="73F5204B"/>
    <w:rsid w:val="740C3AD7"/>
    <w:rsid w:val="741504EC"/>
    <w:rsid w:val="74185868"/>
    <w:rsid w:val="74192817"/>
    <w:rsid w:val="741A4809"/>
    <w:rsid w:val="74263AAC"/>
    <w:rsid w:val="7443417D"/>
    <w:rsid w:val="747C2E54"/>
    <w:rsid w:val="74BC1CDD"/>
    <w:rsid w:val="74F66BC5"/>
    <w:rsid w:val="750A2023"/>
    <w:rsid w:val="751A6437"/>
    <w:rsid w:val="75251942"/>
    <w:rsid w:val="752C20C8"/>
    <w:rsid w:val="752E5F25"/>
    <w:rsid w:val="75375EDA"/>
    <w:rsid w:val="756225A2"/>
    <w:rsid w:val="756D63B5"/>
    <w:rsid w:val="758157A8"/>
    <w:rsid w:val="758D1898"/>
    <w:rsid w:val="759C0F2F"/>
    <w:rsid w:val="75D74916"/>
    <w:rsid w:val="75DE6FC0"/>
    <w:rsid w:val="75ED573A"/>
    <w:rsid w:val="75F10B8C"/>
    <w:rsid w:val="761E100C"/>
    <w:rsid w:val="762338B0"/>
    <w:rsid w:val="76284C88"/>
    <w:rsid w:val="765A155A"/>
    <w:rsid w:val="7676736A"/>
    <w:rsid w:val="76933951"/>
    <w:rsid w:val="769857EE"/>
    <w:rsid w:val="76AB70C1"/>
    <w:rsid w:val="76AC12BF"/>
    <w:rsid w:val="76AC365F"/>
    <w:rsid w:val="76AF2244"/>
    <w:rsid w:val="76BA35B8"/>
    <w:rsid w:val="76DE38FA"/>
    <w:rsid w:val="76E42641"/>
    <w:rsid w:val="76E44570"/>
    <w:rsid w:val="76FA3873"/>
    <w:rsid w:val="77174566"/>
    <w:rsid w:val="771D661B"/>
    <w:rsid w:val="771F7714"/>
    <w:rsid w:val="772C5F9B"/>
    <w:rsid w:val="77317864"/>
    <w:rsid w:val="774A2F4D"/>
    <w:rsid w:val="774B214D"/>
    <w:rsid w:val="775D48D0"/>
    <w:rsid w:val="77732816"/>
    <w:rsid w:val="777E145F"/>
    <w:rsid w:val="779821C1"/>
    <w:rsid w:val="779E1EC9"/>
    <w:rsid w:val="77A075CE"/>
    <w:rsid w:val="77A1150C"/>
    <w:rsid w:val="77CF5A4C"/>
    <w:rsid w:val="77DA1365"/>
    <w:rsid w:val="77DB4B8E"/>
    <w:rsid w:val="78144BE6"/>
    <w:rsid w:val="78162870"/>
    <w:rsid w:val="78313026"/>
    <w:rsid w:val="78337730"/>
    <w:rsid w:val="785379A4"/>
    <w:rsid w:val="786D6D22"/>
    <w:rsid w:val="7873438A"/>
    <w:rsid w:val="78782A0D"/>
    <w:rsid w:val="78855661"/>
    <w:rsid w:val="788F42B8"/>
    <w:rsid w:val="7896445B"/>
    <w:rsid w:val="789D7871"/>
    <w:rsid w:val="78BC2324"/>
    <w:rsid w:val="78C86483"/>
    <w:rsid w:val="78CB5E8D"/>
    <w:rsid w:val="78D022E5"/>
    <w:rsid w:val="78D65F29"/>
    <w:rsid w:val="78E01FEE"/>
    <w:rsid w:val="7915461E"/>
    <w:rsid w:val="791D5789"/>
    <w:rsid w:val="792B4B56"/>
    <w:rsid w:val="795C7D53"/>
    <w:rsid w:val="797C1090"/>
    <w:rsid w:val="79930E97"/>
    <w:rsid w:val="79A2171F"/>
    <w:rsid w:val="79A252FF"/>
    <w:rsid w:val="79CB5590"/>
    <w:rsid w:val="79D33056"/>
    <w:rsid w:val="7A08334C"/>
    <w:rsid w:val="7A177DD8"/>
    <w:rsid w:val="7A180A18"/>
    <w:rsid w:val="7A342E0A"/>
    <w:rsid w:val="7A3B3C2B"/>
    <w:rsid w:val="7A5700A9"/>
    <w:rsid w:val="7A61558B"/>
    <w:rsid w:val="7A764F8E"/>
    <w:rsid w:val="7A7E1F85"/>
    <w:rsid w:val="7A921395"/>
    <w:rsid w:val="7AAE70ED"/>
    <w:rsid w:val="7ADE0D63"/>
    <w:rsid w:val="7AF37CF3"/>
    <w:rsid w:val="7AF61420"/>
    <w:rsid w:val="7B0F44A1"/>
    <w:rsid w:val="7B1C0B89"/>
    <w:rsid w:val="7B2072CE"/>
    <w:rsid w:val="7B303FA7"/>
    <w:rsid w:val="7B392B75"/>
    <w:rsid w:val="7B553028"/>
    <w:rsid w:val="7B58629E"/>
    <w:rsid w:val="7B5F12CB"/>
    <w:rsid w:val="7B604BC4"/>
    <w:rsid w:val="7B703A65"/>
    <w:rsid w:val="7B7C74A8"/>
    <w:rsid w:val="7B843A51"/>
    <w:rsid w:val="7B8C26EA"/>
    <w:rsid w:val="7B9A3154"/>
    <w:rsid w:val="7BA81812"/>
    <w:rsid w:val="7C26369C"/>
    <w:rsid w:val="7C2E1CCB"/>
    <w:rsid w:val="7C2F23C3"/>
    <w:rsid w:val="7C3F5F3F"/>
    <w:rsid w:val="7C4316D6"/>
    <w:rsid w:val="7C461128"/>
    <w:rsid w:val="7C490137"/>
    <w:rsid w:val="7C7F3FAA"/>
    <w:rsid w:val="7C942795"/>
    <w:rsid w:val="7C9E5A24"/>
    <w:rsid w:val="7CA17D91"/>
    <w:rsid w:val="7CA31AEC"/>
    <w:rsid w:val="7CAC00CB"/>
    <w:rsid w:val="7CBB05DE"/>
    <w:rsid w:val="7CD40FDF"/>
    <w:rsid w:val="7CDC436B"/>
    <w:rsid w:val="7CE67ECB"/>
    <w:rsid w:val="7CEC5581"/>
    <w:rsid w:val="7D0F4785"/>
    <w:rsid w:val="7D106A3B"/>
    <w:rsid w:val="7D2717F7"/>
    <w:rsid w:val="7D2F2D01"/>
    <w:rsid w:val="7D523D2A"/>
    <w:rsid w:val="7D575412"/>
    <w:rsid w:val="7D62117D"/>
    <w:rsid w:val="7DAC0BBF"/>
    <w:rsid w:val="7DAC30FF"/>
    <w:rsid w:val="7DB275A7"/>
    <w:rsid w:val="7DB54254"/>
    <w:rsid w:val="7DC23187"/>
    <w:rsid w:val="7DCA7DD0"/>
    <w:rsid w:val="7DCE00F3"/>
    <w:rsid w:val="7DE21475"/>
    <w:rsid w:val="7E1A3082"/>
    <w:rsid w:val="7E254385"/>
    <w:rsid w:val="7E3D1A2B"/>
    <w:rsid w:val="7E3E1EF2"/>
    <w:rsid w:val="7E4A32C0"/>
    <w:rsid w:val="7E5E79E2"/>
    <w:rsid w:val="7E6D3B19"/>
    <w:rsid w:val="7E7745C1"/>
    <w:rsid w:val="7E8070E2"/>
    <w:rsid w:val="7E8E2FD8"/>
    <w:rsid w:val="7E945D18"/>
    <w:rsid w:val="7E951513"/>
    <w:rsid w:val="7E990AC0"/>
    <w:rsid w:val="7E9B749B"/>
    <w:rsid w:val="7EA27EB5"/>
    <w:rsid w:val="7EAB435E"/>
    <w:rsid w:val="7EAD6C05"/>
    <w:rsid w:val="7EBD7F90"/>
    <w:rsid w:val="7EC01C08"/>
    <w:rsid w:val="7ED001FD"/>
    <w:rsid w:val="7EE436FC"/>
    <w:rsid w:val="7EEF2AA6"/>
    <w:rsid w:val="7EF74FC9"/>
    <w:rsid w:val="7F2870AA"/>
    <w:rsid w:val="7F365713"/>
    <w:rsid w:val="7F3C0B3F"/>
    <w:rsid w:val="7F564146"/>
    <w:rsid w:val="7F5969AC"/>
    <w:rsid w:val="7F625F8B"/>
    <w:rsid w:val="7F687E94"/>
    <w:rsid w:val="7F8807FD"/>
    <w:rsid w:val="7F896AD7"/>
    <w:rsid w:val="7F9E036E"/>
    <w:rsid w:val="7FA54E83"/>
    <w:rsid w:val="7FAB0FDD"/>
    <w:rsid w:val="7FCB3979"/>
    <w:rsid w:val="7FCB7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semiHidden="0"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semiHidden="0"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4">
    <w:name w:val="heading 3"/>
    <w:basedOn w:val="3"/>
    <w:next w:val="1"/>
    <w:link w:val="92"/>
    <w:qFormat/>
    <w:uiPriority w:val="0"/>
    <w:pPr>
      <w:numPr>
        <w:ilvl w:val="2"/>
      </w:numPr>
      <w:outlineLvl w:val="2"/>
    </w:pPr>
    <w:rPr>
      <w:rFonts w:eastAsia="宋体"/>
      <w:sz w:val="22"/>
    </w:rPr>
  </w:style>
  <w:style w:type="paragraph" w:styleId="5">
    <w:name w:val="heading 4"/>
    <w:basedOn w:val="4"/>
    <w:next w:val="1"/>
    <w:link w:val="82"/>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80"/>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60"/>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9"/>
    <w:unhideWhenUsed/>
    <w:qFormat/>
    <w:uiPriority w:val="99"/>
    <w:pPr>
      <w:ind w:left="400"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6"/>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9"/>
    <w:unhideWhenUsed/>
    <w:qFormat/>
    <w:uiPriority w:val="39"/>
    <w:pPr>
      <w:ind w:left="880" w:leftChars="400"/>
    </w:pPr>
    <w:rPr>
      <w:b/>
      <w:i/>
    </w:rPr>
  </w:style>
  <w:style w:type="paragraph" w:styleId="13">
    <w:name w:val="Balloon Text"/>
    <w:basedOn w:val="1"/>
    <w:link w:val="29"/>
    <w:semiHidden/>
    <w:unhideWhenUsed/>
    <w:qFormat/>
    <w:uiPriority w:val="99"/>
    <w:rPr>
      <w:sz w:val="18"/>
      <w:szCs w:val="18"/>
    </w:rPr>
  </w:style>
  <w:style w:type="paragraph" w:styleId="14">
    <w:name w:val="footer"/>
    <w:basedOn w:val="1"/>
    <w:link w:val="56"/>
    <w:unhideWhenUsed/>
    <w:qFormat/>
    <w:uiPriority w:val="99"/>
    <w:pPr>
      <w:tabs>
        <w:tab w:val="center" w:pos="4153"/>
        <w:tab w:val="right" w:pos="8306"/>
      </w:tabs>
      <w:snapToGrid w:val="0"/>
    </w:pPr>
    <w:rPr>
      <w:sz w:val="18"/>
      <w:szCs w:val="18"/>
    </w:rPr>
  </w:style>
  <w:style w:type="paragraph" w:styleId="15">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link w:val="43"/>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600"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6"/>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table" w:styleId="23">
    <w:name w:val="Table Grid"/>
    <w:basedOn w:val="22"/>
    <w:qFormat/>
    <w:uiPriority w:val="9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5">
    <w:name w:val="Strong"/>
    <w:basedOn w:val="24"/>
    <w:qFormat/>
    <w:uiPriority w:val="99"/>
    <w:rPr>
      <w:b/>
    </w:rPr>
  </w:style>
  <w:style w:type="character" w:styleId="26">
    <w:name w:val="page number"/>
    <w:basedOn w:val="24"/>
    <w:semiHidden/>
    <w:qFormat/>
    <w:uiPriority w:val="0"/>
  </w:style>
  <w:style w:type="character" w:styleId="27">
    <w:name w:val="Hyperlink"/>
    <w:basedOn w:val="24"/>
    <w:unhideWhenUsed/>
    <w:qFormat/>
    <w:uiPriority w:val="99"/>
    <w:rPr>
      <w:color w:val="0000FF" w:themeColor="hyperlink"/>
      <w:u w:val="single"/>
      <w14:textFill>
        <w14:solidFill>
          <w14:schemeClr w14:val="hlink"/>
        </w14:solidFill>
      </w14:textFill>
    </w:rPr>
  </w:style>
  <w:style w:type="character" w:styleId="28">
    <w:name w:val="annotation reference"/>
    <w:basedOn w:val="24"/>
    <w:qFormat/>
    <w:uiPriority w:val="0"/>
    <w:rPr>
      <w:sz w:val="16"/>
      <w:szCs w:val="16"/>
    </w:rPr>
  </w:style>
  <w:style w:type="character" w:customStyle="1" w:styleId="29">
    <w:name w:val="批注框文本 字符"/>
    <w:basedOn w:val="24"/>
    <w:link w:val="13"/>
    <w:semiHidden/>
    <w:qFormat/>
    <w:uiPriority w:val="99"/>
    <w:rPr>
      <w:rFonts w:eastAsia="Times New Roman"/>
      <w:kern w:val="2"/>
      <w:sz w:val="18"/>
      <w:szCs w:val="18"/>
    </w:rPr>
  </w:style>
  <w:style w:type="paragraph" w:customStyle="1" w:styleId="30">
    <w:name w:val="Proposal"/>
    <w:basedOn w:val="1"/>
    <w:link w:val="65"/>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1">
    <w:name w:val="!ZTE-Proposal-2021 + 段前: 0.5 行 段后: 0.5 行"/>
    <w:basedOn w:val="1"/>
    <w:link w:val="66"/>
    <w:qFormat/>
    <w:uiPriority w:val="0"/>
    <w:pPr>
      <w:spacing w:before="30" w:beforeLines="30" w:after="30" w:afterLines="30" w:line="288" w:lineRule="auto"/>
      <w:jc w:val="left"/>
    </w:pPr>
    <w:rPr>
      <w:rFonts w:cs="宋体" w:eastAsiaTheme="minorEastAsia"/>
      <w:b/>
      <w:bCs/>
      <w:i/>
      <w:iCs/>
      <w:lang w:val="en-GB"/>
    </w:rPr>
  </w:style>
  <w:style w:type="paragraph" w:customStyle="1" w:styleId="3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3">
    <w:name w:val="!ZTE-Observation-2021"/>
    <w:basedOn w:val="1"/>
    <w:qFormat/>
    <w:uiPriority w:val="0"/>
    <w:pPr>
      <w:snapToGrid w:val="0"/>
      <w:spacing w:before="30" w:beforeLines="30" w:after="30" w:afterLines="30" w:line="288" w:lineRule="auto"/>
      <w:jc w:val="left"/>
      <w:textAlignment w:val="center"/>
    </w:pPr>
    <w:rPr>
      <w:rFonts w:cs="宋体" w:eastAsiaTheme="minorEastAsia"/>
      <w:b/>
      <w:bCs/>
      <w:i/>
      <w:iCs/>
      <w:lang w:val="en-GB" w:eastAsia="en-US"/>
    </w:rPr>
  </w:style>
  <w:style w:type="paragraph" w:customStyle="1" w:styleId="34">
    <w:name w:val="sub-proposal"/>
    <w:basedOn w:val="1"/>
    <w:qFormat/>
    <w:uiPriority w:val="0"/>
    <w:pPr>
      <w:numPr>
        <w:ilvl w:val="0"/>
        <w:numId w:val="3"/>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5">
    <w:name w:val="sub-observation"/>
    <w:basedOn w:val="34"/>
    <w:qFormat/>
    <w:uiPriority w:val="0"/>
    <w:pPr>
      <w:numPr>
        <w:ilvl w:val="0"/>
        <w:numId w:val="4"/>
      </w:numPr>
      <w:ind w:left="0" w:firstLine="0"/>
    </w:pPr>
    <w:rPr>
      <w:rFonts w:eastAsia="宋体"/>
    </w:rPr>
  </w:style>
  <w:style w:type="paragraph" w:customStyle="1" w:styleId="36">
    <w:name w:val="3rd level proposal"/>
    <w:basedOn w:val="34"/>
    <w:qFormat/>
    <w:uiPriority w:val="0"/>
    <w:pPr>
      <w:numPr>
        <w:ilvl w:val="0"/>
        <w:numId w:val="5"/>
      </w:numPr>
      <w:ind w:left="627" w:leftChars="200" w:firstLine="0"/>
    </w:pPr>
  </w:style>
  <w:style w:type="paragraph" w:customStyle="1" w:styleId="37">
    <w:name w:val="3rd level observation"/>
    <w:basedOn w:val="35"/>
    <w:qFormat/>
    <w:uiPriority w:val="0"/>
    <w:pPr>
      <w:numPr>
        <w:ilvl w:val="0"/>
        <w:numId w:val="6"/>
      </w:numPr>
      <w:tabs>
        <w:tab w:val="left" w:pos="1134"/>
        <w:tab w:val="clear" w:pos="993"/>
      </w:tabs>
      <w:ind w:left="1131" w:leftChars="496" w:hanging="139" w:hangingChars="69"/>
    </w:pPr>
    <w:rPr>
      <w:rFonts w:eastAsiaTheme="minorEastAsia"/>
    </w:rPr>
  </w:style>
  <w:style w:type="paragraph" w:customStyle="1" w:styleId="38">
    <w:name w:val="References"/>
    <w:basedOn w:val="1"/>
    <w:qFormat/>
    <w:uiPriority w:val="0"/>
    <w:pPr>
      <w:numPr>
        <w:ilvl w:val="0"/>
        <w:numId w:val="7"/>
      </w:numPr>
      <w:spacing w:after="60"/>
    </w:pPr>
    <w:rPr>
      <w:szCs w:val="16"/>
    </w:rPr>
  </w:style>
  <w:style w:type="paragraph" w:styleId="39">
    <w:name w:val="List Paragraph"/>
    <w:basedOn w:val="1"/>
    <w:qFormat/>
    <w:uiPriority w:val="99"/>
    <w:pPr>
      <w:spacing w:beforeLines="0"/>
      <w:ind w:left="720"/>
      <w:contextualSpacing/>
    </w:pPr>
    <w:rPr>
      <w:sz w:val="24"/>
      <w:szCs w:val="24"/>
    </w:rPr>
  </w:style>
  <w:style w:type="character" w:customStyle="1" w:styleId="40">
    <w:name w:val="页眉 字符"/>
    <w:basedOn w:val="24"/>
    <w:link w:val="15"/>
    <w:qFormat/>
    <w:uiPriority w:val="99"/>
    <w:rPr>
      <w:rFonts w:eastAsia="Times New Roman"/>
      <w:kern w:val="2"/>
      <w:sz w:val="18"/>
      <w:szCs w:val="18"/>
    </w:rPr>
  </w:style>
  <w:style w:type="paragraph" w:customStyle="1" w:styleId="41">
    <w:name w:val="ZTE-C-proposal"/>
    <w:basedOn w:val="16"/>
    <w:link w:val="44"/>
    <w:qFormat/>
    <w:uiPriority w:val="0"/>
    <w:pPr>
      <w:spacing w:before="120" w:after="120"/>
      <w:ind w:left="1104" w:hanging="1104" w:hangingChars="550"/>
    </w:pPr>
  </w:style>
  <w:style w:type="paragraph" w:customStyle="1" w:styleId="42">
    <w:name w:val="ZTE-C-subProposal"/>
    <w:basedOn w:val="20"/>
    <w:link w:val="47"/>
    <w:qFormat/>
    <w:uiPriority w:val="0"/>
    <w:pPr>
      <w:tabs>
        <w:tab w:val="left" w:pos="993"/>
        <w:tab w:val="right" w:leader="dot" w:pos="9650"/>
      </w:tabs>
      <w:spacing w:before="120" w:after="120"/>
      <w:ind w:left="708" w:leftChars="354"/>
    </w:pPr>
  </w:style>
  <w:style w:type="character" w:customStyle="1" w:styleId="43">
    <w:name w:val="TOC 1 字符"/>
    <w:basedOn w:val="24"/>
    <w:link w:val="16"/>
    <w:qFormat/>
    <w:uiPriority w:val="39"/>
    <w:rPr>
      <w:rFonts w:eastAsia="Times New Roman"/>
      <w:b/>
      <w:i/>
      <w:kern w:val="2"/>
    </w:rPr>
  </w:style>
  <w:style w:type="character" w:customStyle="1" w:styleId="44">
    <w:name w:val="ZTE-C-proposal 字符"/>
    <w:basedOn w:val="43"/>
    <w:link w:val="41"/>
    <w:qFormat/>
    <w:uiPriority w:val="0"/>
    <w:rPr>
      <w:rFonts w:eastAsia="Times New Roman"/>
      <w:color w:val="000000"/>
      <w:kern w:val="2"/>
    </w:rPr>
  </w:style>
  <w:style w:type="paragraph" w:customStyle="1" w:styleId="45">
    <w:name w:val="ZTE-C-3rd level proposal"/>
    <w:basedOn w:val="12"/>
    <w:link w:val="50"/>
    <w:qFormat/>
    <w:uiPriority w:val="0"/>
    <w:pPr>
      <w:tabs>
        <w:tab w:val="left" w:pos="1276"/>
        <w:tab w:val="right" w:leader="dot" w:pos="9650"/>
      </w:tabs>
      <w:spacing w:before="120" w:after="120"/>
      <w:ind w:left="1134" w:leftChars="567"/>
    </w:pPr>
  </w:style>
  <w:style w:type="character" w:customStyle="1" w:styleId="46">
    <w:name w:val="TOC 2 字符"/>
    <w:basedOn w:val="24"/>
    <w:link w:val="20"/>
    <w:qFormat/>
    <w:uiPriority w:val="39"/>
    <w:rPr>
      <w:rFonts w:eastAsia="Times New Roman"/>
      <w:b/>
      <w:i/>
      <w:kern w:val="2"/>
    </w:rPr>
  </w:style>
  <w:style w:type="character" w:customStyle="1" w:styleId="47">
    <w:name w:val="ZTE-C-subProposal 字符"/>
    <w:basedOn w:val="46"/>
    <w:link w:val="42"/>
    <w:qFormat/>
    <w:uiPriority w:val="0"/>
    <w:rPr>
      <w:rFonts w:eastAsia="Times New Roman"/>
      <w:kern w:val="2"/>
    </w:rPr>
  </w:style>
  <w:style w:type="paragraph" w:customStyle="1" w:styleId="48">
    <w:name w:val="ZTE-C-Observation"/>
    <w:basedOn w:val="16"/>
    <w:link w:val="52"/>
    <w:qFormat/>
    <w:uiPriority w:val="0"/>
    <w:pPr>
      <w:tabs>
        <w:tab w:val="left" w:pos="1470"/>
        <w:tab w:val="right" w:pos="9650"/>
      </w:tabs>
      <w:spacing w:before="120" w:after="120"/>
      <w:ind w:left="1273" w:hanging="1273" w:hangingChars="634"/>
    </w:pPr>
  </w:style>
  <w:style w:type="character" w:customStyle="1" w:styleId="49">
    <w:name w:val="TOC 3 字符"/>
    <w:basedOn w:val="24"/>
    <w:link w:val="12"/>
    <w:qFormat/>
    <w:uiPriority w:val="39"/>
    <w:rPr>
      <w:rFonts w:eastAsia="Times New Roman"/>
      <w:b/>
      <w:i/>
      <w:kern w:val="2"/>
    </w:rPr>
  </w:style>
  <w:style w:type="character" w:customStyle="1" w:styleId="50">
    <w:name w:val="ZTE-C-3rd level proposal 字符"/>
    <w:basedOn w:val="49"/>
    <w:link w:val="45"/>
    <w:qFormat/>
    <w:uiPriority w:val="0"/>
    <w:rPr>
      <w:rFonts w:eastAsia="Times New Roman"/>
      <w:kern w:val="2"/>
    </w:rPr>
  </w:style>
  <w:style w:type="paragraph" w:customStyle="1" w:styleId="51">
    <w:name w:val="ZTE-C-sub-Observation"/>
    <w:basedOn w:val="20"/>
    <w:link w:val="54"/>
    <w:qFormat/>
    <w:uiPriority w:val="0"/>
    <w:pPr>
      <w:tabs>
        <w:tab w:val="left" w:pos="993"/>
        <w:tab w:val="right" w:pos="9650"/>
      </w:tabs>
      <w:spacing w:before="120" w:after="120"/>
      <w:ind w:left="850" w:leftChars="425"/>
    </w:pPr>
  </w:style>
  <w:style w:type="character" w:customStyle="1" w:styleId="52">
    <w:name w:val="ZTE-C-Observation 字符"/>
    <w:basedOn w:val="43"/>
    <w:link w:val="48"/>
    <w:qFormat/>
    <w:uiPriority w:val="0"/>
    <w:rPr>
      <w:rFonts w:eastAsia="Times New Roman"/>
      <w:kern w:val="2"/>
    </w:rPr>
  </w:style>
  <w:style w:type="paragraph" w:customStyle="1" w:styleId="53">
    <w:name w:val="ZTE-C-3rd level Observation"/>
    <w:basedOn w:val="12"/>
    <w:link w:val="55"/>
    <w:qFormat/>
    <w:uiPriority w:val="0"/>
    <w:pPr>
      <w:tabs>
        <w:tab w:val="left" w:pos="1260"/>
        <w:tab w:val="right" w:pos="9650"/>
      </w:tabs>
      <w:spacing w:before="120" w:after="120"/>
      <w:ind w:left="1134" w:leftChars="567"/>
    </w:pPr>
  </w:style>
  <w:style w:type="character" w:customStyle="1" w:styleId="54">
    <w:name w:val="ZTE-C-sub-Observation 字符"/>
    <w:basedOn w:val="46"/>
    <w:link w:val="51"/>
    <w:qFormat/>
    <w:uiPriority w:val="0"/>
    <w:rPr>
      <w:rFonts w:eastAsia="Times New Roman"/>
      <w:kern w:val="2"/>
    </w:rPr>
  </w:style>
  <w:style w:type="character" w:customStyle="1" w:styleId="55">
    <w:name w:val="ZTE-C-3rd level Observation 字符"/>
    <w:basedOn w:val="49"/>
    <w:link w:val="53"/>
    <w:qFormat/>
    <w:uiPriority w:val="0"/>
    <w:rPr>
      <w:rFonts w:eastAsia="Times New Roman"/>
      <w:kern w:val="2"/>
    </w:rPr>
  </w:style>
  <w:style w:type="character" w:customStyle="1" w:styleId="56">
    <w:name w:val="页脚 字符"/>
    <w:basedOn w:val="24"/>
    <w:link w:val="14"/>
    <w:qFormat/>
    <w:uiPriority w:val="99"/>
    <w:rPr>
      <w:rFonts w:eastAsia="Times New Roman"/>
      <w:kern w:val="2"/>
      <w:sz w:val="18"/>
      <w:szCs w:val="18"/>
    </w:rPr>
  </w:style>
  <w:style w:type="paragraph" w:customStyle="1" w:styleId="57">
    <w:name w:val="Obervation"/>
    <w:qFormat/>
    <w:uiPriority w:val="0"/>
    <w:pPr>
      <w:numPr>
        <w:ilvl w:val="0"/>
        <w:numId w:val="8"/>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8">
    <w:name w:val="Agreement"/>
    <w:basedOn w:val="1"/>
    <w:next w:val="59"/>
    <w:qFormat/>
    <w:uiPriority w:val="99"/>
    <w:pPr>
      <w:numPr>
        <w:ilvl w:val="0"/>
        <w:numId w:val="9"/>
      </w:numPr>
      <w:tabs>
        <w:tab w:val="left" w:pos="1619"/>
        <w:tab w:val="clear" w:pos="364"/>
      </w:tabs>
      <w:spacing w:before="60"/>
    </w:pPr>
    <w:rPr>
      <w:b/>
    </w:rPr>
  </w:style>
  <w:style w:type="paragraph" w:customStyle="1" w:styleId="59">
    <w:name w:val="Doc-text2"/>
    <w:basedOn w:val="1"/>
    <w:link w:val="98"/>
    <w:qFormat/>
    <w:uiPriority w:val="0"/>
    <w:pPr>
      <w:tabs>
        <w:tab w:val="left" w:pos="1622"/>
      </w:tabs>
      <w:ind w:left="1622" w:hanging="363"/>
    </w:pPr>
  </w:style>
  <w:style w:type="character" w:customStyle="1" w:styleId="60">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1">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2">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3">
    <w:name w:val="列表段落1"/>
    <w:basedOn w:val="1"/>
    <w:qFormat/>
    <w:uiPriority w:val="0"/>
    <w:pPr>
      <w:spacing w:beforeLines="0"/>
      <w:ind w:left="720"/>
      <w:contextualSpacing/>
    </w:pPr>
    <w:rPr>
      <w:rFonts w:eastAsia="宋体"/>
      <w:sz w:val="24"/>
      <w:szCs w:val="24"/>
    </w:rPr>
  </w:style>
  <w:style w:type="paragraph" w:customStyle="1" w:styleId="64">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5">
    <w:name w:val="Proposal 字符"/>
    <w:basedOn w:val="24"/>
    <w:link w:val="30"/>
    <w:qFormat/>
    <w:uiPriority w:val="0"/>
    <w:rPr>
      <w:rFonts w:ascii="Times New Roman" w:hAnsi="Times New Roman" w:eastAsia="Times New Roman" w:cs="Times New Roman"/>
      <w:b/>
      <w:bCs/>
      <w:i/>
      <w:iCs/>
      <w:kern w:val="2"/>
    </w:rPr>
  </w:style>
  <w:style w:type="character" w:customStyle="1" w:styleId="66">
    <w:name w:val="!ZTE-Proposal-2021 + 段前: 0.5 行 段后: 0.5 行 Char"/>
    <w:link w:val="31"/>
    <w:qFormat/>
    <w:uiPriority w:val="0"/>
    <w:rPr>
      <w:rFonts w:cs="宋体" w:eastAsiaTheme="minorEastAsia"/>
      <w:b/>
      <w:bCs/>
      <w:i/>
      <w:iCs/>
      <w:lang w:val="en-GB"/>
    </w:r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9">
    <w:name w:val="B3 Char"/>
    <w:basedOn w:val="24"/>
    <w:link w:val="70"/>
    <w:qFormat/>
    <w:uiPriority w:val="0"/>
    <w:rPr>
      <w:rFonts w:hint="default" w:ascii="Times New Roman" w:hAnsi="Times New Roman" w:eastAsia="Times New Roman" w:cs="Times New Roman"/>
    </w:rPr>
  </w:style>
  <w:style w:type="paragraph" w:customStyle="1" w:styleId="70">
    <w:name w:val="B3"/>
    <w:basedOn w:val="8"/>
    <w:link w:val="69"/>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1">
    <w:name w:val="B4 Char"/>
    <w:basedOn w:val="24"/>
    <w:link w:val="72"/>
    <w:qFormat/>
    <w:uiPriority w:val="0"/>
    <w:rPr>
      <w:rFonts w:hint="default" w:ascii="Times New Roman" w:hAnsi="Times New Roman" w:eastAsia="Times New Roman" w:cs="Times New Roman"/>
    </w:rPr>
  </w:style>
  <w:style w:type="paragraph" w:customStyle="1" w:styleId="72">
    <w:name w:val="B4"/>
    <w:basedOn w:val="18"/>
    <w:link w:val="71"/>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3">
    <w:name w:val="B2"/>
    <w:basedOn w:val="9"/>
    <w:link w:val="74"/>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4">
    <w:name w:val="B2 Char"/>
    <w:basedOn w:val="24"/>
    <w:link w:val="73"/>
    <w:qFormat/>
    <w:uiPriority w:val="0"/>
    <w:rPr>
      <w:rFonts w:hint="default" w:ascii="Times New Roman" w:hAnsi="Times New Roman" w:eastAsia="Times New Roman" w:cs="Times New Roman"/>
    </w:rPr>
  </w:style>
  <w:style w:type="paragraph" w:customStyle="1" w:styleId="75">
    <w:name w:val="B5"/>
    <w:basedOn w:val="17"/>
    <w:qFormat/>
    <w:uiPriority w:val="0"/>
    <w:pPr>
      <w:ind w:hanging="284"/>
    </w:pPr>
  </w:style>
  <w:style w:type="character" w:customStyle="1" w:styleId="76">
    <w:name w:val="批注文字 字符"/>
    <w:basedOn w:val="24"/>
    <w:link w:val="11"/>
    <w:qFormat/>
    <w:uiPriority w:val="0"/>
    <w:rPr>
      <w:rFonts w:hint="default" w:ascii="Times New Roman" w:hAnsi="Times New Roman" w:eastAsia="Times New Roman" w:cs="Times New Roman"/>
      <w:lang w:val="en-US"/>
    </w:rPr>
  </w:style>
  <w:style w:type="character" w:customStyle="1" w:styleId="77">
    <w:name w:val="B5 Char"/>
    <w:basedOn w:val="24"/>
    <w:qFormat/>
    <w:uiPriority w:val="0"/>
    <w:rPr>
      <w:rFonts w:hint="default" w:ascii="Times New Roman" w:hAnsi="Times New Roman" w:eastAsia="Times New Roman" w:cs="Times New Roman"/>
      <w:lang w:val="en-US"/>
    </w:rPr>
  </w:style>
  <w:style w:type="paragraph" w:customStyle="1" w:styleId="78">
    <w:name w:val="B1"/>
    <w:basedOn w:val="10"/>
    <w:link w:val="81"/>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9">
    <w:name w:val="B3 Char2"/>
    <w:basedOn w:val="24"/>
    <w:qFormat/>
    <w:uiPriority w:val="0"/>
    <w:rPr>
      <w:rFonts w:hint="default" w:ascii="Times New Roman" w:hAnsi="Times New Roman" w:eastAsia="Times New Roman" w:cs="Times New Roman"/>
      <w:lang w:val="en-US"/>
    </w:rPr>
  </w:style>
  <w:style w:type="character" w:customStyle="1" w:styleId="80">
    <w:name w:val="标题 5 字符"/>
    <w:basedOn w:val="24"/>
    <w:link w:val="6"/>
    <w:qFormat/>
    <w:uiPriority w:val="0"/>
    <w:rPr>
      <w:rFonts w:hint="default" w:ascii="Arial" w:hAnsi="Arial" w:eastAsia="Times New Roman" w:cs="Arial"/>
      <w:sz w:val="22"/>
      <w:lang w:val="en-US"/>
    </w:rPr>
  </w:style>
  <w:style w:type="character" w:customStyle="1" w:styleId="81">
    <w:name w:val="B1 Char1"/>
    <w:basedOn w:val="24"/>
    <w:link w:val="78"/>
    <w:qFormat/>
    <w:uiPriority w:val="0"/>
    <w:rPr>
      <w:rFonts w:hint="default" w:ascii="Times New Roman" w:hAnsi="Times New Roman" w:eastAsia="Times New Roman" w:cs="Times New Roman"/>
      <w:lang w:val="en-US"/>
    </w:rPr>
  </w:style>
  <w:style w:type="character" w:customStyle="1" w:styleId="82">
    <w:name w:val="标题 4 字符"/>
    <w:basedOn w:val="24"/>
    <w:link w:val="5"/>
    <w:qFormat/>
    <w:uiPriority w:val="0"/>
    <w:rPr>
      <w:rFonts w:ascii="Calibri Light" w:hAnsi="Calibri Light" w:eastAsia="Yu Gothic Light" w:cs="Times New Roman"/>
      <w:b/>
      <w:bCs/>
      <w:sz w:val="28"/>
      <w:szCs w:val="28"/>
      <w:lang w:val="en-US"/>
    </w:rPr>
  </w:style>
  <w:style w:type="paragraph" w:customStyle="1" w:styleId="83">
    <w:name w:val="TAH"/>
    <w:basedOn w:val="84"/>
    <w:qFormat/>
    <w:uiPriority w:val="0"/>
    <w:rPr>
      <w:b/>
    </w:rPr>
  </w:style>
  <w:style w:type="paragraph" w:customStyle="1" w:styleId="84">
    <w:name w:val="TAC"/>
    <w:basedOn w:val="85"/>
    <w:qFormat/>
    <w:uiPriority w:val="0"/>
    <w:pPr>
      <w:jc w:val="center"/>
    </w:pPr>
  </w:style>
  <w:style w:type="paragraph" w:customStyle="1" w:styleId="85">
    <w:name w:val="TAL"/>
    <w:basedOn w:val="1"/>
    <w:qFormat/>
    <w:uiPriority w:val="0"/>
    <w:pPr>
      <w:keepNext/>
      <w:keepLines/>
    </w:pPr>
    <w:rPr>
      <w:rFonts w:ascii="Arial" w:hAnsi="Arial"/>
      <w:sz w:val="18"/>
    </w:rPr>
  </w:style>
  <w:style w:type="paragraph" w:customStyle="1" w:styleId="86">
    <w:name w:val="TAR"/>
    <w:basedOn w:val="85"/>
    <w:qFormat/>
    <w:uiPriority w:val="0"/>
    <w:pPr>
      <w:jc w:val="right"/>
    </w:pPr>
  </w:style>
  <w:style w:type="paragraph" w:customStyle="1" w:styleId="8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8">
    <w:name w:val="NO"/>
    <w:basedOn w:val="1"/>
    <w:qFormat/>
    <w:uiPriority w:val="0"/>
    <w:pPr>
      <w:keepLines/>
      <w:ind w:left="1135" w:hanging="851"/>
    </w:pPr>
  </w:style>
  <w:style w:type="paragraph" w:customStyle="1" w:styleId="89">
    <w:name w:val="B6"/>
    <w:basedOn w:val="75"/>
    <w:qFormat/>
    <w:uiPriority w:val="0"/>
    <w:pPr>
      <w:ind w:left="1985"/>
    </w:pPr>
  </w:style>
  <w:style w:type="paragraph" w:customStyle="1" w:styleId="90">
    <w:name w:val="B7"/>
    <w:basedOn w:val="89"/>
    <w:qFormat/>
    <w:uiPriority w:val="0"/>
    <w:pPr>
      <w:ind w:left="2269"/>
    </w:pPr>
  </w:style>
  <w:style w:type="character" w:customStyle="1" w:styleId="91">
    <w:name w:val="标题 4 字符1"/>
    <w:basedOn w:val="24"/>
    <w:qFormat/>
    <w:uiPriority w:val="0"/>
    <w:rPr>
      <w:rFonts w:hint="default" w:ascii="Arial" w:hAnsi="Arial" w:eastAsia="Times New Roman" w:cs="Arial"/>
      <w:sz w:val="24"/>
      <w:lang w:val="en-US"/>
    </w:rPr>
  </w:style>
  <w:style w:type="character" w:customStyle="1" w:styleId="92">
    <w:name w:val="标题 3 字符"/>
    <w:basedOn w:val="24"/>
    <w:link w:val="4"/>
    <w:qFormat/>
    <w:uiPriority w:val="0"/>
    <w:rPr>
      <w:rFonts w:hint="default" w:ascii="Times New Roman" w:hAnsi="Times New Roman" w:eastAsia="Times New Roman" w:cs="Times New Roman"/>
      <w:b/>
      <w:bCs/>
      <w:sz w:val="32"/>
      <w:szCs w:val="32"/>
      <w:lang w:val="en-US"/>
    </w:rPr>
  </w:style>
  <w:style w:type="character" w:customStyle="1" w:styleId="93">
    <w:name w:val="TAL Car"/>
    <w:basedOn w:val="24"/>
    <w:qFormat/>
    <w:uiPriority w:val="0"/>
    <w:rPr>
      <w:rFonts w:hint="default" w:ascii="Arial" w:hAnsi="Arial" w:eastAsia="Times New Roman" w:cs="Arial"/>
      <w:sz w:val="18"/>
      <w:lang w:val="en-US"/>
    </w:rPr>
  </w:style>
  <w:style w:type="character" w:customStyle="1" w:styleId="94">
    <w:name w:val="PL Char"/>
    <w:basedOn w:val="24"/>
    <w:qFormat/>
    <w:uiPriority w:val="0"/>
    <w:rPr>
      <w:rFonts w:ascii="Courier New" w:hAnsi="Courier New" w:eastAsia="Times New Roman" w:cs="Courier New"/>
      <w:sz w:val="16"/>
      <w:shd w:val="clear" w:color="auto" w:fill="E6E6E6"/>
      <w:lang w:val="en-US" w:eastAsia="en-US"/>
    </w:rPr>
  </w:style>
  <w:style w:type="character" w:customStyle="1" w:styleId="95">
    <w:name w:val="标题 4 字符2"/>
    <w:basedOn w:val="24"/>
    <w:qFormat/>
    <w:uiPriority w:val="0"/>
    <w:rPr>
      <w:rFonts w:hint="default" w:ascii="Arial" w:hAnsi="Arial" w:eastAsia="Times New Roman" w:cs="Arial"/>
      <w:sz w:val="24"/>
      <w:lang w:val="en-US"/>
    </w:rPr>
  </w:style>
  <w:style w:type="character" w:customStyle="1" w:styleId="96">
    <w:name w:val="TAH Car"/>
    <w:basedOn w:val="24"/>
    <w:qFormat/>
    <w:uiPriority w:val="0"/>
    <w:rPr>
      <w:rFonts w:hint="default" w:ascii="Arial" w:hAnsi="Arial" w:eastAsia="Times New Roman" w:cs="Arial"/>
      <w:b/>
      <w:sz w:val="18"/>
      <w:lang w:val="en-US"/>
    </w:rPr>
  </w:style>
  <w:style w:type="character" w:customStyle="1" w:styleId="97">
    <w:name w:val="TH Char"/>
    <w:basedOn w:val="24"/>
    <w:qFormat/>
    <w:uiPriority w:val="0"/>
    <w:rPr>
      <w:rFonts w:hint="default" w:ascii="Arial" w:hAnsi="Arial" w:eastAsia="Times New Roman" w:cs="Arial"/>
      <w:b/>
      <w:lang w:val="en-US"/>
    </w:rPr>
  </w:style>
  <w:style w:type="character" w:customStyle="1" w:styleId="98">
    <w:name w:val="Doc-text2 Char"/>
    <w:link w:val="59"/>
    <w:qFormat/>
    <w:uiPriority w:val="0"/>
    <w:rPr>
      <w:rFonts w:eastAsia="Times New Roman"/>
      <w:kern w:val="2"/>
    </w:rPr>
  </w:style>
  <w:style w:type="paragraph" w:customStyle="1" w:styleId="99">
    <w:name w:val="Doc-comment"/>
    <w:basedOn w:val="1"/>
    <w:next w:val="59"/>
    <w:qFormat/>
    <w:uiPriority w:val="0"/>
    <w:pPr>
      <w:tabs>
        <w:tab w:val="left" w:pos="1622"/>
      </w:tabs>
      <w:spacing w:beforeLines="0" w:afterLines="0"/>
      <w:ind w:left="1622" w:hanging="363"/>
      <w:jc w:val="left"/>
    </w:pPr>
    <w:rPr>
      <w:rFonts w:ascii="Calibri" w:hAnsi="Calibri" w:cs="Calibri" w:eastAsiaTheme="minorHAnsi"/>
      <w:i/>
      <w:kern w:val="0"/>
      <w:sz w:val="22"/>
      <w:szCs w:val="22"/>
      <w:lang w:eastAsia="en-US"/>
    </w:rPr>
  </w:style>
  <w:style w:type="paragraph" w:customStyle="1" w:styleId="100">
    <w:name w:val="Doc-title"/>
    <w:basedOn w:val="1"/>
    <w:next w:val="59"/>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04C87-6111-4698-9703-F02DD31CA2D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3614</Words>
  <Characters>20602</Characters>
  <Lines>171</Lines>
  <Paragraphs>48</Paragraphs>
  <TotalTime>1</TotalTime>
  <ScaleCrop>false</ScaleCrop>
  <LinksUpToDate>false</LinksUpToDate>
  <CharactersWithSpaces>24168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2024-05-10T01:32:00Z</dcterms:created>
  <dc:creator>ZTE</dc:creator>
  <cp:lastModifiedBy>ZTE DF</cp:lastModifiedBy>
  <dcterms:modified xsi:type="dcterms:W3CDTF">2024-11-08T06:28:02Z</dcterms:modified>
  <cp:revision>382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271C29A4E35D488199190263565B020C</vt:lpwstr>
  </property>
</Properties>
</file>