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DC143" w14:textId="55FB61AD" w:rsidR="00607303" w:rsidRDefault="00607303" w:rsidP="003258A4">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w:t>
      </w:r>
      <w:r w:rsidR="003258A4">
        <w:rPr>
          <w:rFonts w:cs="Arial"/>
          <w:noProof w:val="0"/>
          <w:sz w:val="24"/>
          <w:szCs w:val="24"/>
        </w:rPr>
        <w:t>2</w:t>
      </w:r>
      <w:r>
        <w:rPr>
          <w:rFonts w:cs="Arial"/>
          <w:noProof w:val="0"/>
          <w:sz w:val="24"/>
          <w:szCs w:val="24"/>
        </w:rPr>
        <w:t xml:space="preserve"> Meeting #12</w:t>
      </w:r>
      <w:r w:rsidR="003258A4">
        <w:rPr>
          <w:rFonts w:cs="Arial"/>
          <w:noProof w:val="0"/>
          <w:sz w:val="24"/>
          <w:szCs w:val="24"/>
        </w:rPr>
        <w:t>7</w:t>
      </w:r>
      <w:r>
        <w:rPr>
          <w:rFonts w:cs="Arial"/>
          <w:bCs/>
          <w:noProof w:val="0"/>
          <w:sz w:val="24"/>
        </w:rPr>
        <w:tab/>
      </w:r>
      <w:r w:rsidR="00E00842" w:rsidRPr="00E00842">
        <w:rPr>
          <w:rFonts w:cs="Arial"/>
          <w:bCs/>
          <w:noProof w:val="0"/>
          <w:sz w:val="24"/>
        </w:rPr>
        <w:t>R</w:t>
      </w:r>
      <w:r w:rsidR="003258A4">
        <w:rPr>
          <w:rFonts w:cs="Arial"/>
          <w:bCs/>
          <w:noProof w:val="0"/>
          <w:sz w:val="24"/>
        </w:rPr>
        <w:t>2-2407842</w:t>
      </w:r>
    </w:p>
    <w:p w14:paraId="7CB45193" w14:textId="55DD8C75" w:rsidR="001E41F3" w:rsidRDefault="00607303" w:rsidP="003258A4">
      <w:pPr>
        <w:pStyle w:val="CRCoverPage"/>
        <w:tabs>
          <w:tab w:val="right" w:pos="9639"/>
        </w:tabs>
        <w:outlineLvl w:val="0"/>
        <w:rPr>
          <w:b/>
          <w:noProof/>
          <w:sz w:val="24"/>
        </w:rPr>
      </w:pPr>
      <w:r w:rsidRPr="00973506">
        <w:rPr>
          <w:b/>
          <w:noProof/>
          <w:sz w:val="24"/>
        </w:rPr>
        <w:t>Maastricht, NL, 19 -</w:t>
      </w:r>
      <w:r>
        <w:rPr>
          <w:b/>
          <w:noProof/>
          <w:sz w:val="24"/>
        </w:rPr>
        <w:t xml:space="preserve"> </w:t>
      </w:r>
      <w:r w:rsidRPr="00973506">
        <w:rPr>
          <w:b/>
          <w:noProof/>
          <w:sz w:val="24"/>
        </w:rPr>
        <w:t>23 Aug, 2024</w:t>
      </w:r>
      <w:r w:rsidR="003258A4">
        <w:rPr>
          <w:b/>
          <w:noProof/>
          <w:sz w:val="24"/>
        </w:rPr>
        <w:tab/>
        <w:t xml:space="preserve">was </w:t>
      </w:r>
      <w:r w:rsidR="003258A4" w:rsidRPr="003258A4">
        <w:rPr>
          <w:b/>
          <w:noProof/>
          <w:sz w:val="24"/>
        </w:rPr>
        <w:t>R3-244800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AA71A" w:rsidR="001E41F3" w:rsidRPr="00410371" w:rsidRDefault="009D52B3" w:rsidP="00E13F3D">
            <w:pPr>
              <w:pStyle w:val="CRCoverPage"/>
              <w:spacing w:after="0"/>
              <w:jc w:val="right"/>
              <w:rPr>
                <w:b/>
                <w:noProof/>
                <w:sz w:val="28"/>
              </w:rPr>
            </w:pPr>
            <w:r w:rsidRPr="009D52B3">
              <w:rPr>
                <w:b/>
                <w:noProof/>
                <w:sz w:val="28"/>
              </w:rPr>
              <w:t>3</w:t>
            </w:r>
            <w:r w:rsidR="0022142E">
              <w:rPr>
                <w:b/>
                <w:noProof/>
                <w:sz w:val="28"/>
              </w:rPr>
              <w:t>7</w:t>
            </w:r>
            <w:r w:rsidRPr="009D52B3">
              <w:rPr>
                <w:b/>
                <w:noProof/>
                <w:sz w:val="28"/>
              </w:rPr>
              <w:t>.</w:t>
            </w:r>
            <w:r w:rsidR="00316F6F">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7F9ED" w:rsidR="001E41F3" w:rsidRPr="003258A4" w:rsidRDefault="003258A4" w:rsidP="00547111">
            <w:pPr>
              <w:pStyle w:val="CRCoverPage"/>
              <w:spacing w:after="0"/>
              <w:rPr>
                <w:b/>
                <w:bCs/>
                <w:noProof/>
                <w:sz w:val="28"/>
                <w:szCs w:val="28"/>
              </w:rPr>
            </w:pPr>
            <w:r w:rsidRPr="003258A4">
              <w:rPr>
                <w:b/>
                <w:bCs/>
                <w:sz w:val="28"/>
                <w:szCs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3E871" w:rsidR="001E41F3" w:rsidRPr="009D52B3" w:rsidRDefault="00343FD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A0BF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607303">
              <w:rPr>
                <w:b/>
                <w:noProof/>
                <w:sz w:val="28"/>
              </w:rPr>
              <w:t>2</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48624" w:rsidR="00F25D98" w:rsidRDefault="006C0A0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77879" w:rsidR="001E41F3" w:rsidRDefault="00371CD3">
            <w:pPr>
              <w:pStyle w:val="CRCoverPage"/>
              <w:spacing w:after="0"/>
              <w:ind w:left="100"/>
              <w:rPr>
                <w:noProof/>
              </w:rPr>
            </w:pPr>
            <w:r w:rsidRPr="00371CD3">
              <w:rPr>
                <w:noProof/>
                <w:lang w:eastAsia="zh-CN"/>
              </w:rPr>
              <w:t>Further miscellaneous corrections to QMC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DC4D" w:rsidR="001E41F3" w:rsidRDefault="003258A4">
            <w:pPr>
              <w:pStyle w:val="CRCoverPage"/>
              <w:spacing w:after="0"/>
              <w:ind w:left="100"/>
              <w:rPr>
                <w:noProof/>
                <w:lang w:eastAsia="zh-CN"/>
              </w:rPr>
            </w:pPr>
            <w:r>
              <w:rPr>
                <w:noProof/>
                <w:lang w:eastAsia="zh-CN"/>
              </w:rPr>
              <w:t>R3 (</w:t>
            </w:r>
            <w:r w:rsidR="00191685" w:rsidRPr="00191685">
              <w:rPr>
                <w:noProof/>
                <w:lang w:eastAsia="zh-CN"/>
              </w:rPr>
              <w:t>Huawei, China Unicom, Lenovo</w:t>
            </w:r>
            <w:r w:rsidR="00450A15">
              <w:rPr>
                <w:noProof/>
                <w:lang w:eastAsia="zh-CN"/>
              </w:rPr>
              <w:t>, Ericsson</w:t>
            </w:r>
            <w:r w:rsidR="00334BD7">
              <w:rPr>
                <w:noProof/>
                <w:lang w:eastAsia="zh-CN"/>
              </w:rPr>
              <w:t xml:space="preserve">, </w:t>
            </w:r>
            <w:r w:rsidR="00334BD7" w:rsidRPr="00334BD7">
              <w:rPr>
                <w:noProof/>
                <w:lang w:eastAsia="zh-CN"/>
              </w:rPr>
              <w:t>Nok</w:t>
            </w:r>
            <w:r w:rsidR="00334BD7">
              <w:rPr>
                <w:noProof/>
                <w:lang w:eastAsia="zh-CN"/>
              </w:rPr>
              <w:t>ia</w:t>
            </w:r>
            <w:r w:rsidR="00334BD7" w:rsidRPr="00334BD7">
              <w:rPr>
                <w:noProof/>
                <w:lang w:eastAsia="zh-CN"/>
              </w:rPr>
              <w:t>, S</w:t>
            </w:r>
            <w:r w:rsidR="00334BD7">
              <w:rPr>
                <w:noProof/>
                <w:lang w:eastAsia="zh-CN"/>
              </w:rPr>
              <w:t>amsung</w:t>
            </w:r>
            <w:r w:rsidR="00334BD7" w:rsidRPr="00334BD7">
              <w:rPr>
                <w:noProof/>
                <w:lang w:eastAsia="zh-CN"/>
              </w:rPr>
              <w:t>, ZTE</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92F9B" w:rsidR="001E41F3" w:rsidRDefault="009D52B3" w:rsidP="00547111">
            <w:pPr>
              <w:pStyle w:val="CRCoverPage"/>
              <w:spacing w:after="0"/>
              <w:ind w:left="100"/>
              <w:rPr>
                <w:noProof/>
              </w:rPr>
            </w:pPr>
            <w:r>
              <w:rPr>
                <w:noProof/>
              </w:rPr>
              <w:t>R</w:t>
            </w:r>
            <w:r w:rsidR="003258A4">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DD2F8" w:rsidR="001E41F3" w:rsidRDefault="00182D1F">
            <w:pPr>
              <w:pStyle w:val="CRCoverPage"/>
              <w:spacing w:after="0"/>
              <w:ind w:left="100"/>
              <w:rPr>
                <w:noProof/>
              </w:rPr>
            </w:pPr>
            <w:r>
              <w:t>2024-0</w:t>
            </w:r>
            <w:r w:rsidR="00697C98">
              <w:t>8</w:t>
            </w:r>
            <w:r>
              <w:t>-</w:t>
            </w:r>
            <w:r w:rsidR="00697C9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B93D" w14:textId="16D95E7E" w:rsidR="006B7135" w:rsidRPr="002A33C3" w:rsidRDefault="006B7135" w:rsidP="006B7135">
            <w:pPr>
              <w:pStyle w:val="CRCoverPage"/>
              <w:numPr>
                <w:ilvl w:val="0"/>
                <w:numId w:val="2"/>
              </w:numPr>
              <w:spacing w:after="0"/>
              <w:rPr>
                <w:lang w:eastAsia="zh-CN"/>
              </w:rPr>
            </w:pPr>
            <w:r>
              <w:t>S-NODE MODIFICATION REQUIRED</w:t>
            </w:r>
            <w:r w:rsidRPr="003258A4">
              <w:t xml:space="preserve"> message will not be involved in MN initiated SN change or SN initiated SN change case, thus this </w:t>
            </w:r>
            <w:r w:rsidR="002A33C3" w:rsidRPr="003258A4">
              <w:t>case</w:t>
            </w:r>
            <w:r w:rsidRPr="003258A4">
              <w:t xml:space="preserve"> should be removed from the </w:t>
            </w:r>
            <w:r w:rsidR="002A33C3" w:rsidRPr="003258A4">
              <w:t xml:space="preserve">scenario of </w:t>
            </w:r>
            <w:proofErr w:type="spellStart"/>
            <w:r w:rsidR="002A33C3" w:rsidRPr="003258A4">
              <w:t>QoE</w:t>
            </w:r>
            <w:proofErr w:type="spellEnd"/>
            <w:r w:rsidR="002A33C3" w:rsidRPr="003258A4">
              <w:t xml:space="preserve"> Measurement Continuity for Mobility in </w:t>
            </w:r>
            <w:proofErr w:type="spellStart"/>
            <w:r w:rsidR="002A33C3" w:rsidRPr="003258A4">
              <w:t>sectin</w:t>
            </w:r>
            <w:proofErr w:type="spellEnd"/>
            <w:r w:rsidR="002A33C3" w:rsidRPr="003258A4">
              <w:t xml:space="preserve"> 13.4.4</w:t>
            </w:r>
            <w:r w:rsidR="002A33C3" w:rsidRPr="003258A4">
              <w:rPr>
                <w:rFonts w:hint="eastAsia"/>
                <w:lang w:eastAsia="zh-CN"/>
              </w:rPr>
              <w:t>;</w:t>
            </w:r>
          </w:p>
          <w:p w14:paraId="28321D80" w14:textId="29170CFE" w:rsidR="002A33C3" w:rsidRDefault="002D6044" w:rsidP="006B7135">
            <w:pPr>
              <w:pStyle w:val="CRCoverPage"/>
              <w:numPr>
                <w:ilvl w:val="0"/>
                <w:numId w:val="2"/>
              </w:numPr>
              <w:spacing w:after="0"/>
              <w:rPr>
                <w:lang w:eastAsia="zh-CN"/>
              </w:rPr>
            </w:pPr>
            <w:r>
              <w:rPr>
                <w:noProof/>
                <w:lang w:eastAsia="zh-CN"/>
              </w:rPr>
              <w:t>In case of inter-MN handover without SN change, the source SN needes to provide the t</w:t>
            </w:r>
            <w:r w:rsidRPr="00FC7865">
              <w:rPr>
                <w:noProof/>
                <w:lang w:eastAsia="zh-CN"/>
              </w:rPr>
              <w:t>he information about the SN-associated QMC configurations to the source MN</w:t>
            </w:r>
            <w:r w:rsidR="00905FB3">
              <w:rPr>
                <w:noProof/>
                <w:lang w:eastAsia="zh-CN"/>
              </w:rPr>
              <w:t>, this case is missing in the current text;</w:t>
            </w:r>
          </w:p>
          <w:p w14:paraId="708AA7DE" w14:textId="00CF7C42" w:rsidR="00316F6F" w:rsidRDefault="00905FB3" w:rsidP="00905FB3">
            <w:pPr>
              <w:pStyle w:val="CRCoverPage"/>
              <w:numPr>
                <w:ilvl w:val="0"/>
                <w:numId w:val="2"/>
              </w:numPr>
              <w:spacing w:after="0"/>
              <w:rPr>
                <w:lang w:eastAsia="zh-CN"/>
              </w:rPr>
            </w:pPr>
            <w:r>
              <w:rPr>
                <w:lang w:eastAsia="zh-CN"/>
              </w:rPr>
              <w:t>There are still some unclear descriptions in the current stage 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0B722D2D" w14:textId="013EB8D1" w:rsidR="00272ED6" w:rsidRDefault="00272ED6" w:rsidP="00272ED6">
            <w:pPr>
              <w:pStyle w:val="CRCoverPage"/>
              <w:numPr>
                <w:ilvl w:val="0"/>
                <w:numId w:val="1"/>
              </w:numPr>
              <w:spacing w:after="0"/>
              <w:rPr>
                <w:lang w:eastAsia="zh-CN"/>
              </w:rPr>
            </w:pPr>
            <w:r w:rsidRPr="00272ED6">
              <w:rPr>
                <w:lang w:eastAsia="zh-CN"/>
              </w:rPr>
              <w:t>For a selected UE, the SN indicates to the MN the QoE reference of the management-based QoE configuration and corresponding RAN visible QoE configuration if the SN decides to have</w:t>
            </w:r>
            <w:r>
              <w:rPr>
                <w:lang w:eastAsia="zh-CN"/>
              </w:rPr>
              <w:t>;</w:t>
            </w:r>
          </w:p>
          <w:p w14:paraId="5E44E232" w14:textId="4999E30E" w:rsidR="00272ED6" w:rsidRDefault="00272ED6" w:rsidP="00272ED6">
            <w:pPr>
              <w:pStyle w:val="CRCoverPage"/>
              <w:numPr>
                <w:ilvl w:val="0"/>
                <w:numId w:val="1"/>
              </w:numPr>
              <w:spacing w:after="0"/>
              <w:rPr>
                <w:lang w:eastAsia="zh-CN"/>
              </w:rPr>
            </w:pPr>
            <w:r>
              <w:rPr>
                <w:rFonts w:hint="eastAsia"/>
                <w:lang w:eastAsia="zh-CN"/>
              </w:rPr>
              <w:t>R</w:t>
            </w:r>
            <w:r>
              <w:rPr>
                <w:lang w:eastAsia="zh-CN"/>
              </w:rPr>
              <w:t>RC segmentation is allowed on SRB4 or SRB5 (not via SRB4 or SRB5);</w:t>
            </w:r>
          </w:p>
          <w:p w14:paraId="2FA85D0A" w14:textId="1597E2B3" w:rsidR="00272ED6" w:rsidRPr="00905FB3" w:rsidRDefault="0097525E" w:rsidP="00272ED6">
            <w:pPr>
              <w:pStyle w:val="CRCoverPage"/>
              <w:numPr>
                <w:ilvl w:val="0"/>
                <w:numId w:val="1"/>
              </w:numPr>
              <w:spacing w:after="0"/>
              <w:rPr>
                <w:lang w:eastAsia="zh-CN"/>
              </w:rPr>
            </w:pPr>
            <w:r>
              <w:rPr>
                <w:lang w:eastAsia="zh-CN"/>
              </w:rPr>
              <w:t xml:space="preserve">Since </w:t>
            </w:r>
            <w:r w:rsidRPr="0097525E">
              <w:rPr>
                <w:lang w:eastAsia="zh-CN"/>
              </w:rPr>
              <w:t>SN-initiated SN modification procedure</w:t>
            </w:r>
            <w:r>
              <w:rPr>
                <w:lang w:eastAsia="zh-CN"/>
              </w:rPr>
              <w:t xml:space="preserve"> will not change the SN, it should not include </w:t>
            </w:r>
            <w:r w:rsidRPr="00885F8D">
              <w:rPr>
                <w:rFonts w:eastAsia="Times New Roman"/>
                <w:i/>
                <w:iCs/>
                <w:lang w:eastAsia="ja-JP"/>
              </w:rPr>
              <w:t>Source SN to Target SN QMC Information</w:t>
            </w:r>
            <w:r w:rsidRPr="00885F8D">
              <w:rPr>
                <w:rFonts w:eastAsia="Times New Roman"/>
                <w:lang w:eastAsia="ja-JP"/>
              </w:rPr>
              <w:t xml:space="preserve"> IE</w:t>
            </w:r>
            <w:r>
              <w:rPr>
                <w:rFonts w:eastAsia="Times New Roman"/>
                <w:lang w:eastAsia="ja-JP"/>
              </w:rPr>
              <w:t>, the wording is thus updated to align with this understanding;</w:t>
            </w:r>
          </w:p>
          <w:p w14:paraId="7EE0A15C" w14:textId="0A9B550D" w:rsidR="00905FB3" w:rsidRPr="0097525E" w:rsidRDefault="00905FB3" w:rsidP="00272ED6">
            <w:pPr>
              <w:pStyle w:val="CRCoverPage"/>
              <w:numPr>
                <w:ilvl w:val="0"/>
                <w:numId w:val="1"/>
              </w:numPr>
              <w:spacing w:after="0"/>
              <w:rPr>
                <w:lang w:eastAsia="zh-CN"/>
              </w:rPr>
            </w:pPr>
            <w:r>
              <w:rPr>
                <w:noProof/>
                <w:lang w:eastAsia="zh-CN"/>
              </w:rPr>
              <w:t xml:space="preserve">It is clarified that </w:t>
            </w:r>
            <w:r w:rsidRPr="00FC7865">
              <w:rPr>
                <w:noProof/>
                <w:lang w:eastAsia="zh-CN"/>
              </w:rPr>
              <w:t>during inter-MN handover with</w:t>
            </w:r>
            <w:r>
              <w:rPr>
                <w:noProof/>
                <w:lang w:eastAsia="zh-CN"/>
              </w:rPr>
              <w:t>out</w:t>
            </w:r>
            <w:r w:rsidRPr="00FC7865">
              <w:rPr>
                <w:noProof/>
                <w:lang w:eastAsia="zh-CN"/>
              </w:rPr>
              <w:t xml:space="preserve"> SN change, the source SN should provide the information about the SN-associated QMC configurations to the source MN</w:t>
            </w:r>
            <w:r w:rsidRPr="00FE645F">
              <w:rPr>
                <w:noProof/>
                <w:lang w:eastAsia="zh-CN"/>
              </w:rPr>
              <w:t>.</w:t>
            </w:r>
          </w:p>
          <w:p w14:paraId="5C502F1F" w14:textId="70BF602E" w:rsidR="0097525E" w:rsidRDefault="0097525E" w:rsidP="00272ED6">
            <w:pPr>
              <w:pStyle w:val="CRCoverPage"/>
              <w:numPr>
                <w:ilvl w:val="0"/>
                <w:numId w:val="1"/>
              </w:numPr>
              <w:spacing w:after="0"/>
              <w:rPr>
                <w:lang w:eastAsia="zh-CN"/>
              </w:rPr>
            </w:pPr>
            <w:r>
              <w:rPr>
                <w:lang w:eastAsia="zh-CN"/>
              </w:rPr>
              <w:t>Some rewordings.</w:t>
            </w:r>
          </w:p>
          <w:p w14:paraId="40554D7B" w14:textId="77777777"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3BF00" w:rsidR="001E41F3" w:rsidRDefault="0079385C">
            <w:pPr>
              <w:pStyle w:val="CRCoverPage"/>
              <w:spacing w:after="0"/>
              <w:ind w:left="100"/>
              <w:rPr>
                <w:noProof/>
                <w:lang w:eastAsia="zh-CN"/>
              </w:rPr>
            </w:pPr>
            <w:r>
              <w:rPr>
                <w:rFonts w:hint="eastAsia"/>
                <w:noProof/>
                <w:lang w:eastAsia="zh-CN"/>
              </w:rPr>
              <w:t>1</w:t>
            </w:r>
            <w:r>
              <w:rPr>
                <w:noProof/>
                <w:lang w:eastAsia="zh-CN"/>
              </w:rPr>
              <w:t>3.4.1, 13.4.3, 13.4.4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B9284" w:rsidR="001E41F3" w:rsidRDefault="00D6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0E47F" w:rsidR="001E41F3" w:rsidRDefault="00D6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2A913" w:rsidR="001E41F3" w:rsidRDefault="00D6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3856C1" w:rsidR="001E41F3" w:rsidRDefault="003258A4">
            <w:pPr>
              <w:pStyle w:val="CRCoverPage"/>
              <w:spacing w:after="0"/>
              <w:ind w:left="100"/>
              <w:rPr>
                <w:noProof/>
              </w:rPr>
            </w:pPr>
            <w:r w:rsidRPr="00450E6E">
              <w:rPr>
                <w:noProof/>
              </w:rPr>
              <w:t>This CR was endorsed by RAN3 in R3-244</w:t>
            </w:r>
            <w:r>
              <w:rPr>
                <w:noProof/>
              </w:rPr>
              <w:t>800</w:t>
            </w:r>
            <w:r w:rsidRPr="00450E6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6A2D55" w:rsidR="006B7135" w:rsidRDefault="006B7135" w:rsidP="006B384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F088669" w14:textId="77777777" w:rsidR="00885F8D" w:rsidRPr="00885F8D" w:rsidRDefault="00885F8D" w:rsidP="00885F8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163042057"/>
      <w:r w:rsidRPr="00885F8D">
        <w:rPr>
          <w:rFonts w:ascii="Arial" w:eastAsia="Times New Roman" w:hAnsi="Arial"/>
          <w:sz w:val="32"/>
          <w:lang w:eastAsia="ja-JP"/>
        </w:rPr>
        <w:t>13.4</w:t>
      </w:r>
      <w:r w:rsidRPr="00885F8D">
        <w:rPr>
          <w:rFonts w:ascii="Arial" w:eastAsia="Times New Roman" w:hAnsi="Arial"/>
          <w:sz w:val="32"/>
          <w:lang w:eastAsia="ja-JP"/>
        </w:rPr>
        <w:tab/>
        <w:t>Application Layer Measurement Collection</w:t>
      </w:r>
      <w:bookmarkEnd w:id="2"/>
    </w:p>
    <w:p w14:paraId="25191AA0"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63042058"/>
      <w:r w:rsidRPr="00885F8D">
        <w:rPr>
          <w:rFonts w:ascii="Arial" w:eastAsia="Times New Roman" w:hAnsi="Arial"/>
          <w:sz w:val="28"/>
          <w:lang w:eastAsia="ja-JP"/>
        </w:rPr>
        <w:t>13.4.1</w:t>
      </w:r>
      <w:r w:rsidRPr="00885F8D">
        <w:rPr>
          <w:rFonts w:ascii="Arial" w:eastAsia="Times New Roman" w:hAnsi="Arial"/>
          <w:sz w:val="28"/>
          <w:lang w:eastAsia="ja-JP"/>
        </w:rPr>
        <w:tab/>
        <w:t>Overview</w:t>
      </w:r>
      <w:bookmarkEnd w:id="3"/>
    </w:p>
    <w:p w14:paraId="4F1F339B" w14:textId="77777777" w:rsidR="00885F8D" w:rsidRPr="00885F8D" w:rsidRDefault="00885F8D" w:rsidP="00885F8D">
      <w:pPr>
        <w:overflowPunct w:val="0"/>
        <w:autoSpaceDE w:val="0"/>
        <w:autoSpaceDN w:val="0"/>
        <w:adjustRightInd w:val="0"/>
        <w:textAlignment w:val="baseline"/>
        <w:rPr>
          <w:rFonts w:eastAsia="Yu Mincho"/>
          <w:lang w:eastAsia="ja-JP"/>
        </w:rPr>
      </w:pPr>
      <w:r w:rsidRPr="00885F8D">
        <w:rPr>
          <w:rFonts w:eastAsia="Yu Mincho"/>
          <w:lang w:eastAsia="ja-JP"/>
        </w:rPr>
        <w:t>The QoE Measurement Collection function as described in TS 38.300 [3] is extended to address the NR-DC operation.</w:t>
      </w:r>
    </w:p>
    <w:p w14:paraId="7B0BA615"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ja-JP"/>
        </w:rPr>
        <w:t>For a UE in (NG)EN-DC and NE-DC, only the MN can configure the QoE configuration.</w:t>
      </w:r>
    </w:p>
    <w:p w14:paraId="08EF7F99"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63042059"/>
      <w:r w:rsidRPr="00885F8D">
        <w:rPr>
          <w:rFonts w:ascii="Arial" w:eastAsia="Times New Roman" w:hAnsi="Arial"/>
          <w:sz w:val="28"/>
          <w:lang w:eastAsia="ja-JP"/>
        </w:rPr>
        <w:t>13.4.2</w:t>
      </w:r>
      <w:r w:rsidRPr="00885F8D">
        <w:rPr>
          <w:rFonts w:ascii="Arial" w:eastAsia="Times New Roman" w:hAnsi="Arial"/>
          <w:sz w:val="28"/>
          <w:lang w:eastAsia="ja-JP"/>
        </w:rPr>
        <w:tab/>
        <w:t>SRB5</w:t>
      </w:r>
      <w:bookmarkEnd w:id="4"/>
    </w:p>
    <w:p w14:paraId="66FECFBF"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supported in NR-DC, but not in EN-DC, NGEN-DC and NE-DC.</w:t>
      </w:r>
    </w:p>
    <w:p w14:paraId="5874B0F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FB5169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SRB5 is used to send RRC messages (i.e., </w:t>
      </w:r>
      <w:proofErr w:type="spellStart"/>
      <w:r w:rsidRPr="00885F8D">
        <w:rPr>
          <w:rFonts w:eastAsia="Times New Roman"/>
          <w:i/>
          <w:lang w:eastAsia="ja-JP"/>
        </w:rPr>
        <w:t>MeasurementReportAppLayer</w:t>
      </w:r>
      <w:proofErr w:type="spellEnd"/>
      <w:r w:rsidRPr="00885F8D">
        <w:rPr>
          <w:rFonts w:eastAsia="Times New Roman"/>
          <w:i/>
          <w:lang w:eastAsia="ja-JP"/>
        </w:rPr>
        <w:t xml:space="preserve"> </w:t>
      </w:r>
      <w:r w:rsidRPr="00885F8D">
        <w:rPr>
          <w:rFonts w:eastAsia="Times New Roman"/>
          <w:iCs/>
          <w:lang w:eastAsia="ja-JP"/>
        </w:rPr>
        <w:t>message</w:t>
      </w:r>
      <w:r w:rsidRPr="00885F8D">
        <w:rPr>
          <w:rFonts w:eastAsia="Times New Roman"/>
          <w:lang w:eastAsia="zh-CN"/>
        </w:rPr>
        <w:t>) including application layer measurement report information directly to the SN.</w:t>
      </w:r>
    </w:p>
    <w:p w14:paraId="3130A787"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modelled as one of the SRBs defined in TS 38.331 [4] and uses the NR-DCCH logical channel type.</w:t>
      </w:r>
    </w:p>
    <w:p w14:paraId="3297A58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SRB5 is released.</w:t>
      </w:r>
    </w:p>
    <w:p w14:paraId="7EB5404B"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63042060"/>
      <w:r w:rsidRPr="00885F8D">
        <w:rPr>
          <w:rFonts w:ascii="Arial" w:eastAsia="Times New Roman" w:hAnsi="Arial"/>
          <w:sz w:val="28"/>
          <w:lang w:eastAsia="ja-JP"/>
        </w:rPr>
        <w:t>13.4.3</w:t>
      </w:r>
      <w:r w:rsidRPr="00885F8D">
        <w:rPr>
          <w:rFonts w:ascii="Arial" w:eastAsia="Times New Roman" w:hAnsi="Arial"/>
          <w:sz w:val="28"/>
          <w:lang w:eastAsia="ja-JP"/>
        </w:rPr>
        <w:tab/>
        <w:t>QoE Measurement Configuration</w:t>
      </w:r>
      <w:bookmarkEnd w:id="5"/>
    </w:p>
    <w:p w14:paraId="0A7075CF"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30939108"/>
      <w:bookmarkStart w:id="7" w:name="_Toc163042061"/>
      <w:r w:rsidRPr="00885F8D">
        <w:rPr>
          <w:rFonts w:ascii="Arial" w:eastAsia="Times New Roman" w:hAnsi="Arial"/>
          <w:sz w:val="24"/>
          <w:lang w:eastAsia="ja-JP"/>
        </w:rPr>
        <w:t>13.4.3.1</w:t>
      </w:r>
      <w:r w:rsidRPr="00885F8D">
        <w:rPr>
          <w:rFonts w:ascii="Arial" w:eastAsia="Times New Roman" w:hAnsi="Arial"/>
          <w:sz w:val="24"/>
          <w:lang w:eastAsia="ja-JP"/>
        </w:rPr>
        <w:tab/>
        <w:t>QoE Measurement Collection Activation and Reporting</w:t>
      </w:r>
      <w:bookmarkEnd w:id="6"/>
      <w:r w:rsidRPr="00885F8D">
        <w:rPr>
          <w:rFonts w:ascii="Arial" w:eastAsia="Times New Roman" w:hAnsi="Arial"/>
          <w:sz w:val="24"/>
          <w:lang w:eastAsia="ja-JP"/>
        </w:rPr>
        <w:t xml:space="preserve"> in NR-DC</w:t>
      </w:r>
      <w:bookmarkEnd w:id="7"/>
    </w:p>
    <w:p w14:paraId="176443B8" w14:textId="09AA6D39"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a UE in NR-DC, either the MN or the SN can generate QoE configuration(s) and transmit the configuration to the UE. </w:t>
      </w:r>
      <w:r w:rsidRPr="00885F8D">
        <w:rPr>
          <w:rFonts w:eastAsia="Times New Roman"/>
          <w:lang w:eastAsia="zh-CN"/>
        </w:rPr>
        <w:t>If both the MN and the SN send QoE configurations to the UE, the MN and the SN do not use the same set of application layer measurement configuration identities, which means there is a unique ID for QoE configurations across MN and SN.</w:t>
      </w:r>
    </w:p>
    <w:p w14:paraId="7C86A230" w14:textId="2843FF8A" w:rsidR="00885F8D" w:rsidRPr="00885F8D" w:rsidRDefault="00885F8D" w:rsidP="00885F8D">
      <w:pPr>
        <w:overflowPunct w:val="0"/>
        <w:autoSpaceDE w:val="0"/>
        <w:autoSpaceDN w:val="0"/>
        <w:adjustRightInd w:val="0"/>
        <w:textAlignment w:val="baseline"/>
        <w:rPr>
          <w:rFonts w:eastAsia="Times New Roman"/>
          <w:lang w:eastAsia="ja-JP"/>
        </w:rPr>
      </w:pPr>
      <w:del w:id="8" w:author="Huawei" w:date="2024-04-07T14:59:00Z">
        <w:r w:rsidRPr="00885F8D" w:rsidDel="00E743CB">
          <w:rPr>
            <w:rFonts w:eastAsia="Times New Roman"/>
            <w:lang w:eastAsia="ja-JP"/>
          </w:rPr>
          <w:delText>For a UE in NR-DC, t</w:delText>
        </w:r>
      </w:del>
      <w:ins w:id="9" w:author="Huawei" w:date="2024-04-07T14:59:00Z">
        <w:r w:rsidR="00E743CB">
          <w:rPr>
            <w:rFonts w:eastAsia="Times New Roman"/>
            <w:lang w:eastAsia="ja-JP"/>
          </w:rPr>
          <w:t>T</w:t>
        </w:r>
      </w:ins>
      <w:r w:rsidRPr="00885F8D">
        <w:rPr>
          <w:rFonts w:eastAsia="Times New Roman"/>
          <w:lang w:eastAsia="ja-JP"/>
        </w:rPr>
        <w:t xml:space="preserve">he MN and the SN may coordinate </w:t>
      </w:r>
      <w:ins w:id="10" w:author="Huawei" w:date="2024-04-07T14:59:00Z">
        <w:r w:rsidR="00E743CB">
          <w:t xml:space="preserve">management-based </w:t>
        </w:r>
      </w:ins>
      <w:r w:rsidRPr="00885F8D">
        <w:rPr>
          <w:rFonts w:eastAsia="Times New Roman"/>
          <w:lang w:eastAsia="ja-JP"/>
        </w:rPr>
        <w:t>QoE measurement collection activation</w:t>
      </w:r>
      <w:ins w:id="11" w:author="Ericsson User" w:date="2024-08-21T08:22:00Z">
        <w:r w:rsidR="007B3D70">
          <w:rPr>
            <w:rFonts w:eastAsia="Times New Roman"/>
            <w:lang w:eastAsia="ja-JP"/>
          </w:rPr>
          <w:t xml:space="preserve">. </w:t>
        </w:r>
      </w:ins>
      <w:ins w:id="12" w:author="Huawei" w:date="2024-08-22T08:40:00Z">
        <w:r w:rsidR="00022D1C">
          <w:rPr>
            <w:rFonts w:eastAsia="Times New Roman"/>
            <w:lang w:eastAsia="ja-JP"/>
          </w:rPr>
          <w:t>During the coordination, the MN</w:t>
        </w:r>
      </w:ins>
      <w:del w:id="13" w:author="Huawei" w:date="2024-08-22T08:40:00Z">
        <w:r w:rsidRPr="00885F8D" w:rsidDel="00022D1C">
          <w:rPr>
            <w:rFonts w:eastAsia="Times New Roman"/>
            <w:lang w:eastAsia="ja-JP"/>
          </w:rPr>
          <w:delText>and reporting as follows</w:delText>
        </w:r>
      </w:del>
      <w:r w:rsidRPr="00885F8D">
        <w:rPr>
          <w:rFonts w:eastAsia="Times New Roman"/>
          <w:lang w:eastAsia="ja-JP"/>
        </w:rPr>
        <w:t>:</w:t>
      </w:r>
    </w:p>
    <w:p w14:paraId="5408FC0E" w14:textId="3A0F964B" w:rsidR="00885F8D" w:rsidRPr="00885F8D" w:rsidDel="00E743CB" w:rsidRDefault="00885F8D" w:rsidP="00885F8D">
      <w:pPr>
        <w:overflowPunct w:val="0"/>
        <w:autoSpaceDE w:val="0"/>
        <w:autoSpaceDN w:val="0"/>
        <w:adjustRightInd w:val="0"/>
        <w:textAlignment w:val="baseline"/>
        <w:rPr>
          <w:del w:id="14" w:author="Huawei" w:date="2024-04-07T14:59:00Z"/>
          <w:rFonts w:eastAsia="Times New Roman"/>
          <w:lang w:eastAsia="ja-JP"/>
        </w:rPr>
      </w:pPr>
      <w:del w:id="15" w:author="Huawei" w:date="2024-04-07T14:59:00Z">
        <w:r w:rsidRPr="00885F8D" w:rsidDel="00E743CB">
          <w:rPr>
            <w:rFonts w:eastAsia="Times New Roman"/>
            <w:lang w:eastAsia="ja-JP"/>
          </w:rPr>
          <w:delText>For management-based QoE activation, the MN:</w:delText>
        </w:r>
      </w:del>
    </w:p>
    <w:p w14:paraId="77BA7F39"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r w:rsidRPr="00885F8D">
        <w:rPr>
          <w:rFonts w:eastAsia="Times New Roman"/>
          <w:lang w:eastAsia="ja-JP"/>
        </w:rPr>
        <w:tab/>
        <w:t xml:space="preserve">Allocates the </w:t>
      </w:r>
      <w:bookmarkStart w:id="16" w:name="_Hlk134178193"/>
      <w:r w:rsidRPr="00885F8D">
        <w:rPr>
          <w:rFonts w:eastAsia="Times New Roman"/>
          <w:lang w:eastAsia="ja-JP"/>
        </w:rPr>
        <w:t>application layer measurement configuration ID</w:t>
      </w:r>
      <w:bookmarkEnd w:id="16"/>
      <w:r w:rsidRPr="00885F8D">
        <w:rPr>
          <w:rFonts w:eastAsia="Times New Roman"/>
          <w:lang w:eastAsia="ja-JP"/>
        </w:rPr>
        <w:t xml:space="preserve"> for QoE measurement configurations to be configured at UEs served by the MN and the SN, and indicates it to the SN if needed;</w:t>
      </w:r>
    </w:p>
    <w:p w14:paraId="48AF9B41"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bookmarkStart w:id="17" w:name="_Hlk134292534"/>
      <w:r w:rsidRPr="00885F8D">
        <w:rPr>
          <w:rFonts w:eastAsia="Times New Roman"/>
          <w:lang w:eastAsia="ja-JP"/>
        </w:rPr>
        <w:tab/>
        <w:t xml:space="preserve">Determines whether the MN or the SN sends the QoE configuration to the </w:t>
      </w:r>
      <w:bookmarkEnd w:id="17"/>
      <w:r w:rsidRPr="00885F8D">
        <w:rPr>
          <w:rFonts w:eastAsia="Times New Roman"/>
          <w:lang w:eastAsia="ja-JP"/>
        </w:rPr>
        <w:t>UE, in case the SN inquires the MN.</w:t>
      </w:r>
    </w:p>
    <w:p w14:paraId="13E3D5AC" w14:textId="77777777" w:rsidR="00885F8D" w:rsidRPr="00885F8D" w:rsidRDefault="00885F8D" w:rsidP="00885F8D">
      <w:pPr>
        <w:overflowPunct w:val="0"/>
        <w:autoSpaceDE w:val="0"/>
        <w:autoSpaceDN w:val="0"/>
        <w:adjustRightInd w:val="0"/>
        <w:ind w:left="568" w:hanging="284"/>
        <w:textAlignment w:val="baseline"/>
        <w:rPr>
          <w:rFonts w:eastAsia="Malgun Gothic"/>
          <w:lang w:eastAsia="zh-CN"/>
        </w:rPr>
      </w:pPr>
      <w:r w:rsidRPr="00885F8D">
        <w:rPr>
          <w:lang w:eastAsia="zh-CN"/>
        </w:rPr>
        <w:t>-</w:t>
      </w:r>
      <w:r w:rsidRPr="00885F8D">
        <w:rPr>
          <w:rFonts w:eastAsia="Times New Roman"/>
          <w:lang w:eastAsia="ja-JP"/>
        </w:rPr>
        <w:tab/>
        <w:t xml:space="preserve">Can </w:t>
      </w:r>
      <w:r w:rsidRPr="00885F8D">
        <w:rPr>
          <w:lang w:eastAsia="ja-JP"/>
        </w:rPr>
        <w:t>i</w:t>
      </w:r>
      <w:r w:rsidRPr="00885F8D">
        <w:rPr>
          <w:rFonts w:eastAsia="Times New Roman"/>
          <w:lang w:eastAsia="ja-JP"/>
        </w:rPr>
        <w:t>nform the SN that a UE is configured with a management-based QoE.</w:t>
      </w:r>
    </w:p>
    <w:p w14:paraId="2688DEC9" w14:textId="1747AEC2"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management-based QoE measurement configurations received directly by the SN from OAM, the SN may perform UE selection. For a selected UE, the SN indicates to the MN the QoE reference of the management-based </w:t>
      </w:r>
      <w:proofErr w:type="spellStart"/>
      <w:r w:rsidRPr="00885F8D">
        <w:rPr>
          <w:rFonts w:eastAsia="Times New Roman"/>
          <w:lang w:eastAsia="ja-JP"/>
        </w:rPr>
        <w:t>QoE</w:t>
      </w:r>
      <w:proofErr w:type="spellEnd"/>
      <w:r w:rsidRPr="00885F8D">
        <w:rPr>
          <w:rFonts w:eastAsia="Times New Roman"/>
          <w:lang w:eastAsia="ja-JP"/>
        </w:rPr>
        <w:t xml:space="preserve"> configuration and</w:t>
      </w:r>
      <w:r w:rsidRPr="00885F8D">
        <w:rPr>
          <w:rFonts w:eastAsia="Times New Roman"/>
          <w:lang w:eastAsia="zh-CN"/>
        </w:rPr>
        <w:t xml:space="preserve">, </w:t>
      </w:r>
      <w:r w:rsidRPr="00885F8D">
        <w:rPr>
          <w:rFonts w:eastAsia="Times New Roman"/>
          <w:lang w:eastAsia="ja-JP"/>
        </w:rPr>
        <w:t xml:space="preserve">separately for the QoE </w:t>
      </w:r>
      <w:r w:rsidRPr="00885F8D">
        <w:rPr>
          <w:rFonts w:eastAsia="Times New Roman"/>
          <w:lang w:eastAsia="zh-CN"/>
        </w:rPr>
        <w:t>reports</w:t>
      </w:r>
      <w:r w:rsidRPr="00885F8D">
        <w:rPr>
          <w:rFonts w:eastAsia="Times New Roman"/>
          <w:lang w:eastAsia="ja-JP"/>
        </w:rPr>
        <w:t xml:space="preserve"> and RAN visible QoE reports, the SN indicates whether it is going to receive the corresponding reports directly using SRB5 or via the MN (using SRB4). Upon receiving the coordination request, the MN can decide and notify the SN whether the MN sends the QoE and RAN Visible QoE configuration to the UE, or whether the SN should send the configuration(s) to the UE.</w:t>
      </w:r>
      <w:r w:rsidRPr="00885F8D">
        <w:rPr>
          <w:rFonts w:eastAsia="Times New Roman"/>
          <w:lang w:eastAsia="zh-CN"/>
        </w:rPr>
        <w:t xml:space="preserve"> </w:t>
      </w:r>
      <w:r w:rsidRPr="00885F8D">
        <w:rPr>
          <w:rFonts w:eastAsia="Times New Roman"/>
          <w:lang w:eastAsia="ja-JP"/>
        </w:rPr>
        <w:t>The SN can send a QoE and/or a RAN Visible QoE measurement configuration directly to the UE via SRB3, or in a transparent container to the MN, which then sends the configuration to the UE via SRB1.</w:t>
      </w:r>
    </w:p>
    <w:p w14:paraId="6BD77A71" w14:textId="77777777" w:rsidR="00885F8D" w:rsidRPr="00885F8D" w:rsidRDefault="00885F8D" w:rsidP="00885F8D">
      <w:pPr>
        <w:spacing w:before="100" w:beforeAutospacing="1" w:after="100" w:afterAutospacing="1" w:line="259" w:lineRule="auto"/>
        <w:rPr>
          <w:sz w:val="24"/>
          <w:lang w:eastAsia="zh-CN"/>
        </w:rPr>
      </w:pPr>
      <w:r w:rsidRPr="00885F8D">
        <w:rPr>
          <w:lang w:eastAsia="zh-CN"/>
        </w:rPr>
        <w:t xml:space="preserve">For </w:t>
      </w:r>
      <w:r w:rsidRPr="00885F8D">
        <w:t>management-based QoE configurations received directly by the MN from the OAM and for signalling-based QoE configurations</w:t>
      </w:r>
      <w:r w:rsidRPr="00885F8D">
        <w:rPr>
          <w:lang w:eastAsia="zh-CN"/>
        </w:rPr>
        <w:t>, t</w:t>
      </w:r>
      <w:r w:rsidRPr="00885F8D">
        <w:t xml:space="preserve">he MN can only </w:t>
      </w:r>
      <w:r w:rsidRPr="00885F8D">
        <w:rPr>
          <w:lang w:eastAsia="zh-CN"/>
        </w:rPr>
        <w:t>send the configuration to the UE via SRB1, and the UE can send the QoE reports via SRB4 or SRB5. The MN should inform the SN that the UE is configured with the management-based QoE/RAN visible QoE measurement configuration. When the MN has released the management-based QoE/RAN visible QoE measurement configuration, the MN should inform the SN.</w:t>
      </w:r>
    </w:p>
    <w:p w14:paraId="44812E7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For a UE in </w:t>
      </w:r>
      <w:r w:rsidRPr="00885F8D">
        <w:rPr>
          <w:rFonts w:eastAsia="Times New Roman"/>
          <w:lang w:eastAsia="ja-JP"/>
        </w:rPr>
        <w:t>NR-DC, both SRB4 and SRB5 can be configured simultaneously for QoE reporting.</w:t>
      </w:r>
      <w:r w:rsidRPr="00885F8D">
        <w:rPr>
          <w:rFonts w:eastAsia="Times New Roman"/>
          <w:lang w:eastAsia="zh-CN"/>
        </w:rPr>
        <w:t xml:space="preserve"> </w:t>
      </w:r>
      <w:r w:rsidRPr="00885F8D">
        <w:rPr>
          <w:rFonts w:eastAsia="Times New Roman"/>
          <w:lang w:eastAsia="ja-JP"/>
        </w:rPr>
        <w:t>The network explicitly and separately indicates to the UE whether to send encapsulated QoE</w:t>
      </w:r>
      <w:r w:rsidRPr="00885F8D">
        <w:rPr>
          <w:rFonts w:eastAsia="Times New Roman"/>
          <w:lang w:eastAsia="zh-CN"/>
        </w:rPr>
        <w:t xml:space="preserve"> reports </w:t>
      </w:r>
      <w:r w:rsidRPr="00885F8D">
        <w:rPr>
          <w:rFonts w:eastAsia="Times New Roman"/>
          <w:lang w:eastAsia="ja-JP"/>
        </w:rPr>
        <w:t>and RAN visible QoE reports</w:t>
      </w:r>
      <w:r w:rsidRPr="00885F8D">
        <w:rPr>
          <w:rFonts w:eastAsia="Times New Roman"/>
          <w:lang w:eastAsia="zh-CN"/>
        </w:rPr>
        <w:t xml:space="preserve"> via SRB4 or </w:t>
      </w:r>
      <w:r w:rsidRPr="00885F8D">
        <w:rPr>
          <w:rFonts w:eastAsia="Times New Roman"/>
          <w:lang w:eastAsia="zh-CN"/>
        </w:rPr>
        <w:lastRenderedPageBreak/>
        <w:t>SRB5, per QoE reference.</w:t>
      </w:r>
      <w:r w:rsidRPr="00885F8D">
        <w:rPr>
          <w:rFonts w:eastAsia="Times New Roman"/>
          <w:lang w:eastAsia="ja-JP"/>
        </w:rPr>
        <w:t xml:space="preserve"> </w:t>
      </w:r>
      <w:r w:rsidRPr="00885F8D">
        <w:rPr>
          <w:rFonts w:eastAsia="Times New Roman"/>
          <w:szCs w:val="28"/>
          <w:lang w:eastAsia="ja-JP"/>
        </w:rPr>
        <w:t xml:space="preserve">The SRB for QoE reporting can be changed during the QoE measurement session. </w:t>
      </w:r>
      <w:r w:rsidRPr="00885F8D">
        <w:rPr>
          <w:rFonts w:eastAsia="Times New Roman"/>
          <w:lang w:eastAsia="ja-JP"/>
        </w:rPr>
        <w:t>The command for changing the SRB used for reporting may be sent to the UE by the node that configured that specific QoE configuration. The node that currently receives the QoE reports via the Uu interface can request from the peer node that the QoE reporting path is changed to the peer node</w:t>
      </w:r>
      <w:r w:rsidRPr="00885F8D">
        <w:rPr>
          <w:rFonts w:eastAsia="Times New Roman"/>
          <w:lang w:eastAsia="zh-CN"/>
        </w:rPr>
        <w:t xml:space="preserve"> per QoE reference</w:t>
      </w:r>
      <w:r w:rsidRPr="00885F8D">
        <w:rPr>
          <w:rFonts w:eastAsia="Times New Roman"/>
          <w:lang w:eastAsia="ja-JP"/>
        </w:rPr>
        <w:t>. The change of QoE reporting path needs to be approved by both nodes serving the UE.</w:t>
      </w:r>
    </w:p>
    <w:p w14:paraId="2ADFACBF" w14:textId="256125C5"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encapsulated QoE reports </w:t>
      </w:r>
      <w:r w:rsidRPr="00885F8D">
        <w:rPr>
          <w:rFonts w:eastAsia="Times New Roman"/>
          <w:lang w:eastAsia="ja-JP"/>
        </w:rPr>
        <w:t xml:space="preserve">(sent in </w:t>
      </w:r>
      <w:proofErr w:type="spellStart"/>
      <w:r w:rsidRPr="00885F8D">
        <w:rPr>
          <w:rFonts w:eastAsia="Times New Roman"/>
          <w:i/>
          <w:iCs/>
          <w:lang w:eastAsia="ja-JP"/>
        </w:rPr>
        <w:t>measReportAppLayerContainer</w:t>
      </w:r>
      <w:proofErr w:type="spellEnd"/>
      <w:r w:rsidRPr="00885F8D">
        <w:rPr>
          <w:rFonts w:eastAsia="Times New Roman"/>
          <w:lang w:eastAsia="ja-JP"/>
        </w:rPr>
        <w:t xml:space="preserve">) </w:t>
      </w:r>
      <w:r w:rsidRPr="00885F8D">
        <w:rPr>
          <w:rFonts w:eastAsia="Times New Roman"/>
          <w:lang w:eastAsia="zh-CN"/>
        </w:rPr>
        <w:t xml:space="preserve">cannot be sent because the SRB configured for </w:t>
      </w:r>
      <w:del w:id="18" w:author="Huawei" w:date="2024-04-07T15:00:00Z">
        <w:r w:rsidRPr="00885F8D" w:rsidDel="00E743CB">
          <w:rPr>
            <w:rFonts w:eastAsia="Times New Roman"/>
            <w:lang w:eastAsia="zh-CN"/>
          </w:rPr>
          <w:delText xml:space="preserve">the </w:delText>
        </w:r>
      </w:del>
      <w:r w:rsidRPr="00885F8D">
        <w:rPr>
          <w:rFonts w:eastAsia="Times New Roman"/>
          <w:lang w:eastAsia="zh-CN"/>
        </w:rPr>
        <w:t>such reporting is not available, the UE continues to store the reports until the SRB is available or until the QoE configuration is released.</w:t>
      </w:r>
    </w:p>
    <w:p w14:paraId="61F2F35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14:paraId="406EA6F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70089225"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QoE reports can be transferred between the MN and the SN via the RRC TRANSFER message.</w:t>
      </w:r>
    </w:p>
    <w:p w14:paraId="13DB80AB"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released a QoE configuration of a UE, the SN should inform the MN.</w:t>
      </w:r>
    </w:p>
    <w:p w14:paraId="66E3D0E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zh-CN"/>
        </w:rPr>
        <w:t xml:space="preserve">When SCG is deactivated, </w:t>
      </w:r>
      <w:bookmarkStart w:id="19" w:name="_Hlk148611325"/>
      <w:r w:rsidRPr="00885F8D">
        <w:rPr>
          <w:rFonts w:eastAsia="Times New Roman"/>
          <w:lang w:eastAsia="zh-CN"/>
        </w:rPr>
        <w:t>for QoE configurations configured to use SRB5 for QoE reporting</w:t>
      </w:r>
      <w:bookmarkEnd w:id="19"/>
      <w:r w:rsidRPr="00885F8D">
        <w:rPr>
          <w:rFonts w:eastAsia="Times New Roman"/>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14:paraId="4CD1EAE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the UE releases all the QoE measurements configured by the SCG and discards the unsent QoE reports configured to be reported via SRB5.</w:t>
      </w:r>
    </w:p>
    <w:p w14:paraId="2C2DC0F1" w14:textId="5EF697A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In order to allow the transmission of application layer measurement reports which exceed the maximum PDCP SDU size, the network can inform the UE whether the MN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0" w:author="Huawei" w:date="2024-04-07T15:01:00Z">
        <w:r w:rsidRPr="00885F8D" w:rsidDel="00E743CB">
          <w:rPr>
            <w:rFonts w:eastAsia="Times New Roman"/>
            <w:lang w:eastAsia="ja-JP"/>
          </w:rPr>
          <w:delText xml:space="preserve">via </w:delText>
        </w:r>
      </w:del>
      <w:ins w:id="21" w:author="Huawei" w:date="2024-08-22T08:39: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 xml:space="preserve">SRB4 and whether the SN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2" w:author="Huawei" w:date="2024-04-07T15:01:00Z">
        <w:r w:rsidRPr="00885F8D" w:rsidDel="00E743CB">
          <w:rPr>
            <w:rFonts w:eastAsia="Times New Roman"/>
            <w:lang w:eastAsia="ja-JP"/>
          </w:rPr>
          <w:delText xml:space="preserve">via </w:delText>
        </w:r>
      </w:del>
      <w:r w:rsidR="00E8404F">
        <w:rPr>
          <w:rFonts w:eastAsia="Times New Roman"/>
          <w:lang w:eastAsia="ja-JP"/>
        </w:rPr>
        <w:t xml:space="preserve"> </w:t>
      </w:r>
      <w:ins w:id="23" w:author="Huawei" w:date="2024-08-22T08:40: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SRB5.</w:t>
      </w:r>
    </w:p>
    <w:p w14:paraId="724F9E49"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163042062"/>
      <w:r w:rsidRPr="00885F8D">
        <w:rPr>
          <w:rFonts w:ascii="Arial" w:eastAsia="Times New Roman" w:hAnsi="Arial"/>
          <w:sz w:val="24"/>
          <w:lang w:eastAsia="ja-JP"/>
        </w:rPr>
        <w:t>13.4.3.2</w:t>
      </w:r>
      <w:r w:rsidRPr="00885F8D">
        <w:rPr>
          <w:rFonts w:ascii="Arial" w:eastAsia="Times New Roman" w:hAnsi="Arial"/>
          <w:sz w:val="24"/>
          <w:lang w:eastAsia="ja-JP"/>
        </w:rPr>
        <w:tab/>
        <w:t>RAN Overload Handling</w:t>
      </w:r>
      <w:bookmarkEnd w:id="24"/>
    </w:p>
    <w:p w14:paraId="73785452"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zh-CN"/>
        </w:rPr>
        <w:t xml:space="preserve">In NR-DC, when RAN overload happens in the node which receives the QoE reports from the UE, </w:t>
      </w:r>
      <w:r w:rsidRPr="00885F8D">
        <w:rPr>
          <w:rFonts w:eastAsia="Times New Roman"/>
          <w:lang w:eastAsia="ja-JP"/>
        </w:rPr>
        <w:t>the node may either determine to pause the QoE reporting from the UE as specified in TS 38.300 [3] or</w:t>
      </w:r>
      <w:r w:rsidRPr="00885F8D">
        <w:rPr>
          <w:lang w:eastAsia="zh-CN"/>
        </w:rPr>
        <w:t xml:space="preserve"> </w:t>
      </w:r>
      <w:r w:rsidRPr="00885F8D">
        <w:rPr>
          <w:rFonts w:eastAsia="Times New Roman"/>
          <w:lang w:eastAsia="zh-CN"/>
        </w:rPr>
        <w:t xml:space="preserve">the node may coordinate with its peer node to reconfigure the QoE reporting path </w:t>
      </w:r>
      <w:r w:rsidRPr="00885F8D">
        <w:rPr>
          <w:rFonts w:eastAsia="Times New Roman"/>
          <w:lang w:eastAsia="ja-JP"/>
        </w:rPr>
        <w:t>and offload one or more of the QoE sessions</w:t>
      </w:r>
      <w:r w:rsidRPr="00885F8D">
        <w:rPr>
          <w:rFonts w:eastAsia="Times New Roman"/>
          <w:lang w:eastAsia="zh-CN"/>
        </w:rPr>
        <w:t xml:space="preserve">, by sending the QoE Reporting Path Request in the </w:t>
      </w:r>
      <w:r w:rsidRPr="00885F8D">
        <w:rPr>
          <w:rFonts w:eastAsia="Times New Roman"/>
          <w:i/>
          <w:iCs/>
          <w:lang w:eastAsia="zh-CN"/>
        </w:rPr>
        <w:t>QMC Coordination Request</w:t>
      </w:r>
      <w:r w:rsidRPr="00885F8D">
        <w:rPr>
          <w:rFonts w:eastAsia="Times New Roman"/>
          <w:lang w:eastAsia="zh-CN"/>
        </w:rPr>
        <w:t xml:space="preserve"> IE, via the </w:t>
      </w:r>
      <w:r w:rsidRPr="00885F8D">
        <w:rPr>
          <w:rFonts w:eastAsia="Times New Roman"/>
          <w:lang w:eastAsia="ja-JP"/>
        </w:rPr>
        <w:t>MN-initiated and SN-initiated</w:t>
      </w:r>
      <w:r w:rsidRPr="00885F8D">
        <w:rPr>
          <w:lang w:eastAsia="zh-CN"/>
        </w:rPr>
        <w:t xml:space="preserve"> </w:t>
      </w:r>
      <w:r w:rsidRPr="00885F8D">
        <w:rPr>
          <w:rFonts w:eastAsia="Times New Roman"/>
          <w:lang w:eastAsia="zh-CN"/>
        </w:rPr>
        <w:t xml:space="preserve">SN modification procedure. </w:t>
      </w:r>
      <w:r w:rsidRPr="00885F8D">
        <w:rPr>
          <w:rFonts w:eastAsia="Times New Roman"/>
          <w:lang w:eastAsia="ja-JP"/>
        </w:rPr>
        <w:t xml:space="preserve">The peer node may approve the reconfiguration of the QoE reporting leg of the one or more QoE sessions, by sending the QoE Reporting Path Response in the </w:t>
      </w:r>
      <w:r w:rsidRPr="00885F8D">
        <w:rPr>
          <w:rFonts w:eastAsia="Times New Roman"/>
          <w:i/>
          <w:iCs/>
          <w:lang w:eastAsia="ja-JP"/>
        </w:rPr>
        <w:t>QMC Coordination Response</w:t>
      </w:r>
      <w:r w:rsidRPr="00885F8D">
        <w:rPr>
          <w:rFonts w:eastAsia="Times New Roman"/>
          <w:lang w:eastAsia="ja-JP"/>
        </w:rPr>
        <w:t xml:space="preserve"> IE in the response message for SN modification.</w:t>
      </w:r>
    </w:p>
    <w:p w14:paraId="6A47CD17"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When the peer node is not able to accept the Reporting Path Request of one or more QoE sessions, the node that is overloaded in NR-DC may pause the QoE reporting from the UE for those QoE sessions as specified in TS 38.300 [3]</w:t>
      </w:r>
    </w:p>
    <w:p w14:paraId="5F93DC9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When neither the MN nor the SN is able to receive the QoE reports due to RAN overload, the network can indicate to the UE to pause QoE reporting, as specified in TS 38.300 [3].</w:t>
      </w:r>
    </w:p>
    <w:p w14:paraId="4681B87C"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163042063"/>
      <w:r w:rsidRPr="00885F8D">
        <w:rPr>
          <w:rFonts w:ascii="Arial" w:eastAsia="Times New Roman" w:hAnsi="Arial"/>
          <w:sz w:val="24"/>
          <w:lang w:eastAsia="ja-JP"/>
        </w:rPr>
        <w:t>13.4.3.3</w:t>
      </w:r>
      <w:r w:rsidRPr="00885F8D">
        <w:rPr>
          <w:rFonts w:ascii="Arial" w:eastAsia="Times New Roman" w:hAnsi="Arial"/>
          <w:sz w:val="24"/>
          <w:lang w:eastAsia="ja-JP"/>
        </w:rPr>
        <w:tab/>
        <w:t>Support for RAN visible QoE measurements and reporting in NR-DC</w:t>
      </w:r>
      <w:bookmarkEnd w:id="25"/>
    </w:p>
    <w:p w14:paraId="798F5904"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Either the MN or the SN can generate and send a RAN visible QoE configuration to the UE. The gNB that has initially configured a UE in NR-DC with a RAN visible 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p>
    <w:p w14:paraId="0B56E4D8"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r w:rsidRPr="00885F8D">
        <w:rPr>
          <w:rFonts w:eastAsia="Times New Roman"/>
          <w:lang w:eastAsia="zh-CN"/>
        </w:rPr>
        <w:t>If RAN visible</w:t>
      </w:r>
      <w:r w:rsidRPr="00885F8D" w:rsidDel="001D3919">
        <w:rPr>
          <w:rFonts w:eastAsia="Times New Roman"/>
          <w:lang w:eastAsia="zh-CN"/>
        </w:rPr>
        <w:t xml:space="preserve"> </w:t>
      </w:r>
      <w:r w:rsidRPr="00885F8D">
        <w:rPr>
          <w:rFonts w:eastAsia="Times New Roman"/>
          <w:lang w:eastAsia="zh-CN"/>
        </w:rPr>
        <w:t>QoE reports cannot be sent because the SRB configured for RAN visible QoE measurement reporting is not available, the UE discards the RAN visible</w:t>
      </w:r>
      <w:r w:rsidRPr="00885F8D" w:rsidDel="001D3919">
        <w:rPr>
          <w:rFonts w:eastAsia="Times New Roman"/>
          <w:lang w:eastAsia="zh-CN"/>
        </w:rPr>
        <w:t xml:space="preserve"> </w:t>
      </w:r>
      <w:r w:rsidRPr="00885F8D">
        <w:rPr>
          <w:rFonts w:eastAsia="Times New Roman"/>
          <w:lang w:eastAsia="zh-CN"/>
        </w:rPr>
        <w:t>QoE report.</w:t>
      </w:r>
    </w:p>
    <w:p w14:paraId="1F95E5A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lastRenderedPageBreak/>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14:paraId="5497C71A"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RAN visible QoE-configuring gNB receives a RAN visible QoE measurement report and determines that the non-RAN Visible QoE-configuring gNB provides at least one bearer for the application session, the RAN Visible QoE-configuring gNB indicates that to the non-RAN Visible QoE-configuring gNB. The non-RAN Visible QoE-configuring gNB can then, if needed, indicate to the RAN visible QoE-configuring gNB its preference with respect to the reporting path for the subsequent RAN visible QoE reports and its preferred RAN visible QoE configuration parameters.</w:t>
      </w:r>
    </w:p>
    <w:p w14:paraId="5DBE1A51" w14:textId="313FF05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If a gNB receives a RAN visible QoE report from a UE in NR-DC, and determines that the bearer(s) for the application session data flow(s) is (are) also provided by the other gNB, or only</w:t>
      </w:r>
      <w:del w:id="26" w:author="Huawei" w:date="2024-04-07T15:06:00Z">
        <w:r w:rsidRPr="00885F8D" w:rsidDel="00272ED6">
          <w:rPr>
            <w:rFonts w:eastAsia="Times New Roman"/>
            <w:lang w:eastAsia="ja-JP"/>
          </w:rPr>
          <w:delText>,</w:delText>
        </w:r>
      </w:del>
      <w:r w:rsidRPr="00885F8D">
        <w:rPr>
          <w:rFonts w:eastAsia="Times New Roman"/>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 The RAN visible QoE configuration may also be modified or released.</w:t>
      </w:r>
    </w:p>
    <w:p w14:paraId="61048884"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130939113"/>
      <w:bookmarkStart w:id="28" w:name="_Toc163042064"/>
      <w:bookmarkStart w:id="29" w:name="_Hlk134292856"/>
      <w:r w:rsidRPr="00885F8D">
        <w:rPr>
          <w:rFonts w:ascii="Arial" w:eastAsia="Times New Roman" w:hAnsi="Arial"/>
          <w:sz w:val="28"/>
          <w:lang w:eastAsia="ja-JP"/>
        </w:rPr>
        <w:t>13.4.4</w:t>
      </w:r>
      <w:r w:rsidRPr="00885F8D">
        <w:rPr>
          <w:rFonts w:ascii="Arial" w:eastAsia="Times New Roman" w:hAnsi="Arial"/>
          <w:sz w:val="28"/>
          <w:lang w:eastAsia="ja-JP"/>
        </w:rPr>
        <w:tab/>
        <w:t>QoE Measurement Continuity for Mobility</w:t>
      </w:r>
      <w:bookmarkEnd w:id="27"/>
      <w:bookmarkEnd w:id="28"/>
    </w:p>
    <w:p w14:paraId="05F609CC" w14:textId="77777777" w:rsidR="00885F8D" w:rsidRPr="00885F8D" w:rsidRDefault="00885F8D" w:rsidP="00885F8D">
      <w:pPr>
        <w:overflowPunct w:val="0"/>
        <w:autoSpaceDE w:val="0"/>
        <w:autoSpaceDN w:val="0"/>
        <w:adjustRightInd w:val="0"/>
        <w:textAlignment w:val="baseline"/>
        <w:rPr>
          <w:rFonts w:eastAsia="Times New Roman"/>
          <w:lang w:eastAsia="zh-CN"/>
        </w:rPr>
      </w:pPr>
      <w:bookmarkStart w:id="30" w:name="_Toc130939114"/>
      <w:r w:rsidRPr="00885F8D">
        <w:rPr>
          <w:rFonts w:eastAsia="Times New Roman"/>
          <w:lang w:eastAsia="zh-CN"/>
        </w:rPr>
        <w:t>For ongoing sessions, QoE measurement continuity is ensured during mobility in NR-DC, e.g., during inter-MN handover (with/without SN change) and SN change scenarios.</w:t>
      </w:r>
    </w:p>
    <w:p w14:paraId="4AE2826B" w14:textId="1D78757D"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w:t>
      </w:r>
      <w:r w:rsidRPr="00885F8D">
        <w:rPr>
          <w:rFonts w:eastAsia="Times New Roman"/>
          <w:lang w:eastAsia="zh-CN"/>
        </w:rPr>
        <w:t xml:space="preserve"> ensure QoE measurement continuity during SN change, the SN-initiated SN change procedure</w:t>
      </w:r>
      <w:ins w:id="31" w:author="Huawei" w:date="2024-04-07T15:02:00Z">
        <w:r w:rsidR="00272ED6">
          <w:rPr>
            <w:rFonts w:eastAsia="Times New Roman"/>
            <w:lang w:eastAsia="zh-CN"/>
          </w:rPr>
          <w:t xml:space="preserve"> or</w:t>
        </w:r>
      </w:ins>
      <w:del w:id="32" w:author="Huawei" w:date="2024-04-07T15:02:00Z">
        <w:r w:rsidRPr="00885F8D" w:rsidDel="00272ED6">
          <w:rPr>
            <w:rFonts w:eastAsia="Times New Roman"/>
            <w:lang w:eastAsia="zh-CN"/>
          </w:rPr>
          <w:delText>,</w:delText>
        </w:r>
      </w:del>
      <w:r w:rsidRPr="00885F8D">
        <w:rPr>
          <w:rFonts w:eastAsia="Times New Roman"/>
          <w:lang w:eastAsia="zh-CN"/>
        </w:rPr>
        <w:t xml:space="preserve"> the MN-initiated SN modification procedure </w:t>
      </w:r>
      <w:del w:id="33" w:author="Huawei" w:date="2024-04-07T15:03:00Z">
        <w:r w:rsidRPr="00885F8D" w:rsidDel="00272ED6">
          <w:rPr>
            <w:rFonts w:eastAsia="Times New Roman"/>
            <w:lang w:eastAsia="zh-CN"/>
          </w:rPr>
          <w:delText xml:space="preserve">or the SN-initiated SN modification procedure </w:delText>
        </w:r>
      </w:del>
      <w:r w:rsidRPr="00885F8D">
        <w:rPr>
          <w:rFonts w:eastAsia="Times New Roman"/>
          <w:lang w:eastAsia="zh-CN"/>
        </w:rPr>
        <w:t xml:space="preserve">can be used to provide </w:t>
      </w:r>
      <w:r w:rsidRPr="00885F8D">
        <w:rPr>
          <w:rFonts w:eastAsia="Times New Roman"/>
          <w:lang w:eastAsia="ja-JP"/>
        </w:rPr>
        <w:t>to the MN</w:t>
      </w:r>
      <w:r w:rsidRPr="00885F8D">
        <w:rPr>
          <w:rFonts w:eastAsia="Times New Roman"/>
          <w:lang w:eastAsia="zh-CN"/>
        </w:rPr>
        <w:t xml:space="preserve"> the </w:t>
      </w:r>
      <w:r w:rsidRPr="00885F8D">
        <w:rPr>
          <w:rFonts w:eastAsia="Times New Roman"/>
          <w:lang w:eastAsia="ja-JP"/>
        </w:rPr>
        <w:t xml:space="preserve">QMC configuration </w:t>
      </w:r>
      <w:r w:rsidRPr="00885F8D">
        <w:rPr>
          <w:rFonts w:eastAsia="Times New Roman"/>
          <w:lang w:eastAsia="zh-CN"/>
        </w:rPr>
        <w:t xml:space="preserve">information </w:t>
      </w:r>
      <w:r w:rsidRPr="00885F8D">
        <w:rPr>
          <w:rFonts w:eastAsia="Times New Roman"/>
          <w:lang w:eastAsia="ja-JP"/>
        </w:rPr>
        <w:t xml:space="preserve">managed by the SN, i.e., the </w:t>
      </w:r>
      <w:r w:rsidRPr="00885F8D">
        <w:rPr>
          <w:rFonts w:eastAsia="Times New Roman"/>
          <w:i/>
          <w:iCs/>
          <w:lang w:eastAsia="ja-JP"/>
        </w:rPr>
        <w:t>Source SN to Target SN QMC Information</w:t>
      </w:r>
      <w:r w:rsidRPr="00885F8D">
        <w:rPr>
          <w:rFonts w:eastAsia="Times New Roman"/>
          <w:lang w:eastAsia="ja-JP"/>
        </w:rPr>
        <w:t xml:space="preserve"> IE as defined in TS 38.423 [5]</w:t>
      </w:r>
      <w:r w:rsidRPr="00885F8D">
        <w:rPr>
          <w:rFonts w:eastAsia="Times New Roman"/>
          <w:lang w:eastAsia="zh-CN"/>
        </w:rPr>
        <w:t>. T</w:t>
      </w:r>
      <w:r w:rsidRPr="00885F8D">
        <w:rPr>
          <w:rFonts w:eastAsia="Times New Roman"/>
          <w:lang w:eastAsia="ja-JP"/>
        </w:rPr>
        <w:t>he MN can then transfer this information to the target SN</w:t>
      </w:r>
      <w:r w:rsidRPr="00885F8D">
        <w:rPr>
          <w:rFonts w:eastAsia="Times New Roman"/>
          <w:lang w:eastAsia="zh-CN"/>
        </w:rPr>
        <w:t xml:space="preserve"> during the SN Addition procedure</w:t>
      </w:r>
      <w:r w:rsidRPr="00885F8D">
        <w:rPr>
          <w:rFonts w:eastAsia="Times New Roman"/>
          <w:lang w:eastAsia="ja-JP"/>
        </w:rPr>
        <w:t>.</w:t>
      </w:r>
    </w:p>
    <w:p w14:paraId="6EB21C42" w14:textId="6B201216"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To ensure </w:t>
      </w:r>
      <w:proofErr w:type="spellStart"/>
      <w:r w:rsidRPr="00885F8D">
        <w:rPr>
          <w:rFonts w:eastAsia="Times New Roman"/>
          <w:lang w:eastAsia="ja-JP"/>
        </w:rPr>
        <w:t>QoE</w:t>
      </w:r>
      <w:proofErr w:type="spellEnd"/>
      <w:r w:rsidRPr="00885F8D">
        <w:rPr>
          <w:rFonts w:eastAsia="Times New Roman"/>
          <w:lang w:eastAsia="ja-JP"/>
        </w:rPr>
        <w:t xml:space="preserve"> measurement continuity during inter-MN handover</w:t>
      </w:r>
      <w:r w:rsidRPr="00885F8D">
        <w:rPr>
          <w:rFonts w:eastAsia="Times New Roman"/>
          <w:lang w:eastAsia="zh-CN"/>
        </w:rPr>
        <w:t xml:space="preserve"> with SN change</w:t>
      </w:r>
      <w:ins w:id="34" w:author="Huawei" w:date="2024-08-21T07:59:00Z">
        <w:r w:rsidR="00905FB3">
          <w:rPr>
            <w:rFonts w:eastAsia="Times New Roman"/>
            <w:lang w:val="en-US" w:eastAsia="zh-CN"/>
          </w:rPr>
          <w:t xml:space="preserve"> </w:t>
        </w:r>
      </w:ins>
      <w:ins w:id="35" w:author="Huawei" w:date="2024-08-22T13:48:00Z">
        <w:r w:rsidR="00B84F72">
          <w:rPr>
            <w:rFonts w:eastAsia="Times New Roman"/>
            <w:lang w:val="en-US" w:eastAsia="zh-CN"/>
          </w:rPr>
          <w:t xml:space="preserve">or </w:t>
        </w:r>
      </w:ins>
      <w:ins w:id="36" w:author="Huawei" w:date="2024-08-21T07:59:00Z">
        <w:r w:rsidR="00905FB3">
          <w:rPr>
            <w:rFonts w:eastAsia="Times New Roman"/>
            <w:lang w:val="en-US" w:eastAsia="zh-CN"/>
          </w:rPr>
          <w:t>without SN change</w:t>
        </w:r>
      </w:ins>
      <w:r w:rsidRPr="00885F8D">
        <w:rPr>
          <w:rFonts w:eastAsia="Times New Roman"/>
          <w:lang w:eastAsia="ja-JP"/>
        </w:rPr>
        <w:t xml:space="preserve">, </w:t>
      </w:r>
      <w:r w:rsidRPr="00885F8D">
        <w:rPr>
          <w:rFonts w:eastAsia="Times New Roman"/>
          <w:lang w:eastAsia="zh-CN"/>
        </w:rPr>
        <w:t xml:space="preserve">the source SN should provide </w:t>
      </w:r>
      <w:r w:rsidRPr="00885F8D">
        <w:rPr>
          <w:rFonts w:eastAsia="Times New Roman"/>
          <w:lang w:eastAsia="ja-JP"/>
        </w:rPr>
        <w:t xml:space="preserve">to the MN about the QMC configuration information managed by the SN, i.e., the </w:t>
      </w:r>
      <w:r w:rsidRPr="00885F8D">
        <w:rPr>
          <w:rFonts w:eastAsia="Times New Roman"/>
          <w:i/>
          <w:iCs/>
          <w:lang w:eastAsia="ja-JP"/>
        </w:rPr>
        <w:t>Source SN to Target SN QMC Information</w:t>
      </w:r>
      <w:r w:rsidRPr="00885F8D">
        <w:rPr>
          <w:rFonts w:eastAsia="Times New Roman"/>
          <w:lang w:eastAsia="ja-JP"/>
        </w:rPr>
        <w:t xml:space="preserve"> IE</w:t>
      </w:r>
      <w:r w:rsidRPr="00885F8D">
        <w:rPr>
          <w:rFonts w:eastAsia="Times New Roman"/>
          <w:lang w:eastAsia="zh-CN"/>
        </w:rPr>
        <w:t xml:space="preserve">. During the handover procedure, </w:t>
      </w:r>
      <w:r w:rsidRPr="00885F8D">
        <w:rPr>
          <w:rFonts w:eastAsia="Times New Roman"/>
          <w:lang w:eastAsia="ja-JP"/>
        </w:rPr>
        <w:t>the target MN is provided with all the information known at the source MN about the QMC configurations managed by the SN.</w:t>
      </w:r>
    </w:p>
    <w:p w14:paraId="6EAAA9C1" w14:textId="41F30491" w:rsidR="006E116D" w:rsidRDefault="00885F8D" w:rsidP="00885F8D">
      <w:pPr>
        <w:rPr>
          <w:noProof/>
          <w:lang w:eastAsia="zh-CN"/>
        </w:rPr>
      </w:pPr>
      <w:r w:rsidRPr="00885F8D">
        <w:rPr>
          <w:rFonts w:eastAsia="Times New Roman"/>
          <w:lang w:eastAsia="ja-JP"/>
        </w:rPr>
        <w:t>If the MN configured the UE with QoE measurements, every subsequent MN serving the UE can configure and release the RAN visible QoE measurements pertaining to this QoE measurement configuration.</w:t>
      </w:r>
      <w:bookmarkEnd w:id="29"/>
      <w:bookmarkEnd w:id="30"/>
      <w:r w:rsidRPr="00885F8D">
        <w:rPr>
          <w:rFonts w:eastAsia="Times New Roman"/>
          <w:lang w:eastAsia="ja-JP"/>
        </w:rPr>
        <w:t xml:space="preserve"> If the SN configured the UE with QoE measurements, every subsequent SN serving the UE can configure and release the RAN visible QoE measurements pertaining to this QoE measurement configuration.</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27A6D2" w14:textId="77777777" w:rsidR="00CB5D42" w:rsidRDefault="00CB5D42">
      <w:r>
        <w:separator/>
      </w:r>
    </w:p>
  </w:endnote>
  <w:endnote w:type="continuationSeparator" w:id="0">
    <w:p w14:paraId="331B02C2" w14:textId="77777777" w:rsidR="00CB5D42" w:rsidRDefault="00CB5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9FA72" w14:textId="77777777" w:rsidR="00CB5D42" w:rsidRDefault="00CB5D42">
      <w:r>
        <w:separator/>
      </w:r>
    </w:p>
  </w:footnote>
  <w:footnote w:type="continuationSeparator" w:id="0">
    <w:p w14:paraId="52C5E034" w14:textId="77777777" w:rsidR="00CB5D42" w:rsidRDefault="00CB5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CD20DA"/>
    <w:multiLevelType w:val="hybridMultilevel"/>
    <w:tmpl w:val="49406CB2"/>
    <w:lvl w:ilvl="0" w:tplc="C84828CA">
      <w:start w:val="1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10E4077"/>
    <w:multiLevelType w:val="hybridMultilevel"/>
    <w:tmpl w:val="0130FFD8"/>
    <w:lvl w:ilvl="0" w:tplc="4F1A3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37165890">
    <w:abstractNumId w:val="0"/>
  </w:num>
  <w:num w:numId="2" w16cid:durableId="25448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0D"/>
    <w:rsid w:val="00022D1C"/>
    <w:rsid w:val="00022E4A"/>
    <w:rsid w:val="00070E09"/>
    <w:rsid w:val="000935B9"/>
    <w:rsid w:val="000A6394"/>
    <w:rsid w:val="000B7FED"/>
    <w:rsid w:val="000C038A"/>
    <w:rsid w:val="000C6598"/>
    <w:rsid w:val="000D3F28"/>
    <w:rsid w:val="000D44B3"/>
    <w:rsid w:val="00113592"/>
    <w:rsid w:val="00145D43"/>
    <w:rsid w:val="00180B36"/>
    <w:rsid w:val="00182D1F"/>
    <w:rsid w:val="00191685"/>
    <w:rsid w:val="00192C46"/>
    <w:rsid w:val="001A08B3"/>
    <w:rsid w:val="001A7B60"/>
    <w:rsid w:val="001B52F0"/>
    <w:rsid w:val="001B7A65"/>
    <w:rsid w:val="001E41F3"/>
    <w:rsid w:val="001E42D9"/>
    <w:rsid w:val="0022142E"/>
    <w:rsid w:val="0026004D"/>
    <w:rsid w:val="002640DD"/>
    <w:rsid w:val="00272ED6"/>
    <w:rsid w:val="00275D12"/>
    <w:rsid w:val="00284FEB"/>
    <w:rsid w:val="002860C4"/>
    <w:rsid w:val="002A33C3"/>
    <w:rsid w:val="002B5741"/>
    <w:rsid w:val="002D6044"/>
    <w:rsid w:val="002E472E"/>
    <w:rsid w:val="00305409"/>
    <w:rsid w:val="00316F6F"/>
    <w:rsid w:val="003258A4"/>
    <w:rsid w:val="00334BD7"/>
    <w:rsid w:val="00343FD1"/>
    <w:rsid w:val="00351D5B"/>
    <w:rsid w:val="003609EF"/>
    <w:rsid w:val="0036231A"/>
    <w:rsid w:val="00371CD3"/>
    <w:rsid w:val="00374DD4"/>
    <w:rsid w:val="003B1325"/>
    <w:rsid w:val="003B3D6D"/>
    <w:rsid w:val="003E1A36"/>
    <w:rsid w:val="003F3144"/>
    <w:rsid w:val="00410371"/>
    <w:rsid w:val="004242F1"/>
    <w:rsid w:val="00450A15"/>
    <w:rsid w:val="004B75B7"/>
    <w:rsid w:val="00502795"/>
    <w:rsid w:val="005141D9"/>
    <w:rsid w:val="0051580D"/>
    <w:rsid w:val="00547111"/>
    <w:rsid w:val="00592D74"/>
    <w:rsid w:val="005D7BDA"/>
    <w:rsid w:val="005E2C44"/>
    <w:rsid w:val="00607303"/>
    <w:rsid w:val="00621188"/>
    <w:rsid w:val="006257ED"/>
    <w:rsid w:val="00650794"/>
    <w:rsid w:val="00653DE4"/>
    <w:rsid w:val="00665C47"/>
    <w:rsid w:val="00672866"/>
    <w:rsid w:val="00695808"/>
    <w:rsid w:val="00697C98"/>
    <w:rsid w:val="006B384A"/>
    <w:rsid w:val="006B46FB"/>
    <w:rsid w:val="006B47DA"/>
    <w:rsid w:val="006B61DD"/>
    <w:rsid w:val="006B7135"/>
    <w:rsid w:val="006B7D8C"/>
    <w:rsid w:val="006C0A06"/>
    <w:rsid w:val="006E116D"/>
    <w:rsid w:val="006E21FB"/>
    <w:rsid w:val="00700994"/>
    <w:rsid w:val="00763130"/>
    <w:rsid w:val="00785D5B"/>
    <w:rsid w:val="00792342"/>
    <w:rsid w:val="0079385C"/>
    <w:rsid w:val="007977A8"/>
    <w:rsid w:val="007B0583"/>
    <w:rsid w:val="007B0D3C"/>
    <w:rsid w:val="007B3D70"/>
    <w:rsid w:val="007B512A"/>
    <w:rsid w:val="007C2097"/>
    <w:rsid w:val="007D6A07"/>
    <w:rsid w:val="007D6CFD"/>
    <w:rsid w:val="007F7259"/>
    <w:rsid w:val="008040A8"/>
    <w:rsid w:val="008279FA"/>
    <w:rsid w:val="00842EE7"/>
    <w:rsid w:val="008626E7"/>
    <w:rsid w:val="00870EE7"/>
    <w:rsid w:val="00885F8D"/>
    <w:rsid w:val="008863B9"/>
    <w:rsid w:val="008A45A6"/>
    <w:rsid w:val="008B4438"/>
    <w:rsid w:val="008D3CCC"/>
    <w:rsid w:val="008F3789"/>
    <w:rsid w:val="008F686C"/>
    <w:rsid w:val="00905FB3"/>
    <w:rsid w:val="0091447F"/>
    <w:rsid w:val="009148DE"/>
    <w:rsid w:val="00941E30"/>
    <w:rsid w:val="009531B0"/>
    <w:rsid w:val="009663E2"/>
    <w:rsid w:val="009741B3"/>
    <w:rsid w:val="0097525E"/>
    <w:rsid w:val="009777D9"/>
    <w:rsid w:val="00991B88"/>
    <w:rsid w:val="009A5753"/>
    <w:rsid w:val="009A579D"/>
    <w:rsid w:val="009C4820"/>
    <w:rsid w:val="009D52B3"/>
    <w:rsid w:val="009E3297"/>
    <w:rsid w:val="009F734F"/>
    <w:rsid w:val="00A246B6"/>
    <w:rsid w:val="00A47E70"/>
    <w:rsid w:val="00A50CF0"/>
    <w:rsid w:val="00A7671C"/>
    <w:rsid w:val="00A80EB5"/>
    <w:rsid w:val="00A964AC"/>
    <w:rsid w:val="00AA2CBC"/>
    <w:rsid w:val="00AC5820"/>
    <w:rsid w:val="00AD1CD8"/>
    <w:rsid w:val="00AD23DE"/>
    <w:rsid w:val="00AE56E3"/>
    <w:rsid w:val="00AF089D"/>
    <w:rsid w:val="00B25199"/>
    <w:rsid w:val="00B258BB"/>
    <w:rsid w:val="00B67B97"/>
    <w:rsid w:val="00B84F72"/>
    <w:rsid w:val="00B968C8"/>
    <w:rsid w:val="00BA3EC5"/>
    <w:rsid w:val="00BA51D9"/>
    <w:rsid w:val="00BB5DFC"/>
    <w:rsid w:val="00BC6637"/>
    <w:rsid w:val="00BD279D"/>
    <w:rsid w:val="00BD4149"/>
    <w:rsid w:val="00BD6BB8"/>
    <w:rsid w:val="00C31C6D"/>
    <w:rsid w:val="00C66BA2"/>
    <w:rsid w:val="00C870F6"/>
    <w:rsid w:val="00C941D4"/>
    <w:rsid w:val="00C95985"/>
    <w:rsid w:val="00CB5D42"/>
    <w:rsid w:val="00CC5026"/>
    <w:rsid w:val="00CC68D0"/>
    <w:rsid w:val="00D03F9A"/>
    <w:rsid w:val="00D06D51"/>
    <w:rsid w:val="00D21F57"/>
    <w:rsid w:val="00D22F11"/>
    <w:rsid w:val="00D24991"/>
    <w:rsid w:val="00D37FB6"/>
    <w:rsid w:val="00D4435D"/>
    <w:rsid w:val="00D50255"/>
    <w:rsid w:val="00D66520"/>
    <w:rsid w:val="00D66714"/>
    <w:rsid w:val="00D84AE9"/>
    <w:rsid w:val="00D9124E"/>
    <w:rsid w:val="00DE34CF"/>
    <w:rsid w:val="00E00842"/>
    <w:rsid w:val="00E12C6B"/>
    <w:rsid w:val="00E13F3D"/>
    <w:rsid w:val="00E34898"/>
    <w:rsid w:val="00E743CB"/>
    <w:rsid w:val="00E8404F"/>
    <w:rsid w:val="00EB09B7"/>
    <w:rsid w:val="00EE7D7C"/>
    <w:rsid w:val="00F063E7"/>
    <w:rsid w:val="00F241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HeaderChar">
    <w:name w:val="Header Char"/>
    <w:aliases w:val="header odd Char"/>
    <w:basedOn w:val="DefaultParagraphFont"/>
    <w:link w:val="Header"/>
    <w:rsid w:val="00607303"/>
    <w:rPr>
      <w:rFonts w:ascii="Arial" w:hAnsi="Arial"/>
      <w:b/>
      <w:noProof/>
      <w:sz w:val="18"/>
      <w:lang w:val="en-GB" w:eastAsia="en-US"/>
    </w:rPr>
  </w:style>
  <w:style w:type="paragraph" w:styleId="Revision">
    <w:name w:val="Revision"/>
    <w:hidden/>
    <w:uiPriority w:val="99"/>
    <w:semiHidden/>
    <w:rsid w:val="00842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772834">
      <w:bodyDiv w:val="1"/>
      <w:marLeft w:val="0"/>
      <w:marRight w:val="0"/>
      <w:marTop w:val="0"/>
      <w:marBottom w:val="0"/>
      <w:divBdr>
        <w:top w:val="none" w:sz="0" w:space="0" w:color="auto"/>
        <w:left w:val="none" w:sz="0" w:space="0" w:color="auto"/>
        <w:bottom w:val="none" w:sz="0" w:space="0" w:color="auto"/>
        <w:right w:val="none" w:sz="0" w:space="0" w:color="auto"/>
      </w:divBdr>
    </w:div>
    <w:div w:id="6011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B46EB-0FD2-416B-B6DD-D0252CA18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2231</Words>
  <Characters>12720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2024-08-26T22:44:00Z</dcterms:created>
  <dcterms:modified xsi:type="dcterms:W3CDTF">2024-08-26T22:44:00Z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(3)FuBE1GM4xRbNmXzwAAmEtcBm8ZhYXepY9HlSv01V44S5Wgly46WHptWYCcyG6W8TOL5zRTku
07gFE4BfsHWbdPImbMVlr/4ScuW5Tz9onytHruLsTWi6RXuSxaFazjSU0M/dI5BOOxWVc4KU
POi2GynYK0prxuHAbR84qa86t14oVcJiTJmlBYDFWKP9Znk1V4VPQipXrpkMQcJkBX31OVV7
W8k3dO97aMsRII5x/l</vt:lpwstr>
  </property>
  <property fmtid="{D5CDD505-2E9C-101B-9397-08002B2CF9AE}" pid="22" name="_2015_ms_pID_7253431">
    <vt:lpwstr>aVG0yYNInw5pQc70Pn9Bb3KoLersssIXE4RDHgq4nXpaUX+c6abcBQ
0Po7WryoOn/pC8wrOS8nw4gTGJdiV6g3QjKtISdy6WDV9bI/iIwiOZSMkYUPQwkiUIAAxny6
6Yi9HrYRuixCA7YewkeqVAO0HWpzFf7SR4OsDGU0elOqfLLIT6oFUXixdHib4pUk3g5isvnf
o+PVY/lJViJ0Qp167izmodp5D+QiVOBZ4cx0</vt:lpwstr>
  </property>
  <property fmtid="{D5CDD505-2E9C-101B-9397-08002B2CF9AE}" pid="23" name="_2015_ms_pID_7253432">
    <vt:lpwstr>HRBrTm7+qBlDJCJ2iGXYxRD+QPhwnCif8Rvf
zLOat6Du4GSSiJ36yYR4MQ7pZaJFrGmn5SbV0YEhZIzNiPzIeRU=</vt:lpwstr>
  </property>
  <property fmtid="{D5CDD505-2E9C-101B-9397-08002B2CF9AE}" pid="24" name="KeyAssetLabel_HuaWei">
    <vt:lpwstr>{FuBE1GM4xRbNmXzwAAmEtcBm8ZhYXe}</vt:lpwstr>
  </property>
  <property fmtid="{D5CDD505-2E9C-101B-9397-08002B2CF9AE}" pid="25" name="_862901variable_0907_groupIDlong_2010">
    <vt:lpwstr>(1)akp7zeWWQVAkhrg3jzUxJUNz29nFyzwDRP8op5+bC4meCzGWp6qrc39lEq8rMetuib/hNduf
s9LFU1RkKb/gIzA7lIUdxogHdTC34jyDPKM3gJm1odvXkAVP4S+0MrfRFcSz6L6Shlu4KY1p
i9eD+RoKFTyenFnWhF6KhlR4ACFOJiy0ua5Mm0doFwxYHwzB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1724312406</vt:lpwstr>
  </property>
</Properties>
</file>