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tabs>
          <w:tab w:val="clear" w:pos="709"/>
          <w:tab w:val="right" w:pos="9639" w:leader="none"/>
        </w:tabs>
        <w:rPr/>
      </w:pPr>
      <w:r>
        <w:rPr>
          <w:bCs/>
          <w:sz w:val="24"/>
          <w:szCs w:val="24"/>
        </w:rPr>
        <w:t>3GPP TSG-RAN WG2 Meeting #127</w:t>
        <w:tab/>
        <w:t>R2-</w:t>
      </w:r>
      <w:r>
        <w:rPr>
          <w:bCs/>
          <w:i/>
          <w:sz w:val="24"/>
          <w:szCs w:val="24"/>
        </w:rPr>
        <w:t>xxxxxx</w:t>
      </w:r>
    </w:p>
    <w:p>
      <w:pPr>
        <w:pStyle w:val="Header"/>
        <w:tabs>
          <w:tab w:val="clear" w:pos="709"/>
          <w:tab w:val="right" w:pos="9639" w:leader="none"/>
        </w:tabs>
        <w:rPr/>
      </w:pPr>
      <w:r>
        <w:rPr>
          <w:rFonts w:eastAsia="SimSun"/>
          <w:bCs/>
          <w:sz w:val="24"/>
          <w:szCs w:val="24"/>
          <w:lang w:eastAsia="zh-CN"/>
        </w:rPr>
        <w:t>Maastricht , Netherlands , 19 August – 23 August 2024</w:t>
      </w:r>
      <w:r>
        <w:rPr>
          <w:rFonts w:eastAsia="SimSun"/>
          <w:sz w:val="24"/>
          <w:szCs w:val="24"/>
          <w:lang w:eastAsia="zh-CN"/>
        </w:rPr>
        <w:tab/>
      </w:r>
    </w:p>
    <w:p>
      <w:pPr>
        <w:pStyle w:val="Header"/>
        <w:rPr>
          <w:bCs/>
          <w:sz w:val="24"/>
        </w:rPr>
      </w:pPr>
      <w:r>
        <w:rPr>
          <w:bCs/>
          <w:sz w:val="24"/>
        </w:rPr>
      </w:r>
    </w:p>
    <w:p>
      <w:pPr>
        <w:pStyle w:val="Header"/>
        <w:rPr>
          <w:bCs/>
          <w:sz w:val="24"/>
        </w:rPr>
      </w:pPr>
      <w:r>
        <w:rPr>
          <w:bCs/>
          <w:sz w:val="24"/>
        </w:rPr>
      </w:r>
    </w:p>
    <w:p>
      <w:pPr>
        <w:pStyle w:val="CRCoverPage"/>
        <w:tabs>
          <w:tab w:val="clear" w:pos="709"/>
          <w:tab w:val="left" w:pos="1985" w:leader="none"/>
        </w:tabs>
        <w:rPr>
          <w:rFonts w:cs="Arial"/>
          <w:b/>
          <w:b/>
          <w:bCs/>
          <w:sz w:val="24"/>
        </w:rPr>
      </w:pPr>
      <w:r>
        <w:rPr>
          <w:rFonts w:cs="Arial"/>
          <w:b/>
          <w:bCs/>
          <w:sz w:val="24"/>
        </w:rPr>
        <w:t>Agenda item:</w:t>
        <w:tab/>
        <w:t>8.6.2</w:t>
      </w:r>
    </w:p>
    <w:p>
      <w:pPr>
        <w:pStyle w:val="Normal"/>
        <w:tabs>
          <w:tab w:val="clear" w:pos="709"/>
          <w:tab w:val="left" w:pos="3970" w:leader="none"/>
        </w:tabs>
        <w:ind w:start="1985" w:hanging="1985"/>
        <w:rPr>
          <w:rFonts w:ascii="Arial" w:hAnsi="Arial" w:cs="Arial"/>
          <w:b/>
          <w:b/>
          <w:bCs/>
        </w:rPr>
      </w:pPr>
      <w:r>
        <w:rPr>
          <w:rFonts w:cs="Arial" w:ascii="Arial" w:hAnsi="Arial"/>
          <w:b/>
          <w:bCs/>
        </w:rPr>
        <w:t>Source:</w:t>
        <w:tab/>
        <w:t>CEWiT</w:t>
      </w:r>
    </w:p>
    <w:p>
      <w:pPr>
        <w:pStyle w:val="Normal"/>
        <w:ind w:start="1985" w:hanging="1985"/>
        <w:rPr>
          <w:rFonts w:ascii="Arial" w:hAnsi="Arial" w:cs="Arial"/>
          <w:b/>
          <w:b/>
          <w:bCs/>
        </w:rPr>
      </w:pPr>
      <w:r>
        <w:rPr>
          <w:rFonts w:cs="Arial" w:ascii="Arial" w:hAnsi="Arial"/>
          <w:b/>
          <w:bCs/>
        </w:rPr>
        <w:t>Title:</w:t>
        <w:tab/>
        <w:t>LTM enhancements for Inter-CU mobility</w:t>
      </w:r>
    </w:p>
    <w:p>
      <w:pPr>
        <w:pStyle w:val="Normal"/>
        <w:ind w:start="1985" w:hanging="1985"/>
        <w:rPr/>
      </w:pPr>
      <w:r>
        <w:rPr>
          <w:rFonts w:cs="Arial" w:ascii="Arial" w:hAnsi="Arial"/>
          <w:b/>
          <w:bCs/>
        </w:rPr>
        <w:t>WID/SID:</w:t>
        <w:tab/>
      </w:r>
      <w:r>
        <w:rPr>
          <w:rFonts w:eastAsia="Malgun Gothic" w:cs="Arial" w:ascii="Arial" w:hAnsi="Arial"/>
          <w:b/>
          <w:bCs/>
          <w:lang w:val="en-US"/>
        </w:rPr>
        <w:t>NR_Mob_Ph4-Core</w:t>
      </w:r>
      <w:r>
        <w:rPr>
          <w:rFonts w:cs="Arial" w:ascii="Arial" w:hAnsi="Arial"/>
          <w:b/>
          <w:bCs/>
        </w:rPr>
        <w:t>;- Release 19</w:t>
      </w:r>
    </w:p>
    <w:p>
      <w:pPr>
        <w:pStyle w:val="Normal"/>
        <w:tabs>
          <w:tab w:val="clear" w:pos="709"/>
          <w:tab w:val="left" w:pos="1985" w:leader="none"/>
        </w:tabs>
        <w:rPr>
          <w:rFonts w:ascii="Arial" w:hAnsi="Arial" w:cs="Arial"/>
          <w:b/>
          <w:b/>
          <w:bCs/>
        </w:rPr>
      </w:pPr>
      <w:r>
        <w:rPr>
          <w:rFonts w:cs="Arial" w:ascii="Arial" w:hAnsi="Arial"/>
          <w:b/>
          <w:bCs/>
        </w:rPr>
        <w:t>Document for:</w:t>
        <w:tab/>
        <w:t>Discussion and Decision</w:t>
      </w:r>
    </w:p>
    <w:p>
      <w:pPr>
        <w:pStyle w:val="Heading1"/>
        <w:numPr>
          <w:ilvl w:val="0"/>
          <w:numId w:val="2"/>
        </w:numPr>
        <w:rPr/>
      </w:pPr>
      <w:r>
        <w:rPr/>
        <w:t>Introduction</w:t>
      </w:r>
    </w:p>
    <w:p>
      <w:pPr>
        <w:pStyle w:val="Normal"/>
        <w:rPr/>
      </w:pPr>
      <w:r>
        <w:rPr/>
        <w:t>Given below are the agreements in RAN2 #125 and RAN2 #126:</w:t>
      </w:r>
    </w:p>
    <w:tbl>
      <w:tblPr>
        <w:tblW w:w="9581" w:type="dxa"/>
        <w:jc w:val="start"/>
        <w:tblInd w:w="43" w:type="dxa"/>
        <w:tblLayout w:type="fixed"/>
        <w:tblCellMar>
          <w:top w:w="0" w:type="dxa"/>
          <w:start w:w="108" w:type="dxa"/>
          <w:bottom w:w="0" w:type="dxa"/>
          <w:end w:w="108" w:type="dxa"/>
        </w:tblCellMar>
        <w:tblLook w:val="0000" w:noHBand="0" w:noVBand="0" w:firstColumn="0" w:lastRow="0" w:lastColumn="0" w:firstRow="0"/>
      </w:tblPr>
      <w:tblGrid>
        <w:gridCol w:w="9581"/>
      </w:tblGrid>
      <w:tr>
        <w:trPr/>
        <w:tc>
          <w:tcPr>
            <w:tcW w:w="9581" w:type="dxa"/>
            <w:tcBorders>
              <w:top w:val="single" w:sz="4" w:space="0" w:color="000000"/>
              <w:start w:val="single" w:sz="4" w:space="0" w:color="000000"/>
              <w:bottom w:val="single" w:sz="4" w:space="0" w:color="000000"/>
              <w:end w:val="single" w:sz="4" w:space="0" w:color="000000"/>
            </w:tcBorders>
          </w:tcPr>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GB" w:bidi="ar-SA"/>
              </w:rPr>
            </w:pPr>
            <w:r>
              <w:rPr>
                <w:rFonts w:eastAsia="Times New Roman" w:cs="Times New Roman"/>
                <w:kern w:val="0"/>
                <w:sz w:val="20"/>
                <w:szCs w:val="20"/>
                <w:lang w:val="en-GB" w:bidi="ar-SA"/>
              </w:rPr>
              <w:t>RAN2 first focus on inter-CU LTM in NR standalone scenario and use it as baseline for supporting inter-CU LTM in NR-DC scenarios.</w:t>
            </w:r>
          </w:p>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GB" w:bidi="ar-SA"/>
              </w:rPr>
            </w:pPr>
            <w:r>
              <w:rPr>
                <w:rFonts w:eastAsia="Times New Roman" w:cs="Times New Roman"/>
                <w:kern w:val="0"/>
                <w:sz w:val="20"/>
                <w:szCs w:val="20"/>
                <w:lang w:val="en-GB" w:bidi="ar-SA"/>
              </w:rPr>
              <w:t>Rel-19 inter-CU LTM also supports mixture of subsequent inter-CU LTM and subsequent intra-CU LTM after an inter-CU or intra-CU LTM switch.</w:t>
            </w:r>
          </w:p>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rFonts w:eastAsia="Times New Roman" w:cs="Times New Roman"/>
                <w:bCs/>
                <w:kern w:val="0"/>
                <w:sz w:val="20"/>
                <w:szCs w:val="20"/>
                <w:lang w:val="en-GB" w:bidi="ar-SA"/>
              </w:rPr>
            </w:pPr>
            <w:r>
              <w:rPr>
                <w:rFonts w:eastAsia="Times New Roman" w:cs="Times New Roman"/>
                <w:bCs/>
                <w:kern w:val="0"/>
                <w:sz w:val="20"/>
                <w:szCs w:val="20"/>
                <w:lang w:val="en-GB" w:bidi="ar-SA"/>
              </w:rPr>
              <w:t>UE can be configured with a mixture of intra-CU and inter-CU candidate LTM cells and irrespective of how the UE is configured with this mixture, UE measurement and reporting procedures will be the same for both intra-CU and inter-CU candidate LTM cells.</w:t>
            </w:r>
          </w:p>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rFonts w:eastAsia="Times New Roman" w:cs="Times New Roman"/>
                <w:bCs/>
                <w:kern w:val="0"/>
                <w:sz w:val="20"/>
                <w:szCs w:val="20"/>
                <w:lang w:val="en-GB" w:bidi="ar-SA"/>
              </w:rPr>
            </w:pPr>
            <w:r>
              <w:rPr>
                <w:rFonts w:eastAsia="Times New Roman" w:cs="Times New Roman"/>
                <w:bCs/>
                <w:kern w:val="0"/>
                <w:sz w:val="20"/>
                <w:szCs w:val="20"/>
                <w:lang w:val="en-GB" w:bidi="ar-SA"/>
              </w:rPr>
              <w:t>Mobility latency analysis of rel-18 intra-CU LTM is reused for Rel-19 inter-CU LTM.</w:t>
            </w:r>
          </w:p>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GB" w:bidi="ar-SA"/>
              </w:rPr>
            </w:pPr>
            <w:r>
              <w:rPr>
                <w:rFonts w:eastAsia="Times New Roman" w:cs="Times New Roman"/>
                <w:kern w:val="0"/>
                <w:sz w:val="20"/>
                <w:szCs w:val="20"/>
                <w:lang w:val="en-GB" w:bidi="ar-SA"/>
              </w:rPr>
              <w:t>Early DL and UL sync is also supported for inter-CU LTM.  Inform RAN3 of this. Early DL sync using CSI-RS should be considered, pending RAN1 approval.</w:t>
            </w:r>
          </w:p>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GB" w:bidi="ar-SA"/>
              </w:rPr>
            </w:pPr>
            <w:r>
              <w:rPr>
                <w:rFonts w:eastAsia="Times New Roman" w:cs="Times New Roman"/>
                <w:kern w:val="0"/>
                <w:sz w:val="20"/>
                <w:szCs w:val="20"/>
                <w:lang w:val="en-GB" w:bidi="ar-SA"/>
              </w:rPr>
              <w:t>PDCCH ordered early RACH is supported for inter-CU LTM.</w:t>
            </w:r>
          </w:p>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pPr>
            <w:r>
              <w:rPr>
                <w:rFonts w:eastAsia="Times New Roman" w:cs="Times New Roman"/>
                <w:bCs/>
                <w:kern w:val="0"/>
                <w:sz w:val="20"/>
                <w:szCs w:val="20"/>
                <w:lang w:val="en-US" w:bidi="ar-SA"/>
              </w:rPr>
              <w:t xml:space="preserve">For early TA acquisition, </w:t>
            </w:r>
            <w:r>
              <w:rPr>
                <w:rFonts w:eastAsia="Times New Roman" w:cs="Times New Roman"/>
                <w:bCs/>
                <w:kern w:val="0"/>
                <w:sz w:val="20"/>
                <w:szCs w:val="20"/>
                <w:lang w:val="en-GB" w:bidi="ar-SA"/>
              </w:rPr>
              <w:t>Rel-18 option is baseline. FFS for RAR based option.</w:t>
            </w:r>
          </w:p>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GB" w:bidi="ar-SA"/>
              </w:rPr>
            </w:pPr>
            <w:r>
              <w:rPr>
                <w:rFonts w:eastAsia="Times New Roman" w:cs="Times New Roman"/>
                <w:kern w:val="0"/>
                <w:sz w:val="20"/>
                <w:szCs w:val="20"/>
                <w:lang w:val="en-GB" w:bidi="ar-SA"/>
              </w:rPr>
              <w:t>Upon inter-CU LTM execution, UE performs</w:t>
            </w:r>
          </w:p>
          <w:p>
            <w:pPr>
              <w:pStyle w:val="Doctext2"/>
              <w:widowControl w:val="false"/>
              <w:numPr>
                <w:ilvl w:val="1"/>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US" w:bidi="ar-SA"/>
              </w:rPr>
            </w:pPr>
            <w:r>
              <w:rPr>
                <w:rFonts w:eastAsia="Times New Roman" w:cs="Times New Roman"/>
                <w:kern w:val="0"/>
                <w:sz w:val="20"/>
                <w:szCs w:val="20"/>
                <w:lang w:val="en-US" w:bidi="ar-SA"/>
              </w:rPr>
              <w:t>MAC reset</w:t>
            </w:r>
          </w:p>
          <w:p>
            <w:pPr>
              <w:pStyle w:val="Doctext2"/>
              <w:widowControl w:val="false"/>
              <w:numPr>
                <w:ilvl w:val="1"/>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US" w:bidi="ar-SA"/>
              </w:rPr>
            </w:pPr>
            <w:r>
              <w:rPr>
                <w:rFonts w:eastAsia="Times New Roman" w:cs="Times New Roman"/>
                <w:kern w:val="0"/>
                <w:sz w:val="20"/>
                <w:szCs w:val="20"/>
                <w:lang w:val="en-US" w:bidi="ar-SA"/>
              </w:rPr>
              <w:t>RLC re-establishment</w:t>
            </w:r>
          </w:p>
          <w:p>
            <w:pPr>
              <w:pStyle w:val="Doctext2"/>
              <w:widowControl w:val="false"/>
              <w:numPr>
                <w:ilvl w:val="1"/>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US" w:bidi="ar-SA"/>
              </w:rPr>
            </w:pPr>
            <w:r>
              <w:rPr>
                <w:rFonts w:eastAsia="Times New Roman" w:cs="Times New Roman"/>
                <w:kern w:val="0"/>
                <w:sz w:val="20"/>
                <w:szCs w:val="20"/>
                <w:lang w:val="en-US" w:bidi="ar-SA"/>
              </w:rPr>
              <w:t>PDCP re-establishment</w:t>
            </w:r>
          </w:p>
          <w:p>
            <w:pPr>
              <w:pStyle w:val="Doctext2"/>
              <w:widowControl w:val="false"/>
              <w:numPr>
                <w:ilvl w:val="1"/>
                <w:numId w:val="3"/>
              </w:numPr>
              <w:pBdr>
                <w:top w:val="single" w:sz="4" w:space="1" w:color="000000"/>
                <w:left w:val="single" w:sz="4" w:space="4" w:color="000000"/>
                <w:bottom w:val="single" w:sz="4" w:space="1" w:color="000000"/>
                <w:right w:val="single" w:sz="4" w:space="4" w:color="000000"/>
              </w:pBdr>
              <w:rPr>
                <w:rFonts w:eastAsia="Times New Roman" w:cs="Times New Roman"/>
                <w:kern w:val="0"/>
                <w:sz w:val="20"/>
                <w:szCs w:val="20"/>
                <w:lang w:val="en-US" w:bidi="ar-SA"/>
              </w:rPr>
            </w:pPr>
            <w:r>
              <w:rPr>
                <w:rFonts w:eastAsia="Times New Roman" w:cs="Times New Roman"/>
                <w:kern w:val="0"/>
                <w:sz w:val="20"/>
                <w:szCs w:val="20"/>
                <w:lang w:val="en-US" w:bidi="ar-SA"/>
              </w:rPr>
              <w:t>Security key update</w:t>
            </w:r>
          </w:p>
          <w:p>
            <w:pPr>
              <w:pStyle w:val="Doctext2"/>
              <w:widowControl w:val="false"/>
              <w:numPr>
                <w:ilvl w:val="1"/>
                <w:numId w:val="3"/>
              </w:numPr>
              <w:pBdr>
                <w:top w:val="single" w:sz="4" w:space="1" w:color="000000"/>
                <w:left w:val="single" w:sz="4" w:space="4" w:color="000000"/>
                <w:bottom w:val="single" w:sz="4" w:space="1" w:color="000000"/>
                <w:right w:val="single" w:sz="4" w:space="4" w:color="000000"/>
              </w:pBdr>
              <w:rPr>
                <w:rFonts w:eastAsia="Times New Roman" w:cs="Times New Roman"/>
                <w:bCs/>
                <w:kern w:val="0"/>
                <w:sz w:val="20"/>
                <w:szCs w:val="20"/>
                <w:lang w:val="en-US" w:bidi="ar-SA"/>
              </w:rPr>
            </w:pPr>
            <w:r>
              <w:rPr>
                <w:rFonts w:eastAsia="Times New Roman" w:cs="Times New Roman"/>
                <w:bCs/>
                <w:kern w:val="0"/>
                <w:sz w:val="20"/>
                <w:szCs w:val="20"/>
                <w:lang w:val="en-US" w:bidi="ar-SA"/>
              </w:rPr>
              <w:t xml:space="preserve">FFS if there is an inter-CU LTM w/o security key change. </w:t>
            </w:r>
          </w:p>
          <w:p>
            <w:pPr>
              <w:pStyle w:val="Doctext2"/>
              <w:widowControl w:val="false"/>
              <w:numPr>
                <w:ilvl w:val="0"/>
                <w:numId w:val="3"/>
              </w:numPr>
              <w:pBdr>
                <w:top w:val="single" w:sz="4" w:space="1" w:color="000000"/>
                <w:left w:val="single" w:sz="4" w:space="4" w:color="000000"/>
                <w:bottom w:val="single" w:sz="4" w:space="1" w:color="000000"/>
                <w:right w:val="single" w:sz="4" w:space="4" w:color="000000"/>
              </w:pBdr>
              <w:rPr>
                <w:rFonts w:eastAsia="Times New Roman" w:cs="Times New Roman"/>
                <w:bCs/>
                <w:kern w:val="0"/>
                <w:sz w:val="20"/>
                <w:szCs w:val="20"/>
                <w:lang w:val="en-US" w:bidi="ar-SA"/>
              </w:rPr>
            </w:pPr>
            <w:r>
              <w:rPr>
                <w:rFonts w:eastAsia="Times New Roman" w:cs="Times New Roman"/>
                <w:bCs/>
                <w:kern w:val="0"/>
                <w:sz w:val="20"/>
                <w:szCs w:val="20"/>
                <w:lang w:val="en-US" w:bidi="ar-SA"/>
              </w:rPr>
              <w:t>L1 LTM measurement event configuration is associated with L1 measurement resource configuration provided in LTM configuration via RRC signaling.</w:t>
            </w:r>
          </w:p>
        </w:tc>
      </w:tr>
    </w:tbl>
    <w:p>
      <w:pPr>
        <w:pStyle w:val="Normal"/>
        <w:ind w:start="709" w:end="200" w:hanging="0"/>
        <w:rPr>
          <w:rFonts w:eastAsia="PMingLiU"/>
        </w:rPr>
      </w:pPr>
      <w:r>
        <w:rPr>
          <w:rFonts w:eastAsia="PMingLiU"/>
        </w:rPr>
      </w:r>
    </w:p>
    <w:p>
      <w:pPr>
        <w:pStyle w:val="Doctext2"/>
        <w:pBdr>
          <w:top w:val="single" w:sz="4" w:space="1" w:color="000000"/>
          <w:left w:val="single" w:sz="4" w:space="4" w:color="000000"/>
          <w:bottom w:val="single" w:sz="4" w:space="1" w:color="000000"/>
          <w:right w:val="single" w:sz="4" w:space="4" w:color="000000"/>
        </w:pBdr>
        <w:ind w:start="709" w:hanging="363"/>
        <w:rPr>
          <w:b/>
          <w:b/>
          <w:bCs/>
          <w:lang w:val="en-US"/>
        </w:rPr>
      </w:pPr>
      <w:r>
        <w:rPr>
          <w:b/>
          <w:bCs/>
          <w:lang w:val="en-US"/>
        </w:rPr>
        <w:t>Agreements on inter-CU LTM:</w:t>
      </w:r>
    </w:p>
    <w:p>
      <w:pPr>
        <w:pStyle w:val="Doctext2"/>
        <w:pBdr>
          <w:top w:val="single" w:sz="4" w:space="1" w:color="000000"/>
          <w:left w:val="single" w:sz="4" w:space="4" w:color="000000"/>
          <w:bottom w:val="single" w:sz="4" w:space="1" w:color="000000"/>
          <w:right w:val="single" w:sz="4" w:space="4" w:color="000000"/>
        </w:pBdr>
        <w:ind w:start="709" w:hanging="363"/>
        <w:rPr>
          <w:b/>
          <w:b/>
          <w:bCs/>
          <w:lang w:val="en-US"/>
        </w:rPr>
      </w:pPr>
      <w:r>
        <w:rPr>
          <w:b/>
          <w:bCs/>
          <w:lang w:val="en-US"/>
        </w:rPr>
        <w:t>Clarification of DC</w:t>
      </w:r>
    </w:p>
    <w:p>
      <w:pPr>
        <w:pStyle w:val="Doctext2"/>
        <w:numPr>
          <w:ilvl w:val="0"/>
          <w:numId w:val="4"/>
        </w:numPr>
        <w:pBdr>
          <w:top w:val="single" w:sz="4" w:space="1" w:color="000000"/>
          <w:left w:val="single" w:sz="4" w:space="4" w:color="000000"/>
          <w:bottom w:val="single" w:sz="4" w:space="29" w:color="000000"/>
          <w:right w:val="single" w:sz="4" w:space="4" w:color="000000"/>
        </w:pBdr>
        <w:overflowPunct w:val="true"/>
        <w:ind w:start="709" w:hanging="360"/>
        <w:rPr/>
      </w:pPr>
      <w:r>
        <w:rPr/>
        <w:t>An LTM configuration with inter-CU LTM candidate cells can be configured either by the MCG or SCG (but not for both simultaneously) and it is up to the network to handle this (further details up to RAN3, if any). No restriction for intra-CU LTM candidate cells.</w:t>
      </w:r>
    </w:p>
    <w:p>
      <w:pPr>
        <w:pStyle w:val="Doctext2"/>
        <w:pBdr>
          <w:top w:val="single" w:sz="4" w:space="1" w:color="000000"/>
          <w:left w:val="single" w:sz="4" w:space="4" w:color="000000"/>
          <w:bottom w:val="single" w:sz="4" w:space="1" w:color="000000"/>
          <w:right w:val="single" w:sz="4" w:space="4" w:color="000000"/>
        </w:pBdr>
        <w:ind w:start="709" w:hanging="0"/>
        <w:rPr>
          <w:lang w:val="en-US"/>
        </w:rPr>
      </w:pPr>
      <w:r>
        <w:rPr>
          <w:lang w:val="en-US"/>
        </w:rPr>
      </w:r>
    </w:p>
    <w:p>
      <w:pPr>
        <w:pStyle w:val="Doctext2"/>
        <w:pBdr>
          <w:top w:val="single" w:sz="4" w:space="1" w:color="000000"/>
          <w:left w:val="single" w:sz="4" w:space="4" w:color="000000"/>
          <w:bottom w:val="single" w:sz="4" w:space="1" w:color="000000"/>
          <w:right w:val="single" w:sz="4" w:space="4" w:color="000000"/>
        </w:pBdr>
        <w:ind w:start="709" w:hanging="0"/>
        <w:rPr>
          <w:b/>
          <w:b/>
        </w:rPr>
      </w:pPr>
      <w:r>
        <w:rPr>
          <w:b/>
        </w:rPr>
        <w:t>Xn-based and N2-based inter-CU LTM</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Xn-based inter-CU LTM is prioritized in Rel-19.</w:t>
      </w:r>
    </w:p>
    <w:p>
      <w:pPr>
        <w:pStyle w:val="Doctext2"/>
        <w:pBdr>
          <w:top w:val="single" w:sz="4" w:space="1" w:color="000000"/>
          <w:left w:val="single" w:sz="4" w:space="4" w:color="000000"/>
          <w:bottom w:val="single" w:sz="4" w:space="1" w:color="000000"/>
          <w:right w:val="single" w:sz="4" w:space="4" w:color="000000"/>
        </w:pBdr>
        <w:ind w:start="709" w:hanging="0"/>
        <w:rPr>
          <w:lang w:val="en-US"/>
        </w:rPr>
      </w:pPr>
      <w:r>
        <w:rPr>
          <w:lang w:val="en-US"/>
        </w:rPr>
      </w:r>
    </w:p>
    <w:p>
      <w:pPr>
        <w:pStyle w:val="Doctext2"/>
        <w:pBdr>
          <w:top w:val="single" w:sz="4" w:space="1" w:color="000000"/>
          <w:left w:val="single" w:sz="4" w:space="4" w:color="000000"/>
          <w:bottom w:val="single" w:sz="4" w:space="1" w:color="000000"/>
          <w:right w:val="single" w:sz="4" w:space="4" w:color="000000"/>
        </w:pBdr>
        <w:ind w:start="709" w:hanging="0"/>
        <w:rPr>
          <w:b/>
          <w:b/>
        </w:rPr>
      </w:pPr>
      <w:r>
        <w:rPr>
          <w:b/>
        </w:rPr>
        <w:t>Stage-2 signaling flows and procedures</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The preparation of inter-CU LTM configuration is initiated by the source gNB-CU.</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The source gNB-CU is responsible to collect the configurations and information of candidate cells from multiple candidate gNB-CUs and generates the common CSI resource configuration for L1 measurement on candidate cells.</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pPr>
        <w:pStyle w:val="Doctext2"/>
        <w:pBdr>
          <w:top w:val="single" w:sz="4" w:space="1" w:color="000000"/>
          <w:left w:val="single" w:sz="4" w:space="4" w:color="000000"/>
          <w:bottom w:val="single" w:sz="4" w:space="1" w:color="000000"/>
          <w:right w:val="single" w:sz="4" w:space="4" w:color="000000"/>
        </w:pBdr>
        <w:ind w:start="709" w:hanging="363"/>
        <w:rPr>
          <w:lang w:val="en-US"/>
        </w:rPr>
      </w:pPr>
      <w:r>
        <w:rPr>
          <w:lang w:val="en-US"/>
        </w:rPr>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 xml:space="preserve">Preparation: </w:t>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RRC Configuration/structure</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The RRC signalling structure and modelling for Rel-18 LTM is taken as the baseline for inter-CU LTM.</w:t>
      </w:r>
    </w:p>
    <w:p>
      <w:pPr>
        <w:pStyle w:val="Doctext2"/>
        <w:pBdr>
          <w:top w:val="single" w:sz="4" w:space="1" w:color="000000"/>
          <w:left w:val="single" w:sz="4" w:space="4" w:color="000000"/>
          <w:bottom w:val="single" w:sz="4" w:space="1" w:color="000000"/>
          <w:right w:val="single" w:sz="4" w:space="4" w:color="000000"/>
        </w:pBdr>
        <w:ind w:start="709" w:hanging="363"/>
        <w:rPr>
          <w:lang w:val="en-US"/>
        </w:rPr>
      </w:pPr>
      <w:r>
        <w:rPr>
          <w:lang w:val="en-US"/>
        </w:rPr>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LTM Candidate ID</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For inter-CU LTM, LTM candidate ID is unique across all the participating gNB-CUs.</w:t>
      </w:r>
    </w:p>
    <w:p>
      <w:pPr>
        <w:pStyle w:val="Doctext2"/>
        <w:pBdr>
          <w:top w:val="single" w:sz="4" w:space="1" w:color="000000"/>
          <w:left w:val="single" w:sz="4" w:space="4" w:color="000000"/>
          <w:bottom w:val="single" w:sz="4" w:space="1" w:color="000000"/>
          <w:right w:val="single" w:sz="4" w:space="4" w:color="000000"/>
        </w:pBdr>
        <w:ind w:start="709" w:hanging="363"/>
        <w:rPr>
          <w:lang w:val="en-US"/>
        </w:rPr>
      </w:pPr>
      <w:r>
        <w:rPr>
          <w:lang w:val="en-US"/>
        </w:rPr>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Max number of LTM candidate IDs</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The maximum number of LTM candidate cell configuration is 8, regardless of whether these are intra-CU or inter-CU LTM candidate configurations.</w:t>
      </w:r>
    </w:p>
    <w:p>
      <w:pPr>
        <w:pStyle w:val="Doctext2"/>
        <w:pBdr>
          <w:top w:val="single" w:sz="4" w:space="1" w:color="000000"/>
          <w:left w:val="single" w:sz="4" w:space="4" w:color="000000"/>
          <w:bottom w:val="single" w:sz="4" w:space="1" w:color="000000"/>
          <w:right w:val="single" w:sz="4" w:space="4" w:color="000000"/>
        </w:pBdr>
        <w:ind w:start="709" w:hanging="363"/>
        <w:rPr>
          <w:lang w:val="en-US"/>
        </w:rPr>
      </w:pPr>
      <w:r>
        <w:rPr>
          <w:lang w:val="en-US"/>
        </w:rPr>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Early sync:</w:t>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RAR based option</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RAR-based TA acquisition is not supported for inter-CU LTM for non-conditional LTM. FFS on conditional LTM.</w:t>
      </w:r>
    </w:p>
    <w:p>
      <w:pPr>
        <w:pStyle w:val="Doctext2"/>
        <w:pBdr>
          <w:top w:val="single" w:sz="4" w:space="1" w:color="000000"/>
          <w:left w:val="single" w:sz="4" w:space="4" w:color="000000"/>
          <w:bottom w:val="single" w:sz="4" w:space="1" w:color="000000"/>
          <w:right w:val="single" w:sz="4" w:space="4" w:color="000000"/>
        </w:pBdr>
        <w:ind w:start="709" w:hanging="363"/>
        <w:rPr>
          <w:lang w:val="en-US"/>
        </w:rPr>
      </w:pPr>
      <w:r>
        <w:rPr>
          <w:lang w:val="en-US"/>
        </w:rPr>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Execution:</w:t>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LTM Cell Switch Command</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R18 LTM CSC MAC CE is baseline to trigger LTM cell switch for inter-CU LTM.</w:t>
      </w:r>
    </w:p>
    <w:p>
      <w:pPr>
        <w:pStyle w:val="Doctext2"/>
        <w:pBdr>
          <w:top w:val="single" w:sz="4" w:space="1" w:color="000000"/>
          <w:left w:val="single" w:sz="4" w:space="4" w:color="000000"/>
          <w:bottom w:val="single" w:sz="4" w:space="1" w:color="000000"/>
          <w:right w:val="single" w:sz="4" w:space="4" w:color="000000"/>
        </w:pBdr>
        <w:ind w:start="709" w:hanging="363"/>
        <w:rPr>
          <w:lang w:val="en-US"/>
        </w:rPr>
      </w:pPr>
      <w:r>
        <w:rPr>
          <w:lang w:val="en-US"/>
        </w:rPr>
      </w:r>
    </w:p>
    <w:p>
      <w:pPr>
        <w:pStyle w:val="Doctext2"/>
        <w:pBdr>
          <w:top w:val="single" w:sz="4" w:space="1" w:color="000000"/>
          <w:left w:val="single" w:sz="4" w:space="4" w:color="000000"/>
          <w:bottom w:val="single" w:sz="4" w:space="1" w:color="000000"/>
          <w:right w:val="single" w:sz="4" w:space="4" w:color="000000"/>
        </w:pBdr>
        <w:ind w:start="709" w:hanging="363"/>
        <w:rPr>
          <w:b/>
          <w:b/>
        </w:rPr>
      </w:pPr>
      <w:r>
        <w:rPr>
          <w:b/>
        </w:rPr>
        <w:t>LTM Cell switch completion</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Support CG-based RACH-less and DG-based RACH-less procedures for inter-CU LTM.</w:t>
      </w:r>
    </w:p>
    <w:p>
      <w:pPr>
        <w:pStyle w:val="Doctext2"/>
        <w:numPr>
          <w:ilvl w:val="0"/>
          <w:numId w:val="4"/>
        </w:numPr>
        <w:pBdr>
          <w:top w:val="single" w:sz="4" w:space="1" w:color="000000"/>
          <w:left w:val="single" w:sz="4" w:space="4" w:color="000000"/>
          <w:bottom w:val="single" w:sz="4" w:space="1" w:color="000000"/>
          <w:right w:val="single" w:sz="4" w:space="4" w:color="000000"/>
        </w:pBdr>
        <w:overflowPunct w:val="true"/>
        <w:ind w:start="709" w:hanging="360"/>
        <w:rPr/>
      </w:pPr>
      <w:r>
        <w:rPr/>
        <w:t>The LTM completion defined for intra-CU LTM is followed for R19 LTM.</w:t>
      </w:r>
    </w:p>
    <w:p>
      <w:pPr>
        <w:pStyle w:val="Normal"/>
        <w:ind w:start="709" w:end="200" w:hanging="0"/>
        <w:rPr/>
      </w:pPr>
      <w:r>
        <w:rPr/>
      </w:r>
    </w:p>
    <w:p>
      <w:pPr>
        <w:pStyle w:val="Heading1"/>
        <w:rPr/>
      </w:pPr>
      <w:r>
        <w:rPr/>
        <w:t>2</w:t>
        <w:tab/>
        <w:t>Inter-CU LTM</w:t>
      </w:r>
    </w:p>
    <w:p>
      <w:pPr>
        <w:pStyle w:val="Normal"/>
        <w:rPr/>
      </w:pPr>
      <w:r>
        <w:rPr/>
      </w:r>
    </w:p>
    <w:p>
      <w:pPr>
        <w:pStyle w:val="Normal"/>
        <w:jc w:val="both"/>
        <w:rPr/>
      </w:pPr>
      <w:r>
        <w:rPr>
          <w:lang w:eastAsia="en-GB"/>
        </w:rPr>
        <w:t xml:space="preserve">In order to support intra-CU and Inter-CU handovers seamlessly in Release 19, we must come up with configurations which keep in mind the existing provisions in intra-CU handover from Release 18. We are discussing every phase and associated changes that are required in inter-CU LTM. </w:t>
      </w:r>
    </w:p>
    <w:p>
      <w:pPr>
        <w:pStyle w:val="Heading2"/>
        <w:rPr/>
      </w:pPr>
      <w:r>
        <w:rPr/>
        <w:t>2.1</w:t>
        <w:tab/>
        <w:t>Handover Preparation</w:t>
      </w:r>
    </w:p>
    <w:p>
      <w:pPr>
        <w:pStyle w:val="Normal"/>
        <w:jc w:val="both"/>
        <w:rPr/>
      </w:pPr>
      <w:r>
        <w:rPr/>
      </w:r>
    </w:p>
    <w:p>
      <w:pPr>
        <w:pStyle w:val="Normal"/>
        <w:jc w:val="both"/>
        <w:rPr>
          <w:b/>
          <w:b/>
          <w:bCs/>
        </w:rPr>
      </w:pPr>
      <w:r>
        <w:rPr>
          <w:b/>
          <w:bCs/>
          <w:lang w:eastAsia="en-GB"/>
        </w:rPr>
        <w:t>Candidate Configuration Preparation</w:t>
      </w:r>
    </w:p>
    <w:p>
      <w:pPr>
        <w:pStyle w:val="Normal"/>
        <w:jc w:val="both"/>
        <w:rPr>
          <w:b/>
          <w:b/>
          <w:bCs/>
          <w:lang w:eastAsia="en-GB"/>
        </w:rPr>
      </w:pPr>
      <w:r>
        <w:rPr>
          <w:b/>
          <w:bCs/>
          <w:lang w:eastAsia="en-GB"/>
        </w:rPr>
      </w:r>
    </w:p>
    <w:p>
      <w:pPr>
        <w:pStyle w:val="Normal"/>
        <w:jc w:val="both"/>
        <w:rPr>
          <w:b/>
          <w:b/>
          <w:bCs/>
          <w:lang w:eastAsia="en-GB"/>
        </w:rPr>
      </w:pPr>
      <w:r>
        <w:rPr>
          <w:b/>
          <w:bCs/>
          <w:lang w:eastAsia="en-GB"/>
        </w:rPr>
      </w:r>
    </w:p>
    <w:p>
      <w:pPr>
        <w:pStyle w:val="Normal"/>
        <w:jc w:val="both"/>
        <w:rPr/>
      </w:pPr>
      <w:r>
        <w:rPr>
          <w:lang w:eastAsia="en-GB"/>
        </w:rPr>
        <w:t xml:space="preserve">While the source gNB-CU only required information from its own DUs in intra-CU LTM, inter-CU LTM the CUs will have to be in sync. This requires Xn coordination between the CUs. Source CU will ask candidate CUs to perform admission control using the existing HO Request message with an LTM indication. The remaining IEs that exist in the message would remain intact. The response would contain all the lower layer configurations for the requested CGIs. This is further consolidated at the source CU to form a common CSI resource configuration. This along with the candidate mapping will be sent to the candidate-CUs. This is keeping in mind the subsequent LTM. Keeping this as the reference, the each candidate CU would send back a delta configuration which the UE applies when that candidate becomes the new target. </w:t>
      </w:r>
    </w:p>
    <w:p>
      <w:pPr>
        <w:pStyle w:val="Normal"/>
        <w:jc w:val="both"/>
        <w:rPr>
          <w:lang w:eastAsia="en-GB"/>
        </w:rPr>
      </w:pPr>
      <w:r>
        <w:rPr>
          <w:lang w:eastAsia="en-GB"/>
        </w:rPr>
      </w:r>
    </w:p>
    <w:p>
      <w:pPr>
        <w:pStyle w:val="Normal"/>
        <w:jc w:val="both"/>
        <w:rPr>
          <w:lang w:eastAsia="en-GB"/>
        </w:rPr>
      </w:pPr>
      <w:r>
        <w:rPr>
          <w:b/>
          <w:bCs/>
          <w:lang w:eastAsia="en-GB"/>
        </w:rPr>
        <w:t>Proposal 1 :</w:t>
      </w:r>
      <w:r>
        <w:rPr>
          <w:lang w:eastAsia="en-GB"/>
        </w:rPr>
        <w:t xml:space="preserve"> Handover Request to be sent from Source CU to Candidate CUs with an indication that it is for an LTM handover</w:t>
      </w:r>
    </w:p>
    <w:p>
      <w:pPr>
        <w:pStyle w:val="Normal"/>
        <w:jc w:val="both"/>
        <w:rPr/>
      </w:pPr>
      <w:r>
        <w:rPr/>
      </w:r>
    </w:p>
    <w:p>
      <w:pPr>
        <w:pStyle w:val="Normal"/>
        <w:jc w:val="both"/>
        <w:rPr/>
      </w:pPr>
      <w:r>
        <w:rPr>
          <w:b/>
          <w:bCs/>
        </w:rPr>
        <w:t xml:space="preserve">Proposal 2 : </w:t>
      </w:r>
      <w:r>
        <w:rPr/>
        <w:t>Candidate-CU has to collect and consolidate the lower layer configuration from associated DUs using the existing Rel-18 intra-CU procedures</w:t>
      </w:r>
    </w:p>
    <w:p>
      <w:pPr>
        <w:pStyle w:val="Normal"/>
        <w:jc w:val="both"/>
        <w:rPr/>
      </w:pPr>
      <w:r>
        <w:rPr/>
      </w:r>
    </w:p>
    <w:p>
      <w:pPr>
        <w:pStyle w:val="Normal"/>
        <w:jc w:val="both"/>
        <w:rPr/>
      </w:pPr>
      <w:r>
        <w:rPr>
          <w:b/>
          <w:bCs/>
        </w:rPr>
        <w:t xml:space="preserve">Proposal 3 : </w:t>
      </w:r>
      <w:r>
        <w:rPr/>
        <w:t xml:space="preserve"> Source-CU has to assign unique candidate IDs to each candidate cell</w:t>
      </w:r>
    </w:p>
    <w:p>
      <w:pPr>
        <w:pStyle w:val="Normal"/>
        <w:jc w:val="both"/>
        <w:rPr/>
      </w:pPr>
      <w:r>
        <w:rPr/>
      </w:r>
    </w:p>
    <w:p>
      <w:pPr>
        <w:pStyle w:val="Normal"/>
        <w:jc w:val="both"/>
        <w:rPr/>
      </w:pPr>
      <w:r>
        <w:rPr>
          <w:b/>
          <w:bCs/>
        </w:rPr>
        <w:t xml:space="preserve">Proposal 4 : </w:t>
      </w:r>
      <w:r>
        <w:rPr/>
        <w:t>The consolidated union of candidate and resource configurations are sent back to each candidate CUs in order to be used for subsequent LTM.</w:t>
      </w:r>
    </w:p>
    <w:p>
      <w:pPr>
        <w:pStyle w:val="Normal"/>
        <w:jc w:val="both"/>
        <w:rPr/>
      </w:pPr>
      <w:r>
        <w:rPr/>
      </w:r>
    </w:p>
    <w:p>
      <w:pPr>
        <w:pStyle w:val="Normal"/>
        <w:jc w:val="both"/>
        <w:rPr/>
      </w:pPr>
      <w:r>
        <w:rPr>
          <w:b/>
          <w:bCs/>
        </w:rPr>
        <w:t>Proposal 5 :</w:t>
      </w:r>
      <w:r>
        <w:rPr/>
        <w:t xml:space="preserve"> The candidates send back the delta candidate configurations which is to be applied upon attaching to that candidate as a part of subsequent LTM. </w:t>
      </w:r>
    </w:p>
    <w:p>
      <w:pPr>
        <w:pStyle w:val="Normal"/>
        <w:jc w:val="both"/>
        <w:rPr/>
      </w:pPr>
      <w:r>
        <w:rPr/>
      </w:r>
    </w:p>
    <w:p>
      <w:pPr>
        <w:pStyle w:val="Normal"/>
        <w:jc w:val="both"/>
        <w:rPr/>
      </w:pPr>
      <w:r>
        <w:rPr>
          <w:b/>
          <w:bCs/>
        </w:rPr>
        <w:t>Proposal 6 :</w:t>
      </w:r>
      <w:r>
        <w:rPr/>
        <w:t xml:space="preserve"> Source DU includes both reference configuration and delta configuration per candidate  cell in the RRC Reconfiguration. This forms the complete configuration to the UE based on its instantaneous serving cell.</w:t>
      </w:r>
    </w:p>
    <w:p>
      <w:pPr>
        <w:pStyle w:val="Normal"/>
        <w:jc w:val="both"/>
        <w:rPr>
          <w:lang w:val="en-US"/>
        </w:rPr>
      </w:pPr>
      <w:r>
        <w:rPr>
          <w:lang w:val="en-US"/>
        </w:rPr>
      </w:r>
    </w:p>
    <w:p>
      <w:pPr>
        <w:pStyle w:val="Normal"/>
        <w:jc w:val="both"/>
        <w:rPr/>
      </w:pPr>
      <w:r>
        <w:rPr/>
      </w:r>
    </w:p>
    <w:p>
      <w:pPr>
        <w:pStyle w:val="Normal"/>
        <w:jc w:val="both"/>
        <w:rPr/>
      </w:pPr>
      <w:r>
        <w:rPr/>
      </w:r>
    </w:p>
    <w:p>
      <w:pPr>
        <w:pStyle w:val="Heading2"/>
        <w:jc w:val="both"/>
        <w:rPr>
          <w:lang w:val="en-US"/>
        </w:rPr>
      </w:pPr>
      <w:r>
        <w:rPr>
          <w:lang w:val="en-US"/>
        </w:rPr>
        <w:t>2.2</w:t>
        <w:tab/>
        <w:t>Early synchronization</w:t>
      </w:r>
    </w:p>
    <w:p>
      <w:pPr>
        <w:pStyle w:val="Normal"/>
        <w:jc w:val="both"/>
        <w:rPr>
          <w:lang w:val="en-US"/>
        </w:rPr>
      </w:pPr>
      <w:r>
        <w:rPr>
          <w:lang w:val="en-US"/>
        </w:rPr>
        <w:t>From a UE perspective, Early synchronization is quite similar to the existing procedures in Rel-18 intra-CU LTM. The TA transfer was done from DU to CU via F1AP interface. For inter-CU LTM, it is expected to come from candidate CU to source CU. Xn interface must support this. However, we further need to provide other information such as C-RNTI and NCC. These can be provided in a message RACH information transfer message to the source CU. This needs to be sent as an LS for RAN3 to discuss and confirm. In case of subsequent LTM, the L1 measurement and reporting configurations would be maintained at the UE (ie. the configurations which were set by the last received RRC Reconfiguration)</w:t>
      </w:r>
    </w:p>
    <w:p>
      <w:pPr>
        <w:pStyle w:val="Normal"/>
        <w:jc w:val="both"/>
        <w:rPr>
          <w:lang w:val="en-US"/>
        </w:rPr>
      </w:pPr>
      <w:r>
        <w:rPr>
          <w:lang w:val="en-US"/>
        </w:rPr>
      </w:r>
    </w:p>
    <w:p>
      <w:pPr>
        <w:pStyle w:val="Normal"/>
        <w:jc w:val="both"/>
        <w:rPr>
          <w:b/>
          <w:b/>
          <w:bCs/>
          <w:lang w:val="en-US"/>
        </w:rPr>
      </w:pPr>
      <w:r>
        <w:rPr>
          <w:b/>
          <w:bCs/>
          <w:lang w:val="en-US"/>
        </w:rPr>
        <w:t>TA acquisition</w:t>
      </w:r>
    </w:p>
    <w:p>
      <w:pPr>
        <w:pStyle w:val="Normal"/>
        <w:jc w:val="both"/>
        <w:rPr>
          <w:lang w:val="en-US"/>
        </w:rPr>
      </w:pPr>
      <w:r>
        <w:rPr>
          <w:lang w:val="en-US"/>
        </w:rPr>
      </w:r>
    </w:p>
    <w:p>
      <w:pPr>
        <w:pStyle w:val="Normal"/>
        <w:jc w:val="both"/>
        <w:rPr>
          <w:lang w:val="en-US"/>
        </w:rPr>
      </w:pPr>
      <w:r>
        <w:rPr>
          <w:b/>
          <w:bCs/>
          <w:lang w:val="en-US"/>
        </w:rPr>
        <w:t xml:space="preserve">Proposal  7 : </w:t>
      </w:r>
      <w:r>
        <w:rPr>
          <w:lang w:val="en-US"/>
        </w:rPr>
        <w:t xml:space="preserve"> Candidate-CU to calculate and send TA information, C-RNTI and NCC value that the UE must use in RACH information transfer message (RAN3 to decide on the actual message to be used)  over Xn interface after receiving the preamble from the UE (based on the PDCCH order received by the UE)</w:t>
      </w:r>
    </w:p>
    <w:p>
      <w:pPr>
        <w:pStyle w:val="Normal"/>
        <w:jc w:val="both"/>
        <w:rPr>
          <w:lang w:val="en-US"/>
        </w:rPr>
      </w:pPr>
      <w:r>
        <w:rPr>
          <w:lang w:val="en-US"/>
        </w:rPr>
      </w:r>
    </w:p>
    <w:p>
      <w:pPr>
        <w:pStyle w:val="Normal"/>
        <w:jc w:val="both"/>
        <w:rPr>
          <w:lang w:val="en-US"/>
        </w:rPr>
      </w:pPr>
      <w:r>
        <w:rPr>
          <w:b/>
          <w:bCs/>
          <w:lang w:val="en-US"/>
        </w:rPr>
        <w:t xml:space="preserve">Proposal  8 : </w:t>
      </w:r>
      <w:r>
        <w:rPr>
          <w:lang w:val="en-US"/>
        </w:rPr>
        <w:t>Similar to TA information being transferred in the F1AP interface, new C-RNTI and NCC must also be facilitated. RAN3 to look into this.</w:t>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lang w:val="en-US"/>
        </w:rPr>
      </w:pPr>
      <w:r>
        <w:rPr>
          <w:lang w:val="en-US"/>
        </w:rPr>
      </w:r>
    </w:p>
    <w:p>
      <w:pPr>
        <w:pStyle w:val="Normal"/>
        <w:jc w:val="both"/>
        <w:rPr>
          <w:b/>
          <w:b/>
          <w:bCs/>
          <w:lang w:val="en-US"/>
        </w:rPr>
      </w:pPr>
      <w:r>
        <w:rPr>
          <w:b/>
          <w:bCs/>
          <w:lang w:val="en-US"/>
        </w:rPr>
        <w:t>L1 measurement reporting</w:t>
      </w:r>
    </w:p>
    <w:p>
      <w:pPr>
        <w:pStyle w:val="Normal"/>
        <w:jc w:val="both"/>
        <w:rPr>
          <w:lang w:val="en-US"/>
        </w:rPr>
      </w:pPr>
      <w:r>
        <w:rPr>
          <w:lang w:val="en-US"/>
        </w:rPr>
      </w:r>
    </w:p>
    <w:p>
      <w:pPr>
        <w:pStyle w:val="Normal"/>
        <w:jc w:val="both"/>
        <w:rPr>
          <w:lang w:val="en-US"/>
        </w:rPr>
      </w:pPr>
      <w:r>
        <w:rPr>
          <w:b/>
          <w:bCs/>
          <w:lang w:val="en-US"/>
        </w:rPr>
        <w:t>Proposal 9:</w:t>
      </w:r>
      <w:r>
        <w:rPr>
          <w:lang w:val="en-US"/>
        </w:rPr>
        <w:t xml:space="preserve"> UE to report L1 measurements to the subsequent targets according to the CSI report configuration received in the previous RRC Reconfiguration, for subsequent LTM.</w:t>
      </w:r>
    </w:p>
    <w:p>
      <w:pPr>
        <w:pStyle w:val="Normal"/>
        <w:jc w:val="both"/>
        <w:rPr>
          <w:lang w:val="en-US"/>
        </w:rPr>
      </w:pPr>
      <w:r>
        <w:rPr>
          <w:lang w:val="en-US"/>
        </w:rPr>
      </w:r>
    </w:p>
    <w:p>
      <w:pPr>
        <w:pStyle w:val="Normal"/>
        <w:jc w:val="both"/>
        <w:rPr>
          <w:lang w:val="en-US"/>
        </w:rPr>
      </w:pPr>
      <w:r>
        <w:rPr>
          <w:lang w:val="en-US"/>
        </w:rPr>
      </w:r>
    </w:p>
    <w:p>
      <w:pPr>
        <w:pStyle w:val="Heading2"/>
        <w:jc w:val="both"/>
        <w:rPr>
          <w:lang w:val="en-US"/>
        </w:rPr>
      </w:pPr>
      <w:r>
        <w:rPr>
          <w:lang w:val="en-US"/>
        </w:rPr>
        <w:t>2.3</w:t>
        <w:tab/>
        <w:t>Handover Execution</w:t>
      </w:r>
    </w:p>
    <w:p>
      <w:pPr>
        <w:pStyle w:val="Normal"/>
        <w:jc w:val="both"/>
        <w:rPr>
          <w:lang w:val="en-US"/>
        </w:rPr>
      </w:pPr>
      <w:r>
        <w:rPr>
          <w:lang w:val="en-US"/>
        </w:rPr>
        <w:t>In this phase, based on LTM L1 measurement reports the source-CU decides on the target. The target and the TA (if needed) will be intimated in the same way as it is done in Release 18 intra-CU LTM (is. Via Cell Switch MAC CE). But in inter-CU LTM source needs to inform C-RNTI and NCC must be sent in LTM cell switch command MAC CE when he target is decided  at the source-CU. Once the LTM cell switch command MAC CE is received, if the UE has a valid TA, it will proceed to sending the first UL packet to the target. This marks the successful completion of RACH-less LTM, similar to Rel-18 procedure. When the UE does not have a valid TA, UE will have to perform RACH-based LTM, similar to Rel-18 procedure.</w:t>
      </w:r>
    </w:p>
    <w:p>
      <w:pPr>
        <w:pStyle w:val="Normal"/>
        <w:jc w:val="both"/>
        <w:rPr>
          <w:lang w:val="en-US"/>
        </w:rPr>
      </w:pPr>
      <w:r>
        <w:rPr>
          <w:lang w:val="en-US"/>
        </w:rPr>
      </w:r>
    </w:p>
    <w:p>
      <w:pPr>
        <w:pStyle w:val="Normal"/>
        <w:jc w:val="both"/>
        <w:rPr>
          <w:lang w:val="en-US"/>
        </w:rPr>
      </w:pPr>
      <w:r>
        <w:rPr>
          <w:b/>
          <w:bCs/>
          <w:lang w:val="en-US"/>
        </w:rPr>
        <w:t xml:space="preserve">Proposal 10 : </w:t>
      </w:r>
      <w:r>
        <w:rPr>
          <w:lang w:val="en-US"/>
        </w:rPr>
        <w:t xml:space="preserve"> New C-RNTI, if any, must come in cell switch command MAC CE. FFS - when C-RNTI is assumed to be maintained. </w:t>
      </w:r>
    </w:p>
    <w:p>
      <w:pPr>
        <w:pStyle w:val="Normal"/>
        <w:jc w:val="both"/>
        <w:rPr>
          <w:lang w:val="en-US"/>
        </w:rPr>
      </w:pPr>
      <w:r>
        <w:rPr>
          <w:lang w:val="en-US"/>
        </w:rPr>
      </w:r>
    </w:p>
    <w:p>
      <w:pPr>
        <w:pStyle w:val="Normal"/>
        <w:jc w:val="both"/>
        <w:rPr>
          <w:lang w:val="en-US"/>
        </w:rPr>
      </w:pPr>
      <w:r>
        <w:rPr>
          <w:lang w:val="en-US"/>
        </w:rPr>
      </w:r>
    </w:p>
    <w:p>
      <w:pPr>
        <w:pStyle w:val="Normal"/>
        <w:jc w:val="both"/>
        <w:rPr>
          <w:b/>
          <w:b/>
          <w:bCs/>
        </w:rPr>
      </w:pPr>
      <w:r>
        <w:rPr>
          <w:b/>
          <w:bCs/>
        </w:rPr>
        <w:t>Security Key Derivation</w:t>
      </w:r>
    </w:p>
    <w:p>
      <w:pPr>
        <w:pStyle w:val="Normal"/>
        <w:jc w:val="both"/>
        <w:rPr/>
      </w:pPr>
      <w:r>
        <w:rPr/>
      </w:r>
    </w:p>
    <w:p>
      <w:pPr>
        <w:pStyle w:val="Normal"/>
        <w:jc w:val="both"/>
        <w:rPr>
          <w:lang w:val="en-US"/>
        </w:rPr>
      </w:pPr>
      <w:r>
        <w:rPr>
          <w:b/>
          <w:bCs/>
          <w:lang w:val="en-US"/>
        </w:rPr>
        <w:t xml:space="preserve">Proposal 11: </w:t>
      </w:r>
      <w:r>
        <w:rPr>
          <w:lang w:val="en-US"/>
        </w:rPr>
        <w:t>For inter-CU, Security key (K-gnB*) derivation method has to be indicated to UE in MAC CE; based on the NCC value being changed or unchanged from the previous handover, H/V derivation can be applied. FFS - when there is no security key change, eg. Intra-CU LTM.</w:t>
      </w:r>
    </w:p>
    <w:p>
      <w:pPr>
        <w:pStyle w:val="Normal"/>
        <w:jc w:val="both"/>
        <w:rPr>
          <w:lang w:val="en-US"/>
        </w:rPr>
      </w:pPr>
      <w:r>
        <w:rPr>
          <w:lang w:val="en-US"/>
        </w:rPr>
      </w:r>
    </w:p>
    <w:p>
      <w:pPr>
        <w:pStyle w:val="Normal"/>
        <w:jc w:val="both"/>
        <w:rPr>
          <w:lang w:val="en-US"/>
        </w:rPr>
      </w:pPr>
      <w:r>
        <w:rPr>
          <w:lang w:val="en-US"/>
        </w:rPr>
      </w:r>
    </w:p>
    <w:p>
      <w:pPr>
        <w:pStyle w:val="Normal"/>
        <w:jc w:val="both"/>
        <w:rPr>
          <w:b/>
          <w:b/>
          <w:bCs/>
          <w:lang w:val="en-US"/>
        </w:rPr>
      </w:pPr>
      <w:r>
        <w:rPr>
          <w:b/>
          <w:bCs/>
          <w:lang w:val="en-US"/>
        </w:rPr>
        <w:t>Handover Cancel to other candidates</w:t>
      </w:r>
    </w:p>
    <w:p>
      <w:pPr>
        <w:pStyle w:val="Normal"/>
        <w:jc w:val="both"/>
        <w:rPr>
          <w:b/>
          <w:b/>
          <w:bCs/>
          <w:lang w:val="en-US"/>
        </w:rPr>
      </w:pPr>
      <w:r>
        <w:rPr>
          <w:b/>
          <w:bCs/>
          <w:lang w:val="en-US"/>
        </w:rPr>
      </w:r>
    </w:p>
    <w:p>
      <w:pPr>
        <w:pStyle w:val="Normal"/>
        <w:jc w:val="both"/>
        <w:rPr>
          <w:lang w:val="en-US"/>
        </w:rPr>
      </w:pPr>
      <w:r>
        <w:rPr>
          <w:b/>
          <w:bCs/>
          <w:lang w:val="en-US"/>
        </w:rPr>
        <w:t>Proposal 12:</w:t>
      </w:r>
      <w:r>
        <w:rPr>
          <w:lang w:val="en-US"/>
        </w:rPr>
        <w:t xml:space="preserve">  Source-CU sends Handover Cancel to all the Candidate-CUs after the completion of subsequent LTM duration</w:t>
      </w:r>
    </w:p>
    <w:p>
      <w:pPr>
        <w:pStyle w:val="Normal"/>
        <w:rPr>
          <w:lang w:val="en-US"/>
        </w:rPr>
      </w:pPr>
      <w:r>
        <w:rPr>
          <w:lang w:val="en-US"/>
        </w:rPr>
      </w:r>
      <w:r>
        <w:br w:type="page"/>
      </w:r>
    </w:p>
    <w:p>
      <w:pPr>
        <w:pStyle w:val="Heading2"/>
        <w:rPr/>
      </w:pPr>
      <w:r>
        <w:rPr/>
        <w:t>2.4 Stage-2 Flow Diagram</w:t>
      </w:r>
    </w:p>
    <w:p>
      <w:pPr>
        <w:pStyle w:val="Normal"/>
        <w:rPr>
          <w:b/>
          <w:b/>
          <w:bCs/>
          <w:lang w:val="en-US"/>
        </w:rPr>
      </w:pPr>
      <w:r>
        <w:rPr>
          <w:b/>
          <w:bCs/>
          <w:lang w:val="en-US"/>
        </w:rPr>
        <w:drawing>
          <wp:anchor behindDoc="0" distT="0" distB="0" distL="0" distR="0" simplePos="0" locked="0" layoutInCell="0" allowOverlap="1" relativeHeight="2">
            <wp:simplePos x="0" y="0"/>
            <wp:positionH relativeFrom="margin">
              <wp:posOffset>-635</wp:posOffset>
            </wp:positionH>
            <wp:positionV relativeFrom="paragraph">
              <wp:posOffset>246380</wp:posOffset>
            </wp:positionV>
            <wp:extent cx="4775200" cy="8648065"/>
            <wp:effectExtent l="0" t="0" r="0" b="0"/>
            <wp:wrapTopAndBottom/>
            <wp:docPr id="1" name="Image1" descr="A diagram of a computer&#10;&#10;Description automatically generated with medium confidence"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A diagram of a computer&#10;&#10;Description automatically generated with medium confidence" title=""/>
                    <pic:cNvPicPr>
                      <a:picLocks noChangeAspect="1" noChangeArrowheads="1"/>
                    </pic:cNvPicPr>
                  </pic:nvPicPr>
                  <pic:blipFill>
                    <a:blip r:embed="rId2"/>
                    <a:stretch>
                      <a:fillRect/>
                    </a:stretch>
                  </pic:blipFill>
                  <pic:spPr bwMode="auto">
                    <a:xfrm>
                      <a:off x="0" y="0"/>
                      <a:ext cx="4775200" cy="8648065"/>
                    </a:xfrm>
                    <a:prstGeom prst="rect">
                      <a:avLst/>
                    </a:prstGeom>
                  </pic:spPr>
                </pic:pic>
              </a:graphicData>
            </a:graphic>
          </wp:anchor>
        </w:drawing>
      </w:r>
    </w:p>
    <w:p>
      <w:pPr>
        <w:pStyle w:val="Normal"/>
        <w:rPr>
          <w:b/>
          <w:b/>
          <w:bCs/>
          <w:lang w:val="en-US"/>
        </w:rPr>
      </w:pPr>
      <w:r>
        <w:rPr>
          <w:b/>
          <w:bCs/>
          <w:lang w:val="en-US"/>
        </w:rPr>
      </w:r>
    </w:p>
    <w:p>
      <w:pPr>
        <w:pStyle w:val="Heading1"/>
        <w:rPr>
          <w:lang w:val="en-US"/>
        </w:rPr>
      </w:pPr>
      <w:r>
        <w:rPr>
          <w:lang w:val="en-US"/>
        </w:rPr>
      </w:r>
    </w:p>
    <w:p>
      <w:pPr>
        <w:pStyle w:val="Heading1"/>
        <w:rPr/>
      </w:pPr>
      <w:r>
        <w:rPr/>
        <w:t>3</w:t>
        <w:tab/>
        <w:t>Conclusion</w:t>
      </w:r>
    </w:p>
    <w:p>
      <w:pPr>
        <w:pStyle w:val="Normal"/>
        <w:rPr/>
      </w:pPr>
      <w:r>
        <w:rPr/>
        <w:t>This document has made the following proposals:</w:t>
      </w:r>
    </w:p>
    <w:p>
      <w:pPr>
        <w:pStyle w:val="Normal"/>
        <w:jc w:val="both"/>
        <w:rPr>
          <w:lang w:eastAsia="en-GB"/>
        </w:rPr>
      </w:pPr>
      <w:r>
        <w:rPr>
          <w:b/>
          <w:bCs/>
          <w:lang w:eastAsia="en-GB"/>
        </w:rPr>
        <w:t>Proposal 1 :</w:t>
      </w:r>
      <w:r>
        <w:rPr>
          <w:lang w:eastAsia="en-GB"/>
        </w:rPr>
        <w:t xml:space="preserve"> Handover Request to be sent from Source CU to Candidate CUs with an indication that it is for an LTM handover</w:t>
      </w:r>
    </w:p>
    <w:p>
      <w:pPr>
        <w:pStyle w:val="Normal"/>
        <w:jc w:val="both"/>
        <w:rPr/>
      </w:pPr>
      <w:r>
        <w:rPr/>
      </w:r>
    </w:p>
    <w:p>
      <w:pPr>
        <w:pStyle w:val="Normal"/>
        <w:jc w:val="both"/>
        <w:rPr/>
      </w:pPr>
      <w:r>
        <w:rPr>
          <w:b/>
          <w:bCs/>
        </w:rPr>
        <w:t xml:space="preserve">Proposal 2 : </w:t>
      </w:r>
      <w:r>
        <w:rPr/>
        <w:t>Candidate-CU has to collect and consolidate the lower layer configuration from associated DUs using the existing Rel-18 intra-CU procedures</w:t>
      </w:r>
    </w:p>
    <w:p>
      <w:pPr>
        <w:pStyle w:val="Normal"/>
        <w:jc w:val="both"/>
        <w:rPr/>
      </w:pPr>
      <w:r>
        <w:rPr/>
      </w:r>
    </w:p>
    <w:p>
      <w:pPr>
        <w:pStyle w:val="Normal"/>
        <w:jc w:val="both"/>
        <w:rPr/>
      </w:pPr>
      <w:r>
        <w:rPr>
          <w:b/>
          <w:bCs/>
        </w:rPr>
        <w:t xml:space="preserve">Proposal 3 : </w:t>
      </w:r>
      <w:r>
        <w:rPr/>
        <w:t xml:space="preserve"> Source-CU has to assign unique candidate IDs to each candidate cell</w:t>
      </w:r>
    </w:p>
    <w:p>
      <w:pPr>
        <w:pStyle w:val="Normal"/>
        <w:jc w:val="both"/>
        <w:rPr/>
      </w:pPr>
      <w:r>
        <w:rPr/>
      </w:r>
    </w:p>
    <w:p>
      <w:pPr>
        <w:pStyle w:val="Normal"/>
        <w:jc w:val="both"/>
        <w:rPr/>
      </w:pPr>
      <w:r>
        <w:rPr>
          <w:b/>
          <w:bCs/>
        </w:rPr>
        <w:t xml:space="preserve">Proposal 4 : </w:t>
      </w:r>
      <w:r>
        <w:rPr/>
        <w:t>The consolidated union of candidate and resource configurations are sent back to each candidate CUs in order to be used for subsequent LTM.</w:t>
      </w:r>
    </w:p>
    <w:p>
      <w:pPr>
        <w:pStyle w:val="Normal"/>
        <w:jc w:val="both"/>
        <w:rPr/>
      </w:pPr>
      <w:r>
        <w:rPr/>
      </w:r>
    </w:p>
    <w:p>
      <w:pPr>
        <w:pStyle w:val="Normal"/>
        <w:jc w:val="both"/>
        <w:rPr/>
      </w:pPr>
      <w:r>
        <w:rPr>
          <w:b/>
          <w:bCs/>
        </w:rPr>
        <w:t>Proposal 5 :</w:t>
      </w:r>
      <w:r>
        <w:rPr/>
        <w:t xml:space="preserve"> The candidates send back the delta candidate configurations which is to be applied upon attaching to that candidate as a part of subsequent LTM. </w:t>
      </w:r>
    </w:p>
    <w:p>
      <w:pPr>
        <w:pStyle w:val="Normal"/>
        <w:jc w:val="both"/>
        <w:rPr/>
      </w:pPr>
      <w:r>
        <w:rPr/>
      </w:r>
    </w:p>
    <w:p>
      <w:pPr>
        <w:pStyle w:val="Normal"/>
        <w:jc w:val="both"/>
        <w:rPr/>
      </w:pPr>
      <w:r>
        <w:rPr>
          <w:b/>
          <w:bCs/>
          <w:lang w:eastAsia="en-GB"/>
        </w:rPr>
        <w:t>Proposal 6 :</w:t>
      </w:r>
      <w:r>
        <w:rPr>
          <w:lang w:eastAsia="en-GB"/>
        </w:rPr>
        <w:t xml:space="preserve"> Source DU includes both reference configuration and delta configuration per candidate  cell in the RRC Reconfiguration. This forms the complete configuration to the UE based on its instantaneous serving cell.</w:t>
      </w:r>
    </w:p>
    <w:p>
      <w:pPr>
        <w:pStyle w:val="Normal"/>
        <w:jc w:val="both"/>
        <w:rPr>
          <w:lang w:eastAsia="en-GB"/>
        </w:rPr>
      </w:pPr>
      <w:r>
        <w:rPr>
          <w:lang w:eastAsia="en-GB"/>
        </w:rPr>
      </w:r>
    </w:p>
    <w:p>
      <w:pPr>
        <w:pStyle w:val="Normal"/>
        <w:jc w:val="both"/>
        <w:rPr>
          <w:lang w:val="en-US"/>
        </w:rPr>
      </w:pPr>
      <w:r>
        <w:rPr>
          <w:b/>
          <w:bCs/>
          <w:lang w:val="en-US"/>
        </w:rPr>
        <w:t xml:space="preserve">Proposal  7 : </w:t>
      </w:r>
      <w:r>
        <w:rPr>
          <w:lang w:val="en-US"/>
        </w:rPr>
        <w:t xml:space="preserve"> Candidate-CU to calculate and send TA information, C-RNTI and NCC value that the UE must use in RACH information transfer message (RAN3 to decide on the actual message to be used)  over Xn interface after receiving the preamble from the UE (based on the PDCCH order received by the UE)</w:t>
      </w:r>
    </w:p>
    <w:p>
      <w:pPr>
        <w:pStyle w:val="Normal"/>
        <w:jc w:val="both"/>
        <w:rPr>
          <w:lang w:val="en-US"/>
        </w:rPr>
      </w:pPr>
      <w:r>
        <w:rPr>
          <w:lang w:val="en-US"/>
        </w:rPr>
      </w:r>
    </w:p>
    <w:p>
      <w:pPr>
        <w:pStyle w:val="Normal"/>
        <w:jc w:val="both"/>
        <w:rPr>
          <w:lang w:val="en-US"/>
        </w:rPr>
      </w:pPr>
      <w:r>
        <w:rPr>
          <w:b/>
          <w:bCs/>
          <w:lang w:val="en-US" w:eastAsia="en-GB"/>
        </w:rPr>
        <w:t xml:space="preserve">Proposal  8 : </w:t>
      </w:r>
      <w:r>
        <w:rPr>
          <w:lang w:val="en-US" w:eastAsia="en-GB"/>
        </w:rPr>
        <w:t>Similar to TA information being transferred in the F1AP interface, new C-RNTI and NCC must also be facilitated. RAN3 to look into this.</w:t>
      </w:r>
    </w:p>
    <w:p>
      <w:pPr>
        <w:pStyle w:val="Normal"/>
        <w:jc w:val="both"/>
        <w:rPr>
          <w:lang w:val="en-US" w:eastAsia="en-GB"/>
        </w:rPr>
      </w:pPr>
      <w:r>
        <w:rPr>
          <w:lang w:val="en-US" w:eastAsia="en-GB"/>
        </w:rPr>
      </w:r>
    </w:p>
    <w:p>
      <w:pPr>
        <w:pStyle w:val="Normal"/>
        <w:jc w:val="both"/>
        <w:rPr>
          <w:lang w:val="en-US"/>
        </w:rPr>
      </w:pPr>
      <w:r>
        <w:rPr>
          <w:b/>
          <w:bCs/>
          <w:lang w:val="en-US" w:eastAsia="en-GB"/>
        </w:rPr>
        <w:t>Proposal 9:</w:t>
      </w:r>
      <w:r>
        <w:rPr>
          <w:lang w:val="en-US" w:eastAsia="en-GB"/>
        </w:rPr>
        <w:t xml:space="preserve"> UE to report L1 measurements to the subsequent targets according to the CSI report configuration received in the previous RRC Reconfiguration, for subsequent LTM.</w:t>
      </w:r>
    </w:p>
    <w:p>
      <w:pPr>
        <w:pStyle w:val="Normal"/>
        <w:jc w:val="both"/>
        <w:rPr>
          <w:lang w:val="en-US" w:eastAsia="en-GB"/>
        </w:rPr>
      </w:pPr>
      <w:r>
        <w:rPr>
          <w:lang w:val="en-US" w:eastAsia="en-GB"/>
        </w:rPr>
      </w:r>
    </w:p>
    <w:p>
      <w:pPr>
        <w:pStyle w:val="Normal"/>
        <w:jc w:val="both"/>
        <w:rPr>
          <w:lang w:val="en-US"/>
        </w:rPr>
      </w:pPr>
      <w:r>
        <w:rPr>
          <w:b/>
          <w:bCs/>
          <w:lang w:val="en-US"/>
        </w:rPr>
        <w:t xml:space="preserve">Proposal 10 : </w:t>
      </w:r>
      <w:r>
        <w:rPr>
          <w:lang w:val="en-US"/>
        </w:rPr>
        <w:t xml:space="preserve"> New C-RNTI, if any, must come in cell switch command MAC CE. FFS - when C-RNTI is assumed to be maintained. </w:t>
      </w:r>
    </w:p>
    <w:p>
      <w:pPr>
        <w:pStyle w:val="Normal"/>
        <w:jc w:val="both"/>
        <w:rPr/>
      </w:pPr>
      <w:r>
        <w:rPr/>
      </w:r>
    </w:p>
    <w:p>
      <w:pPr>
        <w:pStyle w:val="Normal"/>
        <w:jc w:val="both"/>
        <w:rPr>
          <w:lang w:val="en-US"/>
        </w:rPr>
      </w:pPr>
      <w:r>
        <w:rPr>
          <w:b/>
          <w:bCs/>
          <w:lang w:val="en-US" w:eastAsia="en-GB"/>
        </w:rPr>
        <w:t xml:space="preserve">Proposal 11: </w:t>
      </w:r>
      <w:r>
        <w:rPr>
          <w:lang w:val="en-US" w:eastAsia="en-GB"/>
        </w:rPr>
        <w:t>For inter-CU, Security key (K-gnB*) derivation method has to be indicated to UE in MAC CE; based on the NCC value being changed or unchanged from the previous handover, H/V derivation can be applied. FFS - when there is no security key change, eg. Intra-CU LTM.</w:t>
      </w:r>
    </w:p>
    <w:p>
      <w:pPr>
        <w:pStyle w:val="Normal"/>
        <w:jc w:val="both"/>
        <w:rPr>
          <w:lang w:val="en-US" w:eastAsia="en-GB"/>
        </w:rPr>
      </w:pPr>
      <w:r>
        <w:rPr>
          <w:lang w:val="en-US" w:eastAsia="en-GB"/>
        </w:rPr>
      </w:r>
    </w:p>
    <w:p>
      <w:pPr>
        <w:pStyle w:val="Normal"/>
        <w:jc w:val="both"/>
        <w:rPr>
          <w:lang w:val="en-US"/>
        </w:rPr>
      </w:pPr>
      <w:r>
        <w:rPr>
          <w:b/>
          <w:bCs/>
          <w:lang w:val="en-US" w:eastAsia="en-GB"/>
        </w:rPr>
        <w:t>Proposal 12:</w:t>
      </w:r>
      <w:r>
        <w:rPr>
          <w:lang w:val="en-US" w:eastAsia="en-GB"/>
        </w:rPr>
        <w:t xml:space="preserve">  Source-CU sends Handover Cancel to all the Candidate-CUs after the completion of subsequent LTM duration.</w:t>
      </w:r>
    </w:p>
    <w:p>
      <w:pPr>
        <w:pStyle w:val="Heading1"/>
        <w:rPr/>
      </w:pPr>
      <w:r>
        <w:rPr/>
        <w:t>References</w:t>
      </w:r>
    </w:p>
    <w:p>
      <w:pPr>
        <w:pStyle w:val="Normal"/>
        <w:rPr/>
      </w:pPr>
      <w:r>
        <w:rPr/>
        <w:t>[1] Revised Work Item: NR mobility enhancements Phase 4. RP-240299, Apple Inc, China Telecom</w:t>
      </w:r>
    </w:p>
    <w:p>
      <w:pPr>
        <w:pStyle w:val="Normal"/>
        <w:rPr/>
      </w:pPr>
      <w:r>
        <w:rPr/>
        <w:t>[2] R2-2405062, Discussion on inter-CU LTM, ZTE Corporation</w:t>
      </w:r>
    </w:p>
    <w:p>
      <w:pPr>
        <w:pStyle w:val="Normal"/>
        <w:rPr/>
      </w:pPr>
      <w:r>
        <w:rPr/>
        <w:t>[2] LTM enhancements for Inter-CU mobility, R2-2403238, CEWiT</w:t>
      </w:r>
    </w:p>
    <w:p>
      <w:pPr>
        <w:pStyle w:val="Normal"/>
        <w:rPr/>
      </w:pPr>
      <w:r>
        <w:rPr/>
        <w:t>[3] Report of 3GPP TSG RAN WG2 meeting #126, Fukuoka, Japan</w:t>
      </w:r>
    </w:p>
    <w:p>
      <w:pPr>
        <w:pStyle w:val="Normal"/>
        <w:rPr/>
      </w:pPr>
      <w:r>
        <w:rPr/>
        <w:t>[4] A Comprehensive Formal Analysis of 5G Handover; Aleksi Peltonen et.al.</w:t>
      </w:r>
    </w:p>
    <w:p>
      <w:pPr>
        <w:pStyle w:val="Normal"/>
        <w:rPr/>
      </w:pPr>
      <w:r>
        <w:rPr/>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rial">
    <w:charset w:val="01" w:characterSet="utf-8"/>
    <w:family w:val="roman"/>
    <w:pitch w:val="variable"/>
  </w:font>
  <w:font w:name="Liberation Sans">
    <w:altName w:val="Arial"/>
    <w:charset w:val="01" w:characterSet="utf-8"/>
    <w:family w:val="roman"/>
    <w:pitch w:val="variable"/>
  </w:font>
  <w:font w:name="Wingdings">
    <w:charset w:val="02"/>
    <w:family w:val="auto"/>
    <w:pitch w:val="default"/>
  </w:font>
  <w:font w:name="Calibri">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rPr/>
    </w:lvl>
    <w:lvl w:ilvl="1">
      <w:start w:val="1"/>
      <w:numFmt w:val="none"/>
      <w:suff w:val="nothing"/>
      <w:lvlText w:val="%2"/>
      <w:lvlJc w:val="start"/>
      <w:pPr>
        <w:tabs>
          <w:tab w:val="num" w:pos="0"/>
        </w:tabs>
        <w:ind w:start="0" w:hanging="0"/>
      </w:pPr>
      <w:rPr/>
    </w:lvl>
    <w:lvl w:ilvl="2">
      <w:start w:val="1"/>
      <w:numFmt w:val="none"/>
      <w:suff w:val="nothing"/>
      <w:lvlText w:val="%3"/>
      <w:lvlJc w:val="start"/>
      <w:pPr>
        <w:tabs>
          <w:tab w:val="num" w:pos="0"/>
        </w:tabs>
        <w:ind w:start="0" w:hanging="0"/>
      </w:pPr>
      <w:rPr/>
    </w:lvl>
    <w:lvl w:ilvl="3">
      <w:start w:val="1"/>
      <w:numFmt w:val="none"/>
      <w:suff w:val="nothing"/>
      <w:lvlText w:val="%4"/>
      <w:lvlJc w:val="start"/>
      <w:pPr>
        <w:tabs>
          <w:tab w:val="num" w:pos="0"/>
        </w:tabs>
        <w:ind w:start="0" w:hanging="0"/>
      </w:pPr>
      <w:rPr/>
    </w:lvl>
    <w:lvl w:ilvl="4">
      <w:start w:val="1"/>
      <w:numFmt w:val="none"/>
      <w:suff w:val="nothing"/>
      <w:lvlText w:val="%5"/>
      <w:lvlJc w:val="start"/>
      <w:pPr>
        <w:tabs>
          <w:tab w:val="num" w:pos="0"/>
        </w:tabs>
        <w:ind w:start="0" w:hanging="0"/>
      </w:pPr>
      <w:rPr/>
    </w:lvl>
    <w:lvl w:ilvl="5">
      <w:start w:val="1"/>
      <w:numFmt w:val="none"/>
      <w:suff w:val="nothing"/>
      <w:lvlText w:val="%6"/>
      <w:lvlJc w:val="start"/>
      <w:pPr>
        <w:tabs>
          <w:tab w:val="num" w:pos="0"/>
        </w:tabs>
        <w:ind w:start="0" w:hanging="0"/>
      </w:pPr>
      <w:rPr/>
    </w:lvl>
    <w:lvl w:ilvl="6">
      <w:start w:val="1"/>
      <w:numFmt w:val="none"/>
      <w:suff w:val="nothing"/>
      <w:lvlText w:val="%7"/>
      <w:lvlJc w:val="start"/>
      <w:pPr>
        <w:tabs>
          <w:tab w:val="num" w:pos="0"/>
        </w:tabs>
        <w:ind w:start="0" w:hanging="0"/>
      </w:pPr>
      <w:rPr/>
    </w:lvl>
    <w:lvl w:ilvl="7">
      <w:start w:val="1"/>
      <w:numFmt w:val="none"/>
      <w:suff w:val="nothing"/>
      <w:lvlText w:val="%8"/>
      <w:lvlJc w:val="start"/>
      <w:pPr>
        <w:tabs>
          <w:tab w:val="num" w:pos="0"/>
        </w:tabs>
        <w:ind w:start="0" w:hanging="0"/>
      </w:pPr>
      <w:rPr/>
    </w:lvl>
    <w:lvl w:ilvl="8">
      <w:start w:val="1"/>
      <w:numFmt w:val="none"/>
      <w:suff w:val="nothing"/>
      <w:lvlText w:val="%9"/>
      <w:lvlJc w:val="start"/>
      <w:pPr>
        <w:tabs>
          <w:tab w:val="num" w:pos="0"/>
        </w:tabs>
        <w:ind w:start="0" w:hanging="0"/>
      </w:pPr>
      <w:rPr/>
    </w:lvl>
  </w:abstractNum>
  <w:abstractNum w:abstractNumId="2">
    <w:lvl w:ilvl="0">
      <w:start w:val="1"/>
      <w:numFmt w:val="decimal"/>
      <w:lvlText w:val="%1"/>
      <w:lvlJc w:val="start"/>
      <w:pPr>
        <w:tabs>
          <w:tab w:val="num" w:pos="0"/>
        </w:tabs>
        <w:ind w:start="1490" w:hanging="113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bullet"/>
      <w:lvlText w:val=""/>
      <w:lvlJc w:val="start"/>
      <w:pPr>
        <w:tabs>
          <w:tab w:val="num" w:pos="0"/>
        </w:tabs>
        <w:ind w:start="480" w:hanging="480"/>
      </w:pPr>
      <w:rPr>
        <w:rFonts w:ascii="Wingdings" w:hAnsi="Wingdings" w:cs="Wingdings" w:hint="default"/>
      </w:rPr>
    </w:lvl>
    <w:lvl w:ilvl="1">
      <w:start w:val="1"/>
      <w:numFmt w:val="bullet"/>
      <w:lvlText w:val="-"/>
      <w:lvlJc w:val="start"/>
      <w:pPr>
        <w:tabs>
          <w:tab w:val="num" w:pos="0"/>
        </w:tabs>
        <w:ind w:start="960" w:hanging="480"/>
      </w:pPr>
      <w:rPr>
        <w:rFonts w:ascii="Calibri" w:hAnsi="Calibri" w:cs="Calibri" w:hint="default"/>
      </w:rPr>
    </w:lvl>
    <w:lvl w:ilvl="2">
      <w:start w:val="1"/>
      <w:numFmt w:val="bullet"/>
      <w:lvlText w:val=""/>
      <w:lvlJc w:val="start"/>
      <w:pPr>
        <w:tabs>
          <w:tab w:val="num" w:pos="0"/>
        </w:tabs>
        <w:ind w:start="1440" w:hanging="480"/>
      </w:pPr>
      <w:rPr>
        <w:rFonts w:ascii="Wingdings" w:hAnsi="Wingdings" w:cs="Wingdings" w:hint="default"/>
      </w:rPr>
    </w:lvl>
    <w:lvl w:ilvl="3">
      <w:start w:val="1"/>
      <w:numFmt w:val="bullet"/>
      <w:lvlText w:val=""/>
      <w:lvlJc w:val="start"/>
      <w:pPr>
        <w:tabs>
          <w:tab w:val="num" w:pos="0"/>
        </w:tabs>
        <w:ind w:start="1920" w:hanging="480"/>
      </w:pPr>
      <w:rPr>
        <w:rFonts w:ascii="Wingdings" w:hAnsi="Wingdings" w:cs="Wingdings" w:hint="default"/>
      </w:rPr>
    </w:lvl>
    <w:lvl w:ilvl="4">
      <w:start w:val="1"/>
      <w:numFmt w:val="bullet"/>
      <w:lvlText w:val=""/>
      <w:lvlJc w:val="start"/>
      <w:pPr>
        <w:tabs>
          <w:tab w:val="num" w:pos="0"/>
        </w:tabs>
        <w:ind w:start="2400" w:hanging="480"/>
      </w:pPr>
      <w:rPr>
        <w:rFonts w:ascii="Wingdings" w:hAnsi="Wingdings" w:cs="Wingdings" w:hint="default"/>
      </w:rPr>
    </w:lvl>
    <w:lvl w:ilvl="5">
      <w:start w:val="1"/>
      <w:numFmt w:val="bullet"/>
      <w:lvlText w:val=""/>
      <w:lvlJc w:val="start"/>
      <w:pPr>
        <w:tabs>
          <w:tab w:val="num" w:pos="0"/>
        </w:tabs>
        <w:ind w:start="2880" w:hanging="480"/>
      </w:pPr>
      <w:rPr>
        <w:rFonts w:ascii="Wingdings" w:hAnsi="Wingdings" w:cs="Wingdings" w:hint="default"/>
      </w:rPr>
    </w:lvl>
    <w:lvl w:ilvl="6">
      <w:start w:val="1"/>
      <w:numFmt w:val="bullet"/>
      <w:lvlText w:val=""/>
      <w:lvlJc w:val="start"/>
      <w:pPr>
        <w:tabs>
          <w:tab w:val="num" w:pos="0"/>
        </w:tabs>
        <w:ind w:start="3360" w:hanging="480"/>
      </w:pPr>
      <w:rPr>
        <w:rFonts w:ascii="Wingdings" w:hAnsi="Wingdings" w:cs="Wingdings" w:hint="default"/>
      </w:rPr>
    </w:lvl>
    <w:lvl w:ilvl="7">
      <w:start w:val="1"/>
      <w:numFmt w:val="bullet"/>
      <w:lvlText w:val=""/>
      <w:lvlJc w:val="start"/>
      <w:pPr>
        <w:tabs>
          <w:tab w:val="num" w:pos="0"/>
        </w:tabs>
        <w:ind w:start="3840" w:hanging="480"/>
      </w:pPr>
      <w:rPr>
        <w:rFonts w:ascii="Wingdings" w:hAnsi="Wingdings" w:cs="Wingdings" w:hint="default"/>
      </w:rPr>
    </w:lvl>
    <w:lvl w:ilvl="8">
      <w:start w:val="1"/>
      <w:numFmt w:val="bullet"/>
      <w:lvlText w:val=""/>
      <w:lvlJc w:val="start"/>
      <w:pPr>
        <w:tabs>
          <w:tab w:val="num" w:pos="0"/>
        </w:tabs>
        <w:ind w:start="4320" w:hanging="480"/>
      </w:pPr>
      <w:rPr>
        <w:rFonts w:ascii="Wingdings" w:hAnsi="Wingdings" w:cs="Wingdings" w:hint="default"/>
      </w:rPr>
    </w:lvl>
  </w:abstractNum>
  <w:abstractNum w:abstractNumId="4">
    <w:lvl w:ilvl="0">
      <w:start w:val="1"/>
      <w:numFmt w:val="decimal"/>
      <w:lvlText w:val="%1."/>
      <w:lvlJc w:val="start"/>
      <w:pPr>
        <w:tabs>
          <w:tab w:val="num" w:pos="2160"/>
        </w:tabs>
        <w:ind w:start="3779" w:hanging="360"/>
      </w:pPr>
      <w:rPr/>
    </w:lvl>
    <w:lvl w:ilvl="1">
      <w:start w:val="1"/>
      <w:numFmt w:val="lowerLetter"/>
      <w:lvlText w:val="%2."/>
      <w:lvlJc w:val="start"/>
      <w:pPr>
        <w:tabs>
          <w:tab w:val="num" w:pos="2160"/>
        </w:tabs>
        <w:ind w:start="4499" w:hanging="360"/>
      </w:pPr>
      <w:rPr/>
    </w:lvl>
    <w:lvl w:ilvl="2">
      <w:start w:val="1"/>
      <w:numFmt w:val="lowerRoman"/>
      <w:lvlText w:val="%3."/>
      <w:lvlJc w:val="end"/>
      <w:pPr>
        <w:tabs>
          <w:tab w:val="num" w:pos="2160"/>
        </w:tabs>
        <w:ind w:start="5219" w:hanging="180"/>
      </w:pPr>
      <w:rPr/>
    </w:lvl>
    <w:lvl w:ilvl="3">
      <w:start w:val="1"/>
      <w:numFmt w:val="decimal"/>
      <w:lvlText w:val="%4."/>
      <w:lvlJc w:val="start"/>
      <w:pPr>
        <w:tabs>
          <w:tab w:val="num" w:pos="2160"/>
        </w:tabs>
        <w:ind w:start="5939" w:hanging="360"/>
      </w:pPr>
      <w:rPr/>
    </w:lvl>
    <w:lvl w:ilvl="4">
      <w:start w:val="1"/>
      <w:numFmt w:val="lowerLetter"/>
      <w:lvlText w:val="%5."/>
      <w:lvlJc w:val="start"/>
      <w:pPr>
        <w:tabs>
          <w:tab w:val="num" w:pos="2160"/>
        </w:tabs>
        <w:ind w:start="6659" w:hanging="360"/>
      </w:pPr>
      <w:rPr/>
    </w:lvl>
    <w:lvl w:ilvl="5">
      <w:start w:val="1"/>
      <w:numFmt w:val="lowerRoman"/>
      <w:lvlText w:val="%6."/>
      <w:lvlJc w:val="end"/>
      <w:pPr>
        <w:tabs>
          <w:tab w:val="num" w:pos="2160"/>
        </w:tabs>
        <w:ind w:start="7379" w:hanging="180"/>
      </w:pPr>
      <w:rPr/>
    </w:lvl>
    <w:lvl w:ilvl="6">
      <w:start w:val="1"/>
      <w:numFmt w:val="decimal"/>
      <w:lvlText w:val="%7."/>
      <w:lvlJc w:val="start"/>
      <w:pPr>
        <w:tabs>
          <w:tab w:val="num" w:pos="2160"/>
        </w:tabs>
        <w:ind w:start="8099" w:hanging="360"/>
      </w:pPr>
      <w:rPr/>
    </w:lvl>
    <w:lvl w:ilvl="7">
      <w:start w:val="1"/>
      <w:numFmt w:val="lowerLetter"/>
      <w:lvlText w:val="%8."/>
      <w:lvlJc w:val="start"/>
      <w:pPr>
        <w:tabs>
          <w:tab w:val="num" w:pos="2160"/>
        </w:tabs>
        <w:ind w:start="8819" w:hanging="360"/>
      </w:pPr>
      <w:rPr/>
    </w:lvl>
    <w:lvl w:ilvl="8">
      <w:start w:val="1"/>
      <w:numFmt w:val="lowerRoman"/>
      <w:lvlText w:val="%9."/>
      <w:lvlJc w:val="end"/>
      <w:pPr>
        <w:tabs>
          <w:tab w:val="num" w:pos="2160"/>
        </w:tabs>
        <w:ind w:start="9539" w:hanging="180"/>
      </w:pPr>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next w:val="Normal"/>
    <w:uiPriority w:val="9"/>
    <w:qFormat/>
    <w:pPr>
      <w:keepNext w:val="true"/>
      <w:keepLines/>
      <w:widowControl/>
      <w:pBdr>
        <w:top w:val="single" w:sz="12" w:space="3" w:color="000000"/>
      </w:pBdr>
      <w:suppressAutoHyphens w:val="true"/>
      <w:bidi w:val="0"/>
      <w:spacing w:before="240" w:after="180"/>
      <w:ind w:start="1134" w:hanging="1134"/>
      <w:jc w:val="star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uiPriority w:val="9"/>
    <w:unhideWhenUsed/>
    <w:qFormat/>
    <w:pPr>
      <w:pBdr>
        <w:top w:val="nil"/>
      </w:pBdr>
      <w:spacing w:before="180" w:after="180"/>
      <w:outlineLvl w:val="1"/>
    </w:pPr>
    <w:rPr>
      <w:sz w:val="32"/>
    </w:rPr>
  </w:style>
  <w:style w:type="paragraph" w:styleId="Heading3">
    <w:name w:val="Heading 3"/>
    <w:basedOn w:val="Heading"/>
    <w:next w:val="TextBody"/>
    <w:uiPriority w:val="9"/>
    <w:semiHidden/>
    <w:unhideWhenUsed/>
    <w:qFormat/>
    <w:pPr>
      <w:numPr>
        <w:ilvl w:val="2"/>
        <w:numId w:val="1"/>
      </w:numPr>
      <w:spacing w:before="140" w:after="120"/>
      <w:outlineLvl w:val="2"/>
    </w:pPr>
    <w:rPr>
      <w:b/>
      <w:bCs/>
    </w:rPr>
  </w:style>
  <w:style w:type="character" w:styleId="DefaultParagraphFont" w:default="1">
    <w:name w:val="Default Paragraph Font"/>
    <w:uiPriority w:val="1"/>
    <w:semiHidden/>
    <w:unhideWhenUsed/>
    <w:qFormat/>
    <w:rPr/>
  </w:style>
  <w:style w:type="character" w:styleId="Quotation" w:customStyle="1">
    <w:name w:val="Quotation"/>
    <w:qFormat/>
    <w:rPr>
      <w:i/>
      <w:iCs/>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HeaderandFooter" w:customStyle="1">
    <w:name w:val="Header and Footer"/>
    <w:basedOn w:val="Normal"/>
    <w:qFormat/>
    <w:pPr>
      <w:suppressLineNumbers/>
      <w:tabs>
        <w:tab w:val="clear" w:pos="709"/>
        <w:tab w:val="center" w:pos="4819" w:leader="none"/>
        <w:tab w:val="right" w:pos="9638" w:leader="none"/>
      </w:tabs>
    </w:pPr>
    <w:rPr/>
  </w:style>
  <w:style w:type="paragraph" w:styleId="Header">
    <w:name w:val="Header"/>
    <w:pPr>
      <w:widowControl w:val="false"/>
      <w:suppressAutoHyphens w:val="true"/>
      <w:overflowPunct w:val="true"/>
      <w:bidi w:val="0"/>
      <w:spacing w:before="0" w:after="0"/>
      <w:jc w:val="start"/>
      <w:textAlignment w:val="baseline"/>
    </w:pPr>
    <w:rPr>
      <w:rFonts w:ascii="Arial" w:hAnsi="Arial" w:eastAsia="Times New Roman" w:cs="Times New Roman"/>
      <w:b/>
      <w:color w:val="auto"/>
      <w:kern w:val="0"/>
      <w:sz w:val="18"/>
      <w:szCs w:val="20"/>
      <w:lang w:val="en-GB" w:eastAsia="ja-JP" w:bidi="ar-SA"/>
    </w:rPr>
  </w:style>
  <w:style w:type="paragraph" w:styleId="CRCoverPage" w:customStyle="1">
    <w:name w:val="CR Cover Page"/>
    <w:qFormat/>
    <w:pPr>
      <w:widowControl/>
      <w:suppressAutoHyphens w:val="true"/>
      <w:bidi w:val="0"/>
      <w:spacing w:before="0" w:after="120"/>
      <w:jc w:val="start"/>
    </w:pPr>
    <w:rPr>
      <w:rFonts w:ascii="Arial" w:hAnsi="Arial" w:eastAsia="MS Mincho" w:cs="Times New Roman"/>
      <w:color w:val="auto"/>
      <w:kern w:val="0"/>
      <w:sz w:val="20"/>
      <w:szCs w:val="20"/>
      <w:lang w:val="en-GB" w:eastAsia="en-US" w:bidi="ar-SA"/>
    </w:rPr>
  </w:style>
  <w:style w:type="paragraph" w:styleId="Doctext2" w:customStyle="1">
    <w:name w:val="Doc-text2"/>
    <w:basedOn w:val="Normal"/>
    <w:qFormat/>
    <w:pPr>
      <w:tabs>
        <w:tab w:val="clear" w:pos="709"/>
        <w:tab w:val="left" w:pos="3244" w:leader="none"/>
      </w:tabs>
      <w:ind w:start="1622" w:hanging="363"/>
    </w:pPr>
    <w:rPr/>
  </w:style>
  <w:style w:type="paragraph" w:styleId="Quotations" w:customStyle="1">
    <w:name w:val="Quotations"/>
    <w:basedOn w:val="Normal"/>
    <w:qFormat/>
    <w:pPr>
      <w:spacing w:before="0" w:after="283"/>
      <w:ind w:start="567" w:end="567" w:hanging="0"/>
    </w:pPr>
    <w:rPr/>
  </w:style>
  <w:style w:type="paragraph" w:styleId="TableContents" w:customStyle="1">
    <w:name w:val="Table Contents"/>
    <w:basedOn w:val="Normal"/>
    <w:qFormat/>
    <w:pPr>
      <w:widowControl w:val="false"/>
      <w:suppressLineNumber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171</TotalTime>
  <Application>LibreOffice/7.3.7.2$Linux_X86_64 LibreOffice_project/30$Build-2</Application>
  <AppVersion>15.0000</AppVersion>
  <Pages>7</Pages>
  <Words>1808</Words>
  <Characters>9215</Characters>
  <CharactersWithSpaces>10928</CharactersWithSpaces>
  <Paragraphs>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2024-08-09T12:39:23Z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