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302" w:rsidRDefault="008C2302" w:rsidP="008C2302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</w:t>
      </w:r>
      <w:r w:rsidR="004703FD">
        <w:rPr>
          <w:rFonts w:eastAsia="宋体"/>
          <w:b/>
          <w:szCs w:val="22"/>
          <w:lang w:val="en-US" w:eastAsia="zh-CN" w:bidi="ar"/>
        </w:rPr>
        <w:t>-RAN WG2 Meeting #127</w:t>
      </w:r>
      <w:r w:rsidR="00054FF0">
        <w:rPr>
          <w:rFonts w:eastAsia="宋体"/>
          <w:b/>
          <w:szCs w:val="22"/>
          <w:lang w:val="en-US" w:eastAsia="zh-CN" w:bidi="ar"/>
        </w:rPr>
        <w:tab/>
        <w:t>R2-240</w:t>
      </w:r>
      <w:r w:rsidR="005145DD">
        <w:rPr>
          <w:rFonts w:eastAsia="宋体"/>
          <w:b/>
          <w:szCs w:val="22"/>
          <w:lang w:val="en-US" w:eastAsia="zh-CN" w:bidi="ar"/>
        </w:rPr>
        <w:t>7329</w:t>
      </w:r>
    </w:p>
    <w:p w:rsidR="00E60355" w:rsidRPr="00E60355" w:rsidRDefault="00E60355" w:rsidP="00E60355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 w:rsidRPr="00E60355">
        <w:rPr>
          <w:rFonts w:eastAsia="宋体"/>
          <w:b/>
          <w:szCs w:val="22"/>
          <w:lang w:val="en-US" w:eastAsia="zh-CN" w:bidi="ar"/>
        </w:rPr>
        <w:t>Maastricht, Netherlands, Aug 19th – 23rd, 2024</w:t>
      </w:r>
    </w:p>
    <w:p w:rsidR="00521C86" w:rsidRPr="008C2302" w:rsidRDefault="00521C8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hAnsi="Arial" w:cs="Arial"/>
          <w:b/>
          <w:bCs/>
          <w:sz w:val="24"/>
        </w:rPr>
      </w:pP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Source:       </w:t>
      </w:r>
      <w:r w:rsidR="00065F9F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</w:t>
      </w:r>
      <w:r w:rsidR="00E60355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</w:t>
      </w: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ZTE Corporation, </w:t>
      </w:r>
      <w:proofErr w:type="spellStart"/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Sanechips</w:t>
      </w:r>
      <w:proofErr w:type="spellEnd"/>
    </w:p>
    <w:p w:rsidR="00E60355" w:rsidRDefault="00466246" w:rsidP="00065F9F">
      <w:pPr>
        <w:ind w:left="1928" w:hangingChars="800" w:hanging="1928"/>
        <w:jc w:val="left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Title:           </w:t>
      </w:r>
      <w:r w:rsidR="00E60355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Consideration on the intra-band EN-DC Channel S</w:t>
      </w:r>
      <w:r w:rsidR="00E60355" w:rsidRPr="00E60355">
        <w:rPr>
          <w:rFonts w:ascii="Arial" w:eastAsia="宋体" w:hAnsi="Arial" w:cs="Arial"/>
          <w:b/>
          <w:sz w:val="24"/>
          <w:szCs w:val="22"/>
          <w:lang w:val="en-US" w:eastAsia="zh-CN" w:bidi="ar"/>
        </w:rPr>
        <w:t>pacing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Agenda item:</w:t>
      </w:r>
      <w:bookmarkStart w:id="0" w:name="Source"/>
      <w:bookmarkEnd w:id="0"/>
      <w:r w:rsidR="000B43BF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 7.24.1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Document for:</w:t>
      </w:r>
      <w:bookmarkStart w:id="1" w:name="DocumentFor"/>
      <w:bookmarkEnd w:id="1"/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Discussion and Decision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332BFC" w:rsidRPr="00F57D58" w:rsidRDefault="00332BFC" w:rsidP="00332BFC">
      <w:pPr>
        <w:rPr>
          <w:rFonts w:eastAsiaTheme="minorEastAsia"/>
          <w:sz w:val="21"/>
          <w:szCs w:val="21"/>
          <w:lang w:eastAsia="zh-CN"/>
        </w:rPr>
      </w:pPr>
      <w:r w:rsidRPr="00F57D58">
        <w:rPr>
          <w:rFonts w:eastAsiaTheme="minorEastAsia" w:hint="eastAsia"/>
          <w:sz w:val="21"/>
          <w:szCs w:val="21"/>
          <w:lang w:eastAsia="zh-CN"/>
        </w:rPr>
        <w:t>A</w:t>
      </w:r>
      <w:r w:rsidRPr="00F57D58">
        <w:rPr>
          <w:rFonts w:eastAsiaTheme="minorEastAsia"/>
          <w:sz w:val="21"/>
          <w:szCs w:val="21"/>
          <w:lang w:eastAsia="zh-CN"/>
        </w:rPr>
        <w:t xml:space="preserve">bout the capability for the </w:t>
      </w:r>
      <w:r w:rsidR="009B5C74">
        <w:rPr>
          <w:rFonts w:eastAsiaTheme="minorEastAsia"/>
          <w:sz w:val="21"/>
          <w:szCs w:val="21"/>
          <w:lang w:eastAsia="zh-CN"/>
        </w:rPr>
        <w:t>intra-band EN-DC Channel Spacing</w:t>
      </w:r>
      <w:r w:rsidRPr="00F57D58">
        <w:rPr>
          <w:rFonts w:eastAsiaTheme="minorEastAsia"/>
          <w:sz w:val="21"/>
          <w:szCs w:val="21"/>
          <w:lang w:eastAsia="zh-CN"/>
        </w:rPr>
        <w:t>, a LS</w:t>
      </w:r>
      <w:r w:rsidR="008E0909">
        <w:rPr>
          <w:rFonts w:eastAsiaTheme="minorEastAsia"/>
          <w:sz w:val="21"/>
          <w:szCs w:val="21"/>
          <w:lang w:eastAsia="zh-CN"/>
        </w:rPr>
        <w:t xml:space="preserve"> </w:t>
      </w:r>
      <w:r w:rsidR="009B5C74">
        <w:rPr>
          <w:rFonts w:eastAsiaTheme="minorEastAsia"/>
          <w:sz w:val="21"/>
          <w:szCs w:val="21"/>
          <w:lang w:eastAsia="zh-CN"/>
        </w:rPr>
        <w:t>[1] was re</w:t>
      </w:r>
      <w:r w:rsidR="005145DD">
        <w:rPr>
          <w:rFonts w:eastAsiaTheme="minorEastAsia"/>
          <w:sz w:val="21"/>
          <w:szCs w:val="21"/>
          <w:lang w:eastAsia="zh-CN"/>
        </w:rPr>
        <w:t>ceived on the intra-band EN-DC c</w:t>
      </w:r>
      <w:r w:rsidR="009B5C74">
        <w:rPr>
          <w:rFonts w:eastAsiaTheme="minorEastAsia"/>
          <w:sz w:val="21"/>
          <w:szCs w:val="21"/>
          <w:lang w:eastAsia="zh-CN"/>
        </w:rPr>
        <w:t xml:space="preserve">hannel </w:t>
      </w:r>
      <w:r w:rsidR="005145DD">
        <w:rPr>
          <w:rFonts w:eastAsiaTheme="minorEastAsia"/>
          <w:sz w:val="21"/>
          <w:szCs w:val="21"/>
          <w:lang w:eastAsia="zh-CN"/>
        </w:rPr>
        <w:t>s</w:t>
      </w:r>
      <w:r w:rsidR="00E74A83">
        <w:rPr>
          <w:rFonts w:eastAsiaTheme="minorEastAsia"/>
          <w:sz w:val="21"/>
          <w:szCs w:val="21"/>
          <w:lang w:eastAsia="zh-CN"/>
        </w:rPr>
        <w:t>pacing.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32BFC" w:rsidTr="00332BFC">
        <w:tc>
          <w:tcPr>
            <w:tcW w:w="9350" w:type="dxa"/>
          </w:tcPr>
          <w:p w:rsidR="009B5C74" w:rsidRPr="00EE7DB3" w:rsidRDefault="009B5C74" w:rsidP="009B5C74">
            <w:pPr>
              <w:snapToGrid w:val="0"/>
              <w:spacing w:after="120"/>
              <w:rPr>
                <w:szCs w:val="21"/>
              </w:rPr>
            </w:pPr>
            <w:r w:rsidRPr="00EE7DB3">
              <w:rPr>
                <w:szCs w:val="21"/>
              </w:rPr>
              <w:t xml:space="preserve">With the UE capability, it is noticed that in the field, some UEs indicating ‘non-contiguous’ via </w:t>
            </w:r>
            <w:proofErr w:type="spellStart"/>
            <w:r w:rsidRPr="00EE7DB3">
              <w:rPr>
                <w:i/>
                <w:szCs w:val="21"/>
              </w:rPr>
              <w:t>intraBandENDC</w:t>
            </w:r>
            <w:proofErr w:type="spellEnd"/>
            <w:r w:rsidRPr="00EE7DB3">
              <w:rPr>
                <w:i/>
                <w:szCs w:val="21"/>
              </w:rPr>
              <w:t>-Support</w:t>
            </w:r>
            <w:r w:rsidRPr="00EE7DB3">
              <w:rPr>
                <w:szCs w:val="21"/>
              </w:rPr>
              <w:t xml:space="preserve"> cannot access to the NW configuring intra-band contiguous EN-DC. The UE can only access to single carrier rather than intra-band EN-DC, which degrades the UE performance.</w:t>
            </w:r>
          </w:p>
          <w:p w:rsidR="00332BFC" w:rsidRPr="00332BFC" w:rsidRDefault="009B5C74" w:rsidP="009B5C74">
            <w:pPr>
              <w:snapToGrid w:val="0"/>
              <w:spacing w:after="120"/>
              <w:rPr>
                <w:rFonts w:eastAsiaTheme="minorEastAsia"/>
                <w:lang w:eastAsia="zh-CN"/>
              </w:rPr>
            </w:pPr>
            <w:r w:rsidRPr="00EE7DB3">
              <w:rPr>
                <w:szCs w:val="21"/>
              </w:rPr>
              <w:t xml:space="preserve">Considering the capability of </w:t>
            </w:r>
            <w:proofErr w:type="spellStart"/>
            <w:r w:rsidRPr="00EE7DB3">
              <w:rPr>
                <w:i/>
                <w:szCs w:val="21"/>
              </w:rPr>
              <w:t>intraBandENDC</w:t>
            </w:r>
            <w:proofErr w:type="spellEnd"/>
            <w:r w:rsidRPr="00EE7DB3">
              <w:rPr>
                <w:i/>
                <w:szCs w:val="21"/>
              </w:rPr>
              <w:t>-Support</w:t>
            </w:r>
            <w:r w:rsidRPr="00EE7DB3">
              <w:rPr>
                <w:szCs w:val="21"/>
              </w:rPr>
              <w:t xml:space="preserve"> has been implemented for several releases, to make up for the problem, RAN4 agrees to introduce a new capability to support intra-band non-contiguous with nominal channel spacing. In RAN4 spec, nominal channel spacing between E-UTRA carrier and an adjacent NR carrier is defined for intra-band contiguous EN-DC in TS 38.101-3.</w:t>
            </w:r>
          </w:p>
        </w:tc>
      </w:tr>
    </w:tbl>
    <w:p w:rsidR="00332BFC" w:rsidRPr="00F57D58" w:rsidRDefault="00332BFC" w:rsidP="00332BFC">
      <w:pPr>
        <w:rPr>
          <w:rFonts w:eastAsiaTheme="minorEastAsia"/>
          <w:sz w:val="21"/>
          <w:szCs w:val="21"/>
          <w:lang w:eastAsia="zh-CN"/>
        </w:rPr>
      </w:pPr>
      <w:r w:rsidRPr="00F57D58">
        <w:rPr>
          <w:rFonts w:eastAsiaTheme="minorEastAsia" w:hint="eastAsia"/>
          <w:sz w:val="21"/>
          <w:szCs w:val="21"/>
          <w:lang w:eastAsia="zh-CN"/>
        </w:rPr>
        <w:t>I</w:t>
      </w:r>
      <w:r w:rsidRPr="00F57D58">
        <w:rPr>
          <w:rFonts w:eastAsiaTheme="minorEastAsia"/>
          <w:sz w:val="21"/>
          <w:szCs w:val="21"/>
          <w:lang w:eastAsia="zh-CN"/>
        </w:rPr>
        <w:t xml:space="preserve">n this paper, we’d like to share our </w:t>
      </w:r>
      <w:r w:rsidR="00E60355">
        <w:rPr>
          <w:rFonts w:eastAsiaTheme="minorEastAsia"/>
          <w:sz w:val="21"/>
          <w:szCs w:val="21"/>
          <w:lang w:eastAsia="zh-CN"/>
        </w:rPr>
        <w:t xml:space="preserve">views on </w:t>
      </w:r>
      <w:r w:rsidR="00E74A83">
        <w:rPr>
          <w:rFonts w:eastAsiaTheme="minorEastAsia"/>
          <w:sz w:val="21"/>
          <w:szCs w:val="21"/>
          <w:lang w:eastAsia="zh-CN"/>
        </w:rPr>
        <w:t>this LS.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332BFC" w:rsidRDefault="00E74A83" w:rsidP="00332BFC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In this chapter, we first share some observations on the problem described in this LS, and then give the proposals on this issue.</w:t>
      </w:r>
    </w:p>
    <w:p w:rsidR="00E74A83" w:rsidRDefault="00E74A83" w:rsidP="00332BFC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From the LS, it </w:t>
      </w:r>
      <w:r w:rsidR="005145DD">
        <w:rPr>
          <w:rFonts w:eastAsiaTheme="minorEastAsia"/>
          <w:sz w:val="21"/>
          <w:szCs w:val="21"/>
          <w:lang w:eastAsia="zh-CN"/>
        </w:rPr>
        <w:t>mentioned that</w:t>
      </w:r>
      <w:r>
        <w:rPr>
          <w:rFonts w:eastAsiaTheme="minorEastAsia"/>
          <w:sz w:val="21"/>
          <w:szCs w:val="21"/>
          <w:lang w:eastAsia="zh-CN"/>
        </w:rPr>
        <w:t xml:space="preserve"> until now the UE can only support two cases (i.e</w:t>
      </w:r>
      <w:r w:rsidR="00EE7DB3">
        <w:rPr>
          <w:rFonts w:eastAsiaTheme="minorEastAsia"/>
          <w:sz w:val="21"/>
          <w:szCs w:val="21"/>
          <w:lang w:eastAsia="zh-CN"/>
        </w:rPr>
        <w:t>.</w:t>
      </w:r>
      <w:r>
        <w:rPr>
          <w:rFonts w:eastAsiaTheme="minorEastAsia"/>
          <w:sz w:val="21"/>
          <w:szCs w:val="21"/>
          <w:lang w:eastAsia="zh-CN"/>
        </w:rPr>
        <w:t xml:space="preserve"> contiguous and both), but the RAN2 defined 3 cases.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4A83" w:rsidTr="00E74A83">
        <w:tc>
          <w:tcPr>
            <w:tcW w:w="9350" w:type="dxa"/>
          </w:tcPr>
          <w:p w:rsidR="00E74A83" w:rsidRPr="00563794" w:rsidRDefault="00E74A83" w:rsidP="00E74A83">
            <w:pPr>
              <w:snapToGrid w:val="0"/>
              <w:spacing w:after="120"/>
            </w:pPr>
            <w:r w:rsidRPr="00563794">
              <w:t xml:space="preserve">In Rel-15, RAN4 sent the LS R4-1813862 to RAN2 for intra-band MR-DC band combination </w:t>
            </w:r>
            <w:proofErr w:type="spellStart"/>
            <w:r w:rsidRPr="00563794">
              <w:t>signaling</w:t>
            </w:r>
            <w:proofErr w:type="spellEnd"/>
            <w:r w:rsidRPr="00563794">
              <w:t xml:space="preserve">, with the assumptions that if a UE supports intra-band non-contiguous EN-DC, it </w:t>
            </w:r>
            <w:r w:rsidRPr="00563794">
              <w:rPr>
                <w:highlight w:val="yellow"/>
              </w:rPr>
              <w:t>also</w:t>
            </w:r>
            <w:r w:rsidRPr="00563794">
              <w:t xml:space="preserve"> supports contiguous in the same band.</w:t>
            </w:r>
          </w:p>
          <w:p w:rsidR="00E74A83" w:rsidRDefault="00E74A83" w:rsidP="00E74A83">
            <w:pPr>
              <w:snapToGrid w:val="0"/>
              <w:spacing w:after="120"/>
              <w:rPr>
                <w:rFonts w:eastAsiaTheme="minorEastAsia"/>
                <w:sz w:val="21"/>
                <w:szCs w:val="21"/>
                <w:lang w:eastAsia="zh-CN"/>
              </w:rPr>
            </w:pPr>
            <w:r w:rsidRPr="00563794">
              <w:t xml:space="preserve">And then the capability of </w:t>
            </w:r>
            <w:proofErr w:type="spellStart"/>
            <w:r w:rsidRPr="00563794">
              <w:rPr>
                <w:i/>
              </w:rPr>
              <w:t>intraBandENDC</w:t>
            </w:r>
            <w:proofErr w:type="spellEnd"/>
            <w:r w:rsidRPr="00563794">
              <w:rPr>
                <w:i/>
              </w:rPr>
              <w:t>-Support</w:t>
            </w:r>
            <w:r w:rsidRPr="00563794">
              <w:t xml:space="preserve"> was introduced in TS 38.306 as follows, with three states, including: contiguous (</w:t>
            </w:r>
            <w:r w:rsidRPr="00563794">
              <w:rPr>
                <w:bCs/>
                <w:iCs/>
              </w:rPr>
              <w:t>not include</w:t>
            </w:r>
            <w:r w:rsidRPr="00563794">
              <w:t xml:space="preserve">), non-contiguous and ‘both’. However, from RAN4’s perspective, UE implementing ‘non-contiguous’ needs more stringent capability. In this case, if a UE supports ‘non-contiguous’, it should not preclude the support of ‘contiguous’ in the same band. </w:t>
            </w:r>
            <w:r w:rsidRPr="00563794">
              <w:rPr>
                <w:highlight w:val="green"/>
              </w:rPr>
              <w:t>The capability UE reports should reflect the implementation UE can support, rather than just for configurations.</w:t>
            </w:r>
          </w:p>
        </w:tc>
      </w:tr>
    </w:tbl>
    <w:p w:rsidR="00E74A83" w:rsidRPr="00E74A83" w:rsidRDefault="00E74A83" w:rsidP="00E74A83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However, from the RAN2 aspect, when design the ASN.1 signalling, the forward compatibility shall also be considered. Take the </w:t>
      </w:r>
      <w:proofErr w:type="spellStart"/>
      <w:r w:rsidRPr="00E74A83">
        <w:rPr>
          <w:rFonts w:eastAsiaTheme="minorEastAsia"/>
          <w:i/>
          <w:sz w:val="21"/>
          <w:szCs w:val="21"/>
          <w:lang w:eastAsia="zh-CN"/>
        </w:rPr>
        <w:t>intraBandENDC</w:t>
      </w:r>
      <w:proofErr w:type="spellEnd"/>
      <w:r w:rsidRPr="00E74A83">
        <w:rPr>
          <w:rFonts w:eastAsiaTheme="minorEastAsia"/>
          <w:i/>
          <w:sz w:val="21"/>
          <w:szCs w:val="21"/>
          <w:lang w:eastAsia="zh-CN"/>
        </w:rPr>
        <w:t>-Support</w:t>
      </w:r>
      <w:r>
        <w:rPr>
          <w:rFonts w:eastAsiaTheme="minorEastAsia"/>
          <w:i/>
          <w:sz w:val="21"/>
          <w:szCs w:val="21"/>
          <w:lang w:eastAsia="zh-CN"/>
        </w:rPr>
        <w:t xml:space="preserve"> </w:t>
      </w:r>
      <w:r w:rsidRPr="00E74A83">
        <w:rPr>
          <w:rFonts w:eastAsiaTheme="minorEastAsia"/>
          <w:sz w:val="21"/>
          <w:szCs w:val="21"/>
          <w:lang w:eastAsia="zh-CN"/>
        </w:rPr>
        <w:t xml:space="preserve">as an example, the non-contiguous only </w:t>
      </w:r>
      <w:r>
        <w:rPr>
          <w:rFonts w:eastAsiaTheme="minorEastAsia"/>
          <w:sz w:val="21"/>
          <w:szCs w:val="21"/>
          <w:lang w:eastAsia="zh-CN"/>
        </w:rPr>
        <w:t>case can be included for the forward compatibility. Furthermore, even “</w:t>
      </w:r>
      <w:r w:rsidRPr="00E74A83">
        <w:rPr>
          <w:rFonts w:eastAsiaTheme="minorEastAsia"/>
          <w:sz w:val="21"/>
          <w:szCs w:val="21"/>
          <w:lang w:eastAsia="zh-CN"/>
        </w:rPr>
        <w:t>non-contiguous only</w:t>
      </w:r>
      <w:r>
        <w:rPr>
          <w:rFonts w:eastAsiaTheme="minorEastAsia"/>
          <w:sz w:val="21"/>
          <w:szCs w:val="21"/>
          <w:lang w:eastAsia="zh-CN"/>
        </w:rPr>
        <w:t>” case would not be implemented in the future, it would not affect the UE to report the other 2 cases, i.e. contiguous and both.</w:t>
      </w:r>
    </w:p>
    <w:p w:rsidR="00E74A83" w:rsidRDefault="00E74A83" w:rsidP="00332BFC">
      <w:pPr>
        <w:rPr>
          <w:rFonts w:eastAsiaTheme="minorEastAsia"/>
          <w:sz w:val="21"/>
          <w:szCs w:val="21"/>
          <w:lang w:eastAsia="zh-CN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6717"/>
        <w:gridCol w:w="688"/>
        <w:gridCol w:w="550"/>
        <w:gridCol w:w="688"/>
        <w:gridCol w:w="707"/>
      </w:tblGrid>
      <w:tr w:rsidR="00E74A83" w:rsidRPr="00936461" w:rsidTr="0080068D">
        <w:trPr>
          <w:cantSplit/>
          <w:tblHeader/>
        </w:trPr>
        <w:tc>
          <w:tcPr>
            <w:tcW w:w="3592" w:type="pct"/>
          </w:tcPr>
          <w:p w:rsidR="00E74A83" w:rsidRPr="00936461" w:rsidRDefault="00E74A83" w:rsidP="0080068D">
            <w:pPr>
              <w:pStyle w:val="TAH"/>
            </w:pPr>
            <w:r w:rsidRPr="00936461">
              <w:lastRenderedPageBreak/>
              <w:t>Definitions for parameters</w:t>
            </w:r>
          </w:p>
        </w:tc>
        <w:tc>
          <w:tcPr>
            <w:tcW w:w="368" w:type="pct"/>
          </w:tcPr>
          <w:p w:rsidR="00E74A83" w:rsidRPr="00936461" w:rsidRDefault="00E74A83" w:rsidP="0080068D">
            <w:pPr>
              <w:pStyle w:val="TAH"/>
            </w:pPr>
            <w:r w:rsidRPr="00936461">
              <w:t>Per</w:t>
            </w:r>
          </w:p>
        </w:tc>
        <w:tc>
          <w:tcPr>
            <w:tcW w:w="294" w:type="pct"/>
          </w:tcPr>
          <w:p w:rsidR="00E74A83" w:rsidRPr="00936461" w:rsidRDefault="00E74A83" w:rsidP="0080068D">
            <w:pPr>
              <w:pStyle w:val="TAH"/>
            </w:pPr>
            <w:r w:rsidRPr="00936461">
              <w:t>M</w:t>
            </w:r>
          </w:p>
        </w:tc>
        <w:tc>
          <w:tcPr>
            <w:tcW w:w="368" w:type="pct"/>
          </w:tcPr>
          <w:p w:rsidR="00E74A83" w:rsidRPr="00936461" w:rsidRDefault="00E74A83" w:rsidP="0080068D">
            <w:pPr>
              <w:pStyle w:val="TAH"/>
            </w:pPr>
            <w:r w:rsidRPr="00936461">
              <w:t>FDD-TDD</w:t>
            </w:r>
          </w:p>
          <w:p w:rsidR="00E74A83" w:rsidRPr="00936461" w:rsidRDefault="00E74A83" w:rsidP="0080068D">
            <w:pPr>
              <w:pStyle w:val="TAH"/>
            </w:pPr>
            <w:r w:rsidRPr="00936461">
              <w:t>DIFF</w:t>
            </w:r>
          </w:p>
        </w:tc>
        <w:tc>
          <w:tcPr>
            <w:tcW w:w="378" w:type="pct"/>
          </w:tcPr>
          <w:p w:rsidR="00E74A83" w:rsidRPr="00936461" w:rsidRDefault="00E74A83" w:rsidP="0080068D">
            <w:pPr>
              <w:pStyle w:val="TAH"/>
            </w:pPr>
            <w:r w:rsidRPr="00936461">
              <w:t>FR1-FR2</w:t>
            </w:r>
          </w:p>
          <w:p w:rsidR="00E74A83" w:rsidRPr="00936461" w:rsidRDefault="00E74A83" w:rsidP="0080068D">
            <w:pPr>
              <w:pStyle w:val="TAH"/>
            </w:pPr>
            <w:r w:rsidRPr="00936461">
              <w:t>DIFF</w:t>
            </w:r>
          </w:p>
        </w:tc>
      </w:tr>
      <w:tr w:rsidR="00E74A83" w:rsidRPr="00936461" w:rsidTr="0080068D">
        <w:trPr>
          <w:cantSplit/>
          <w:tblHeader/>
        </w:trPr>
        <w:tc>
          <w:tcPr>
            <w:tcW w:w="3592" w:type="pct"/>
          </w:tcPr>
          <w:p w:rsidR="00E74A83" w:rsidRPr="00936461" w:rsidRDefault="00E74A83" w:rsidP="0080068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36461">
              <w:rPr>
                <w:b/>
                <w:bCs/>
                <w:i/>
                <w:iCs/>
              </w:rPr>
              <w:t>intraBandENDC</w:t>
            </w:r>
            <w:proofErr w:type="spellEnd"/>
            <w:r w:rsidRPr="00936461">
              <w:rPr>
                <w:b/>
                <w:bCs/>
                <w:i/>
                <w:iCs/>
              </w:rPr>
              <w:t>-Support</w:t>
            </w:r>
          </w:p>
          <w:p w:rsidR="00E74A83" w:rsidRPr="00936461" w:rsidRDefault="00E74A83" w:rsidP="0080068D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Indicates whether the UE supports intra-band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 xml:space="preserve">EN-DC with </w:t>
            </w:r>
            <w:r w:rsidRPr="00027257">
              <w:rPr>
                <w:bCs/>
                <w:iCs/>
                <w:color w:val="C00000"/>
              </w:rPr>
              <w:t>only</w:t>
            </w:r>
            <w:r w:rsidRPr="00936461">
              <w:rPr>
                <w:bCs/>
                <w:iCs/>
              </w:rPr>
              <w:t xml:space="preserve"> non-contiguous spectrum, or with both contiguous and non-contiguous spectrum for the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>EN-DC combination as specified in TS 38.101-3 [4].</w:t>
            </w:r>
          </w:p>
          <w:p w:rsidR="00E74A83" w:rsidRPr="00936461" w:rsidRDefault="00E74A83" w:rsidP="0080068D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If the UE does not include this field for an intra-band </w:t>
            </w:r>
            <w:r w:rsidRPr="00936461">
              <w:rPr>
                <w:szCs w:val="22"/>
              </w:rPr>
              <w:t>(NG</w:t>
            </w:r>
            <w:proofErr w:type="gramStart"/>
            <w:r w:rsidRPr="00936461">
              <w:rPr>
                <w:szCs w:val="22"/>
              </w:rPr>
              <w:t>)</w:t>
            </w:r>
            <w:r w:rsidRPr="00936461">
              <w:rPr>
                <w:bCs/>
                <w:iCs/>
              </w:rPr>
              <w:t>EN</w:t>
            </w:r>
            <w:proofErr w:type="gramEnd"/>
            <w:r w:rsidRPr="00936461">
              <w:rPr>
                <w:bCs/>
                <w:iCs/>
              </w:rPr>
              <w:t xml:space="preserve">-DC combination the UE only supports the contiguous spectrum for the intra-band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>EN-DC combination.</w:t>
            </w:r>
          </w:p>
          <w:p w:rsidR="00E74A83" w:rsidRPr="00936461" w:rsidRDefault="00E74A83" w:rsidP="0080068D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 xml:space="preserve">If </w:t>
            </w:r>
            <w:proofErr w:type="spellStart"/>
            <w:r w:rsidRPr="00936461">
              <w:rPr>
                <w:i/>
                <w:iCs/>
              </w:rPr>
              <w:t>intrabandENDC</w:t>
            </w:r>
            <w:proofErr w:type="spellEnd"/>
            <w:r w:rsidRPr="00936461">
              <w:rPr>
                <w:i/>
                <w:iCs/>
              </w:rPr>
              <w:t>-Support-UL</w:t>
            </w:r>
            <w:r w:rsidRPr="00936461">
              <w:t xml:space="preserve"> is absent and the band combination supports intra-band (NG</w:t>
            </w:r>
            <w:proofErr w:type="gramStart"/>
            <w:r w:rsidRPr="00936461">
              <w:t>)EN</w:t>
            </w:r>
            <w:proofErr w:type="gramEnd"/>
            <w:r w:rsidRPr="00936461">
              <w:t xml:space="preserve">-DC only in DL, this field indicates the DL capability. If </w:t>
            </w:r>
            <w:proofErr w:type="spellStart"/>
            <w:r w:rsidRPr="00936461">
              <w:rPr>
                <w:i/>
                <w:iCs/>
              </w:rPr>
              <w:t>intrabandENDC</w:t>
            </w:r>
            <w:proofErr w:type="spellEnd"/>
            <w:r w:rsidRPr="00936461">
              <w:rPr>
                <w:i/>
                <w:iCs/>
              </w:rPr>
              <w:t>-Support-UL</w:t>
            </w:r>
            <w:r w:rsidRPr="00936461">
              <w:t xml:space="preserve"> is absent and the band combination supports intra-band (NG</w:t>
            </w:r>
            <w:proofErr w:type="gramStart"/>
            <w:r w:rsidRPr="00936461">
              <w:t>)EN</w:t>
            </w:r>
            <w:proofErr w:type="gramEnd"/>
            <w:r w:rsidRPr="00936461">
              <w:t xml:space="preserve">-DC in DL and UL, this field indicates the common capability for both DL and UL. If </w:t>
            </w:r>
            <w:proofErr w:type="spellStart"/>
            <w:r w:rsidRPr="00936461">
              <w:rPr>
                <w:i/>
                <w:iCs/>
              </w:rPr>
              <w:t>intrabandENDC</w:t>
            </w:r>
            <w:proofErr w:type="spellEnd"/>
            <w:r w:rsidRPr="00936461">
              <w:rPr>
                <w:i/>
                <w:iCs/>
              </w:rPr>
              <w:t>-Support-UL</w:t>
            </w:r>
            <w:r w:rsidRPr="00936461">
              <w:t xml:space="preserve"> is included, </w:t>
            </w:r>
            <w:proofErr w:type="spellStart"/>
            <w:r w:rsidRPr="00936461">
              <w:rPr>
                <w:i/>
              </w:rPr>
              <w:t>intraBandENDC</w:t>
            </w:r>
            <w:proofErr w:type="spellEnd"/>
            <w:r w:rsidRPr="00936461">
              <w:rPr>
                <w:i/>
              </w:rPr>
              <w:t>-Support</w:t>
            </w:r>
            <w:r w:rsidRPr="00936461">
              <w:t xml:space="preserve"> indicates the DL capability.</w:t>
            </w:r>
          </w:p>
        </w:tc>
        <w:tc>
          <w:tcPr>
            <w:tcW w:w="368" w:type="pct"/>
          </w:tcPr>
          <w:p w:rsidR="00E74A83" w:rsidRPr="00936461" w:rsidRDefault="00E74A83" w:rsidP="0080068D">
            <w:pPr>
              <w:pStyle w:val="TAL"/>
              <w:jc w:val="center"/>
              <w:rPr>
                <w:bCs/>
                <w:iCs/>
              </w:rPr>
            </w:pPr>
            <w:r w:rsidRPr="00936461">
              <w:t>BC</w:t>
            </w:r>
          </w:p>
        </w:tc>
        <w:tc>
          <w:tcPr>
            <w:tcW w:w="294" w:type="pct"/>
          </w:tcPr>
          <w:p w:rsidR="00E74A83" w:rsidRPr="00936461" w:rsidRDefault="00E74A83" w:rsidP="0080068D">
            <w:pPr>
              <w:pStyle w:val="TAL"/>
              <w:jc w:val="center"/>
              <w:rPr>
                <w:bCs/>
                <w:iCs/>
              </w:rPr>
            </w:pPr>
            <w:r w:rsidRPr="00936461">
              <w:t>No</w:t>
            </w:r>
          </w:p>
        </w:tc>
        <w:tc>
          <w:tcPr>
            <w:tcW w:w="368" w:type="pct"/>
          </w:tcPr>
          <w:p w:rsidR="00E74A83" w:rsidRPr="00936461" w:rsidRDefault="00E74A83" w:rsidP="0080068D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378" w:type="pct"/>
          </w:tcPr>
          <w:p w:rsidR="00E74A83" w:rsidRPr="00936461" w:rsidRDefault="00E74A83" w:rsidP="0080068D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</w:tbl>
    <w:p w:rsidR="00E74A83" w:rsidRDefault="00E74A83" w:rsidP="00332BFC">
      <w:pPr>
        <w:rPr>
          <w:rFonts w:eastAsiaTheme="minorEastAsia"/>
          <w:sz w:val="21"/>
          <w:szCs w:val="21"/>
          <w:lang w:eastAsia="zh-CN"/>
        </w:rPr>
      </w:pPr>
    </w:p>
    <w:p w:rsidR="00E74A83" w:rsidRDefault="00E74A83" w:rsidP="00332BFC">
      <w:pPr>
        <w:rPr>
          <w:rFonts w:eastAsiaTheme="minorEastAsia"/>
          <w:b/>
          <w:sz w:val="21"/>
          <w:szCs w:val="21"/>
          <w:lang w:eastAsia="zh-CN"/>
        </w:rPr>
      </w:pPr>
      <w:r w:rsidRPr="00E74A83">
        <w:rPr>
          <w:rFonts w:eastAsiaTheme="minorEastAsia"/>
          <w:b/>
          <w:sz w:val="21"/>
          <w:szCs w:val="21"/>
          <w:lang w:eastAsia="zh-CN"/>
        </w:rPr>
        <w:t>Observation 1:</w:t>
      </w:r>
      <w:r w:rsidR="00C9280F">
        <w:rPr>
          <w:rFonts w:eastAsiaTheme="minorEastAsia"/>
          <w:b/>
          <w:sz w:val="21"/>
          <w:szCs w:val="21"/>
          <w:lang w:eastAsia="zh-CN"/>
        </w:rPr>
        <w:t xml:space="preserve"> </w:t>
      </w:r>
      <w:r>
        <w:rPr>
          <w:rFonts w:eastAsiaTheme="minorEastAsia"/>
          <w:b/>
          <w:sz w:val="21"/>
          <w:szCs w:val="21"/>
          <w:lang w:eastAsia="zh-CN"/>
        </w:rPr>
        <w:t xml:space="preserve">From forward compatibility aspect, RAN2 signalling can include more cases </w:t>
      </w:r>
      <w:r w:rsidR="00EE7DB3">
        <w:rPr>
          <w:rFonts w:eastAsiaTheme="minorEastAsia"/>
          <w:b/>
          <w:sz w:val="21"/>
          <w:szCs w:val="21"/>
          <w:lang w:eastAsia="zh-CN"/>
        </w:rPr>
        <w:t>tha</w:t>
      </w:r>
      <w:r w:rsidR="00C9280F">
        <w:rPr>
          <w:rFonts w:eastAsiaTheme="minorEastAsia"/>
          <w:b/>
          <w:sz w:val="21"/>
          <w:szCs w:val="21"/>
          <w:lang w:eastAsia="zh-CN"/>
        </w:rPr>
        <w:t>n the current UE supported.</w:t>
      </w:r>
    </w:p>
    <w:p w:rsidR="00C9280F" w:rsidRPr="00C9280F" w:rsidRDefault="00C9280F" w:rsidP="00332BFC">
      <w:pPr>
        <w:rPr>
          <w:rFonts w:eastAsiaTheme="minorEastAsia"/>
          <w:sz w:val="21"/>
          <w:szCs w:val="21"/>
          <w:lang w:eastAsia="zh-CN"/>
        </w:rPr>
      </w:pPr>
      <w:r w:rsidRPr="00C9280F">
        <w:rPr>
          <w:rFonts w:eastAsiaTheme="minorEastAsia"/>
          <w:sz w:val="21"/>
          <w:szCs w:val="21"/>
          <w:lang w:eastAsia="zh-CN"/>
        </w:rPr>
        <w:t xml:space="preserve">From the LS, we also </w:t>
      </w:r>
      <w:r>
        <w:rPr>
          <w:rFonts w:eastAsiaTheme="minorEastAsia"/>
          <w:sz w:val="21"/>
          <w:szCs w:val="21"/>
          <w:lang w:eastAsia="zh-CN"/>
        </w:rPr>
        <w:t>observed</w:t>
      </w:r>
      <w:r w:rsidRPr="00C9280F">
        <w:rPr>
          <w:rFonts w:eastAsiaTheme="minorEastAsia"/>
          <w:sz w:val="21"/>
          <w:szCs w:val="21"/>
          <w:lang w:eastAsia="zh-CN"/>
        </w:rPr>
        <w:t xml:space="preserve"> that the problem happens when the UE supports both contiguous and non-contiguous but reports non-contiguous only</w:t>
      </w:r>
      <w:r>
        <w:rPr>
          <w:rFonts w:eastAsiaTheme="minorEastAsia"/>
          <w:sz w:val="21"/>
          <w:szCs w:val="21"/>
          <w:lang w:eastAsia="zh-CN"/>
        </w:rPr>
        <w:t>.</w:t>
      </w:r>
      <w:r w:rsidRPr="00C9280F">
        <w:rPr>
          <w:rFonts w:eastAsiaTheme="minorEastAsia"/>
          <w:sz w:val="21"/>
          <w:szCs w:val="21"/>
          <w:lang w:eastAsia="zh-CN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9280F" w:rsidTr="00C9280F">
        <w:tc>
          <w:tcPr>
            <w:tcW w:w="9350" w:type="dxa"/>
          </w:tcPr>
          <w:p w:rsidR="00C9280F" w:rsidRPr="00EE7DB3" w:rsidRDefault="00C9280F" w:rsidP="00C9280F">
            <w:pPr>
              <w:snapToGrid w:val="0"/>
              <w:spacing w:after="120"/>
              <w:rPr>
                <w:rFonts w:eastAsiaTheme="minorEastAsia"/>
                <w:sz w:val="21"/>
                <w:szCs w:val="21"/>
                <w:lang w:eastAsia="zh-CN"/>
              </w:rPr>
            </w:pPr>
            <w:r w:rsidRPr="00EE7DB3">
              <w:rPr>
                <w:szCs w:val="21"/>
              </w:rPr>
              <w:t xml:space="preserve">With the UE capability, it is noticed that in the field, </w:t>
            </w:r>
            <w:r w:rsidRPr="00EE7DB3">
              <w:rPr>
                <w:szCs w:val="21"/>
                <w:highlight w:val="green"/>
              </w:rPr>
              <w:t>some UEs indicating ‘non-contiguous’</w:t>
            </w:r>
            <w:r w:rsidRPr="00EE7DB3">
              <w:rPr>
                <w:szCs w:val="21"/>
              </w:rPr>
              <w:t xml:space="preserve"> via </w:t>
            </w:r>
            <w:proofErr w:type="spellStart"/>
            <w:r w:rsidRPr="00EE7DB3">
              <w:rPr>
                <w:i/>
                <w:szCs w:val="21"/>
              </w:rPr>
              <w:t>intraBandENDC</w:t>
            </w:r>
            <w:proofErr w:type="spellEnd"/>
            <w:r w:rsidRPr="00EE7DB3">
              <w:rPr>
                <w:i/>
                <w:szCs w:val="21"/>
              </w:rPr>
              <w:t>-Support</w:t>
            </w:r>
            <w:r w:rsidRPr="00EE7DB3">
              <w:rPr>
                <w:szCs w:val="21"/>
              </w:rPr>
              <w:t xml:space="preserve"> cannot access to the NW configuring intra-band contiguous EN-DC. The UE can only access to single carrier rather than intra-band EN-DC, which degrades the UE performance.</w:t>
            </w:r>
          </w:p>
        </w:tc>
      </w:tr>
    </w:tbl>
    <w:p w:rsidR="00C9280F" w:rsidRDefault="00C9280F" w:rsidP="00332BFC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Then the problem is why the UE doesn’t report the </w:t>
      </w:r>
      <w:r w:rsidR="005145DD">
        <w:rPr>
          <w:rFonts w:eastAsiaTheme="minorEastAsia"/>
          <w:sz w:val="21"/>
          <w:szCs w:val="21"/>
          <w:lang w:eastAsia="zh-CN"/>
        </w:rPr>
        <w:t>“</w:t>
      </w:r>
      <w:r>
        <w:rPr>
          <w:rFonts w:eastAsiaTheme="minorEastAsia"/>
          <w:sz w:val="21"/>
          <w:szCs w:val="21"/>
          <w:lang w:eastAsia="zh-CN"/>
        </w:rPr>
        <w:t>both</w:t>
      </w:r>
      <w:r w:rsidR="005145DD">
        <w:rPr>
          <w:rFonts w:eastAsiaTheme="minorEastAsia"/>
          <w:sz w:val="21"/>
          <w:szCs w:val="21"/>
          <w:lang w:eastAsia="zh-CN"/>
        </w:rPr>
        <w:t>”</w:t>
      </w:r>
      <w:r>
        <w:rPr>
          <w:rFonts w:eastAsiaTheme="minorEastAsia"/>
          <w:sz w:val="21"/>
          <w:szCs w:val="21"/>
          <w:lang w:eastAsia="zh-CN"/>
        </w:rPr>
        <w:t xml:space="preserve"> as it has supported for this case. It has been clearly clarified in the filed description that the non-contiguous is used for the case that the UE supports non-contiguous only. Obviously, if the UE reports the capability correctly according to the RAN2 spec, there would be no problem.</w:t>
      </w:r>
    </w:p>
    <w:p w:rsidR="00C9280F" w:rsidRPr="00C9280F" w:rsidRDefault="00C9280F" w:rsidP="00C9280F">
      <w:pPr>
        <w:rPr>
          <w:rFonts w:eastAsiaTheme="minorEastAsia"/>
          <w:b/>
          <w:sz w:val="21"/>
          <w:szCs w:val="21"/>
          <w:lang w:eastAsia="zh-CN"/>
        </w:rPr>
      </w:pPr>
      <w:r w:rsidRPr="00C9280F">
        <w:rPr>
          <w:rFonts w:eastAsiaTheme="minorEastAsia"/>
          <w:b/>
          <w:sz w:val="21"/>
          <w:szCs w:val="21"/>
          <w:lang w:eastAsia="zh-CN"/>
        </w:rPr>
        <w:t>Observation 2: The problem happens when the UE supports both contiguous and non-contiguous but reports non-contiguous only. If the UE reports the capability correctly according to the RAN2 spec, there would be no problem.</w:t>
      </w:r>
    </w:p>
    <w:p w:rsidR="00C9280F" w:rsidRDefault="00C9280F" w:rsidP="00C9280F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In the LS, it further suggests to introduce new capability, however, if a new capability was introduced, it means updating would be needed at both the UE and network side.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9280F" w:rsidTr="00C9280F">
        <w:tc>
          <w:tcPr>
            <w:tcW w:w="9350" w:type="dxa"/>
          </w:tcPr>
          <w:p w:rsidR="00C9280F" w:rsidRPr="00563794" w:rsidRDefault="00C9280F" w:rsidP="00C9280F">
            <w:pPr>
              <w:snapToGrid w:val="0"/>
              <w:spacing w:after="120"/>
              <w:rPr>
                <w:rFonts w:eastAsiaTheme="minorEastAsia"/>
                <w:sz w:val="21"/>
                <w:szCs w:val="21"/>
                <w:lang w:eastAsia="zh-CN"/>
              </w:rPr>
            </w:pPr>
            <w:bookmarkStart w:id="2" w:name="_GoBack"/>
            <w:r w:rsidRPr="00563794">
              <w:rPr>
                <w:szCs w:val="21"/>
              </w:rPr>
              <w:t xml:space="preserve">Considering the capability of </w:t>
            </w:r>
            <w:proofErr w:type="spellStart"/>
            <w:r w:rsidRPr="00563794">
              <w:rPr>
                <w:i/>
                <w:szCs w:val="21"/>
              </w:rPr>
              <w:t>intraBandENDC</w:t>
            </w:r>
            <w:proofErr w:type="spellEnd"/>
            <w:r w:rsidRPr="00563794">
              <w:rPr>
                <w:i/>
                <w:szCs w:val="21"/>
              </w:rPr>
              <w:t>-Support</w:t>
            </w:r>
            <w:r w:rsidRPr="00563794">
              <w:rPr>
                <w:szCs w:val="21"/>
              </w:rPr>
              <w:t xml:space="preserve"> has been implemented for several releases, to make up for the problem, RAN4 agrees to introduce a new capability to support intra-band non-contiguous with nominal channel spacing. In RAN4 spec, nominal channel spacing between E-UTRA carrier and an adjacent NR carrier is defined for intra-band contiguous EN-DC in TS 38.101-3.</w:t>
            </w:r>
            <w:bookmarkEnd w:id="2"/>
          </w:p>
        </w:tc>
      </w:tr>
    </w:tbl>
    <w:p w:rsidR="00C9280F" w:rsidRPr="00C9280F" w:rsidRDefault="00C9280F" w:rsidP="00C9280F">
      <w:pPr>
        <w:rPr>
          <w:rFonts w:eastAsiaTheme="minorEastAsia"/>
          <w:b/>
          <w:sz w:val="21"/>
          <w:szCs w:val="21"/>
          <w:lang w:eastAsia="zh-CN"/>
        </w:rPr>
      </w:pPr>
      <w:r w:rsidRPr="00C9280F">
        <w:rPr>
          <w:rFonts w:eastAsiaTheme="minorEastAsia"/>
          <w:b/>
          <w:sz w:val="21"/>
          <w:szCs w:val="21"/>
          <w:lang w:eastAsia="zh-CN"/>
        </w:rPr>
        <w:t>Observation 3: The new capability mechanism requires updating at both the UE and network side</w:t>
      </w:r>
      <w:r>
        <w:rPr>
          <w:rFonts w:eastAsiaTheme="minorEastAsia"/>
          <w:b/>
          <w:sz w:val="21"/>
          <w:szCs w:val="21"/>
          <w:lang w:eastAsia="zh-CN"/>
        </w:rPr>
        <w:t xml:space="preserve">, which means it can’t work when the new UE enters into the old </w:t>
      </w:r>
      <w:proofErr w:type="spellStart"/>
      <w:r>
        <w:rPr>
          <w:rFonts w:eastAsiaTheme="minorEastAsia"/>
          <w:b/>
          <w:sz w:val="21"/>
          <w:szCs w:val="21"/>
          <w:lang w:eastAsia="zh-CN"/>
        </w:rPr>
        <w:t>gNB</w:t>
      </w:r>
      <w:proofErr w:type="spellEnd"/>
      <w:r>
        <w:rPr>
          <w:rFonts w:eastAsiaTheme="minorEastAsia"/>
          <w:b/>
          <w:sz w:val="21"/>
          <w:szCs w:val="21"/>
          <w:lang w:eastAsia="zh-CN"/>
        </w:rPr>
        <w:t xml:space="preserve">. </w:t>
      </w:r>
    </w:p>
    <w:p w:rsidR="00E74A83" w:rsidRDefault="00C9280F" w:rsidP="00332BFC">
      <w:pPr>
        <w:rPr>
          <w:rFonts w:eastAsiaTheme="minorEastAsia"/>
          <w:sz w:val="21"/>
          <w:szCs w:val="21"/>
          <w:lang w:eastAsia="zh-CN"/>
        </w:rPr>
      </w:pPr>
      <w:r w:rsidRPr="00C9280F">
        <w:rPr>
          <w:rFonts w:eastAsiaTheme="minorEastAsia"/>
          <w:sz w:val="21"/>
          <w:szCs w:val="21"/>
          <w:lang w:eastAsia="zh-CN"/>
        </w:rPr>
        <w:t xml:space="preserve">Furthermore, </w:t>
      </w:r>
      <w:r>
        <w:rPr>
          <w:rFonts w:eastAsiaTheme="minorEastAsia"/>
          <w:sz w:val="21"/>
          <w:szCs w:val="21"/>
          <w:lang w:eastAsia="zh-CN"/>
        </w:rPr>
        <w:t xml:space="preserve">before introducing </w:t>
      </w:r>
      <w:r w:rsidRPr="00C9280F">
        <w:rPr>
          <w:rFonts w:eastAsiaTheme="minorEastAsia"/>
          <w:sz w:val="21"/>
          <w:szCs w:val="21"/>
          <w:lang w:eastAsia="zh-CN"/>
        </w:rPr>
        <w:t>the ne</w:t>
      </w:r>
      <w:r>
        <w:rPr>
          <w:rFonts w:eastAsiaTheme="minorEastAsia"/>
          <w:sz w:val="21"/>
          <w:szCs w:val="21"/>
          <w:lang w:eastAsia="zh-CN"/>
        </w:rPr>
        <w:t>w capability, at least the issues as below need to be further discussed and clarified:</w:t>
      </w:r>
    </w:p>
    <w:p w:rsidR="00097CBB" w:rsidRPr="00097CBB" w:rsidRDefault="00097CBB" w:rsidP="00097CBB">
      <w:pPr>
        <w:pStyle w:val="af5"/>
        <w:numPr>
          <w:ilvl w:val="0"/>
          <w:numId w:val="5"/>
        </w:numPr>
        <w:rPr>
          <w:rFonts w:eastAsiaTheme="minorEastAsia"/>
          <w:sz w:val="21"/>
          <w:szCs w:val="21"/>
          <w:lang w:eastAsia="zh-CN"/>
        </w:rPr>
      </w:pPr>
      <w:r w:rsidRPr="00097CBB">
        <w:rPr>
          <w:rFonts w:eastAsiaTheme="minorEastAsia"/>
          <w:sz w:val="21"/>
          <w:szCs w:val="21"/>
          <w:lang w:eastAsia="zh-CN"/>
        </w:rPr>
        <w:t>Issue 1</w:t>
      </w:r>
      <w:r w:rsidRPr="00097CBB">
        <w:rPr>
          <w:rFonts w:eastAsiaTheme="minorEastAsia" w:hint="eastAsia"/>
          <w:sz w:val="21"/>
          <w:szCs w:val="21"/>
          <w:lang w:eastAsia="zh-CN"/>
        </w:rPr>
        <w:t>:</w:t>
      </w:r>
      <w:r w:rsidRPr="00097CBB">
        <w:rPr>
          <w:rFonts w:eastAsiaTheme="minorEastAsia"/>
          <w:sz w:val="21"/>
          <w:szCs w:val="21"/>
          <w:lang w:eastAsia="zh-CN"/>
        </w:rPr>
        <w:t xml:space="preserve"> Which requirements (contiguous or non-contiguous) shall be used for the case that the UE reports “</w:t>
      </w:r>
      <w:proofErr w:type="spellStart"/>
      <w:r w:rsidRPr="00097CBB">
        <w:rPr>
          <w:rFonts w:eastAsiaTheme="minorEastAsia"/>
          <w:sz w:val="21"/>
          <w:szCs w:val="21"/>
          <w:lang w:eastAsia="zh-CN"/>
        </w:rPr>
        <w:t>intraBandENDC</w:t>
      </w:r>
      <w:proofErr w:type="spellEnd"/>
      <w:r w:rsidRPr="00097CBB">
        <w:rPr>
          <w:rFonts w:eastAsiaTheme="minorEastAsia"/>
          <w:sz w:val="21"/>
          <w:szCs w:val="21"/>
          <w:lang w:eastAsia="zh-CN"/>
        </w:rPr>
        <w:t>-Support: non-contiguous” and the new capability?</w:t>
      </w:r>
    </w:p>
    <w:p w:rsidR="00097CBB" w:rsidRPr="00097CBB" w:rsidRDefault="00097CBB" w:rsidP="00097CBB">
      <w:pPr>
        <w:pStyle w:val="af5"/>
        <w:numPr>
          <w:ilvl w:val="0"/>
          <w:numId w:val="5"/>
        </w:numPr>
        <w:rPr>
          <w:rFonts w:eastAsiaTheme="minorEastAsia"/>
          <w:sz w:val="21"/>
          <w:szCs w:val="21"/>
          <w:lang w:eastAsia="zh-CN"/>
        </w:rPr>
      </w:pPr>
      <w:r w:rsidRPr="00097CBB">
        <w:rPr>
          <w:rFonts w:eastAsiaTheme="minorEastAsia"/>
          <w:sz w:val="21"/>
          <w:szCs w:val="21"/>
          <w:lang w:eastAsia="zh-CN"/>
        </w:rPr>
        <w:t>Issue 2: Are there any different between the below 2 cases:</w:t>
      </w:r>
    </w:p>
    <w:p w:rsidR="00097CBB" w:rsidRPr="00097CBB" w:rsidRDefault="00097CBB" w:rsidP="00097CBB">
      <w:pPr>
        <w:pStyle w:val="af5"/>
        <w:numPr>
          <w:ilvl w:val="0"/>
          <w:numId w:val="6"/>
        </w:numPr>
        <w:rPr>
          <w:rFonts w:eastAsiaTheme="minorEastAsia"/>
          <w:sz w:val="21"/>
          <w:szCs w:val="21"/>
          <w:lang w:eastAsia="zh-CN"/>
        </w:rPr>
      </w:pPr>
      <w:r w:rsidRPr="00097CBB">
        <w:rPr>
          <w:rFonts w:eastAsiaTheme="minorEastAsia"/>
          <w:sz w:val="21"/>
          <w:szCs w:val="21"/>
          <w:lang w:eastAsia="zh-CN"/>
        </w:rPr>
        <w:t>Case 1: UE reports “</w:t>
      </w:r>
      <w:proofErr w:type="spellStart"/>
      <w:r w:rsidRPr="00097CBB">
        <w:rPr>
          <w:rFonts w:eastAsiaTheme="minorEastAsia"/>
          <w:sz w:val="21"/>
          <w:szCs w:val="21"/>
          <w:lang w:eastAsia="zh-CN"/>
        </w:rPr>
        <w:t>intraBandENDC</w:t>
      </w:r>
      <w:proofErr w:type="spellEnd"/>
      <w:r w:rsidRPr="00097CBB">
        <w:rPr>
          <w:rFonts w:eastAsiaTheme="minorEastAsia"/>
          <w:sz w:val="21"/>
          <w:szCs w:val="21"/>
          <w:lang w:eastAsia="zh-CN"/>
        </w:rPr>
        <w:t>-Support: non-contiguous” and the new capability</w:t>
      </w:r>
    </w:p>
    <w:p w:rsidR="00097CBB" w:rsidRPr="00097CBB" w:rsidRDefault="00097CBB" w:rsidP="00097CBB">
      <w:pPr>
        <w:pStyle w:val="af5"/>
        <w:numPr>
          <w:ilvl w:val="0"/>
          <w:numId w:val="6"/>
        </w:numPr>
        <w:rPr>
          <w:rFonts w:eastAsiaTheme="minorEastAsia"/>
          <w:sz w:val="21"/>
          <w:szCs w:val="21"/>
          <w:lang w:eastAsia="zh-CN"/>
        </w:rPr>
      </w:pPr>
      <w:r w:rsidRPr="00097CBB">
        <w:rPr>
          <w:rFonts w:eastAsiaTheme="minorEastAsia"/>
          <w:sz w:val="21"/>
          <w:szCs w:val="21"/>
          <w:lang w:eastAsia="zh-CN"/>
        </w:rPr>
        <w:t>Case 2 UE reports “</w:t>
      </w:r>
      <w:proofErr w:type="spellStart"/>
      <w:r w:rsidRPr="00097CBB">
        <w:rPr>
          <w:rFonts w:eastAsiaTheme="minorEastAsia"/>
          <w:sz w:val="21"/>
          <w:szCs w:val="21"/>
          <w:lang w:eastAsia="zh-CN"/>
        </w:rPr>
        <w:t>intraBandENDC</w:t>
      </w:r>
      <w:proofErr w:type="spellEnd"/>
      <w:r w:rsidRPr="00097CBB">
        <w:rPr>
          <w:rFonts w:eastAsiaTheme="minorEastAsia"/>
          <w:sz w:val="21"/>
          <w:szCs w:val="21"/>
          <w:lang w:eastAsia="zh-CN"/>
        </w:rPr>
        <w:t>-Support: both”.</w:t>
      </w:r>
    </w:p>
    <w:p w:rsidR="00097CBB" w:rsidRPr="00097CBB" w:rsidRDefault="00097CBB" w:rsidP="00097CBB">
      <w:pPr>
        <w:pStyle w:val="af5"/>
        <w:numPr>
          <w:ilvl w:val="0"/>
          <w:numId w:val="5"/>
        </w:numPr>
        <w:rPr>
          <w:rFonts w:eastAsiaTheme="minorEastAsia"/>
          <w:sz w:val="21"/>
          <w:szCs w:val="21"/>
          <w:lang w:eastAsia="zh-CN"/>
        </w:rPr>
      </w:pPr>
      <w:r w:rsidRPr="00097CBB">
        <w:rPr>
          <w:rFonts w:eastAsiaTheme="minorEastAsia"/>
          <w:sz w:val="21"/>
          <w:szCs w:val="21"/>
          <w:lang w:eastAsia="zh-CN"/>
        </w:rPr>
        <w:lastRenderedPageBreak/>
        <w:t>Issue 3</w:t>
      </w:r>
      <w:r>
        <w:rPr>
          <w:rFonts w:eastAsiaTheme="minorEastAsia"/>
          <w:sz w:val="21"/>
          <w:szCs w:val="21"/>
          <w:lang w:eastAsia="zh-CN"/>
        </w:rPr>
        <w:t xml:space="preserve">: There is also a corresponding capability for the uplink (i.e. </w:t>
      </w:r>
      <w:proofErr w:type="spellStart"/>
      <w:r w:rsidRPr="005145DD">
        <w:rPr>
          <w:bCs/>
          <w:i/>
          <w:iCs/>
          <w:lang w:eastAsia="zh-CN"/>
        </w:rPr>
        <w:t>intrabandENDC</w:t>
      </w:r>
      <w:proofErr w:type="spellEnd"/>
      <w:r w:rsidRPr="005145DD">
        <w:rPr>
          <w:bCs/>
          <w:i/>
          <w:iCs/>
          <w:lang w:eastAsia="zh-CN"/>
        </w:rPr>
        <w:t>-Support-UL</w:t>
      </w:r>
      <w:r>
        <w:rPr>
          <w:b/>
          <w:bCs/>
          <w:i/>
          <w:iCs/>
          <w:lang w:eastAsia="zh-CN"/>
        </w:rPr>
        <w:t xml:space="preserve">), </w:t>
      </w:r>
      <w:r>
        <w:rPr>
          <w:rFonts w:eastAsiaTheme="minorEastAsia"/>
          <w:sz w:val="21"/>
          <w:szCs w:val="21"/>
          <w:lang w:eastAsia="zh-CN"/>
        </w:rPr>
        <w:t>w</w:t>
      </w:r>
      <w:r w:rsidRPr="00097CBB">
        <w:rPr>
          <w:rFonts w:eastAsiaTheme="minorEastAsia"/>
          <w:sz w:val="21"/>
          <w:szCs w:val="21"/>
          <w:lang w:eastAsia="zh-CN"/>
        </w:rPr>
        <w:t xml:space="preserve">hether to extend this </w:t>
      </w:r>
      <w:r>
        <w:rPr>
          <w:rFonts w:eastAsiaTheme="minorEastAsia"/>
          <w:sz w:val="21"/>
          <w:szCs w:val="21"/>
          <w:lang w:eastAsia="zh-CN"/>
        </w:rPr>
        <w:t xml:space="preserve">new </w:t>
      </w:r>
      <w:r w:rsidRPr="00097CBB">
        <w:rPr>
          <w:rFonts w:eastAsiaTheme="minorEastAsia"/>
          <w:sz w:val="21"/>
          <w:szCs w:val="21"/>
          <w:lang w:eastAsia="zh-CN"/>
        </w:rPr>
        <w:t>capability to the Uplink?</w:t>
      </w:r>
    </w:p>
    <w:p w:rsidR="00097CBB" w:rsidRPr="00097CBB" w:rsidRDefault="00097CBB" w:rsidP="00097CBB">
      <w:pPr>
        <w:pStyle w:val="af5"/>
        <w:numPr>
          <w:ilvl w:val="0"/>
          <w:numId w:val="5"/>
        </w:numPr>
        <w:rPr>
          <w:rFonts w:eastAsiaTheme="minorEastAsia"/>
          <w:sz w:val="21"/>
          <w:szCs w:val="21"/>
          <w:lang w:eastAsia="zh-CN"/>
        </w:rPr>
      </w:pPr>
      <w:r w:rsidRPr="00097CBB">
        <w:rPr>
          <w:rFonts w:eastAsiaTheme="minorEastAsia"/>
          <w:sz w:val="21"/>
          <w:szCs w:val="21"/>
          <w:lang w:eastAsia="zh-CN"/>
        </w:rPr>
        <w:t>Issue 4</w:t>
      </w:r>
      <w:r>
        <w:rPr>
          <w:rFonts w:eastAsiaTheme="minorEastAsia"/>
          <w:sz w:val="21"/>
          <w:szCs w:val="21"/>
          <w:lang w:eastAsia="zh-CN"/>
        </w:rPr>
        <w:t>: Whether extend the new capability for the multiple intra-bands case</w:t>
      </w:r>
      <w:r w:rsidR="00EE7DB3">
        <w:rPr>
          <w:rFonts w:eastAsiaTheme="minorEastAsia"/>
          <w:sz w:val="21"/>
          <w:szCs w:val="21"/>
          <w:lang w:eastAsia="zh-CN"/>
        </w:rPr>
        <w:t xml:space="preserve"> as in [2</w:t>
      </w:r>
      <w:proofErr w:type="gramStart"/>
      <w:r w:rsidR="00EE7DB3">
        <w:rPr>
          <w:rFonts w:eastAsiaTheme="minorEastAsia"/>
          <w:sz w:val="21"/>
          <w:szCs w:val="21"/>
          <w:lang w:eastAsia="zh-CN"/>
        </w:rPr>
        <w:t>][</w:t>
      </w:r>
      <w:proofErr w:type="gramEnd"/>
      <w:r w:rsidR="00EE7DB3">
        <w:rPr>
          <w:rFonts w:eastAsiaTheme="minorEastAsia"/>
          <w:sz w:val="21"/>
          <w:szCs w:val="21"/>
          <w:lang w:eastAsia="zh-CN"/>
        </w:rPr>
        <w:t>3][4][5]</w:t>
      </w:r>
      <w:r>
        <w:rPr>
          <w:rFonts w:eastAsiaTheme="minorEastAsia"/>
          <w:sz w:val="21"/>
          <w:szCs w:val="21"/>
          <w:lang w:eastAsia="zh-CN"/>
        </w:rPr>
        <w:t>?</w:t>
      </w:r>
    </w:p>
    <w:p w:rsidR="00097CBB" w:rsidRPr="00097CBB" w:rsidRDefault="00097CBB" w:rsidP="00097CBB">
      <w:pPr>
        <w:rPr>
          <w:rFonts w:eastAsiaTheme="minorEastAsia"/>
          <w:b/>
          <w:sz w:val="21"/>
          <w:szCs w:val="21"/>
          <w:lang w:eastAsia="zh-CN"/>
        </w:rPr>
      </w:pPr>
      <w:r w:rsidRPr="00097CBB">
        <w:rPr>
          <w:rFonts w:eastAsiaTheme="minorEastAsia"/>
          <w:b/>
          <w:sz w:val="21"/>
          <w:szCs w:val="21"/>
          <w:lang w:eastAsia="zh-CN"/>
        </w:rPr>
        <w:t>Observation 4: Before introducing the new capability, at least the issues as below need to be further discussed and clarified:</w:t>
      </w:r>
    </w:p>
    <w:p w:rsidR="00097CBB" w:rsidRPr="00097CBB" w:rsidRDefault="00097CBB" w:rsidP="00097CBB">
      <w:pPr>
        <w:pStyle w:val="af5"/>
        <w:numPr>
          <w:ilvl w:val="0"/>
          <w:numId w:val="5"/>
        </w:numPr>
        <w:rPr>
          <w:rFonts w:eastAsiaTheme="minorEastAsia"/>
          <w:b/>
          <w:sz w:val="21"/>
          <w:szCs w:val="21"/>
          <w:lang w:eastAsia="zh-CN"/>
        </w:rPr>
      </w:pPr>
      <w:r w:rsidRPr="00097CBB">
        <w:rPr>
          <w:rFonts w:eastAsiaTheme="minorEastAsia"/>
          <w:b/>
          <w:sz w:val="21"/>
          <w:szCs w:val="21"/>
          <w:lang w:eastAsia="zh-CN"/>
        </w:rPr>
        <w:t>Issue 1</w:t>
      </w:r>
      <w:r w:rsidRPr="00097CBB">
        <w:rPr>
          <w:rFonts w:eastAsiaTheme="minorEastAsia" w:hint="eastAsia"/>
          <w:b/>
          <w:sz w:val="21"/>
          <w:szCs w:val="21"/>
          <w:lang w:eastAsia="zh-CN"/>
        </w:rPr>
        <w:t>:</w:t>
      </w:r>
      <w:r w:rsidRPr="00097CBB">
        <w:rPr>
          <w:rFonts w:eastAsiaTheme="minorEastAsia"/>
          <w:b/>
          <w:sz w:val="21"/>
          <w:szCs w:val="21"/>
          <w:lang w:eastAsia="zh-CN"/>
        </w:rPr>
        <w:t xml:space="preserve"> Which requirements (contiguous or non-contiguous) shall be used for the case that the UE reports “</w:t>
      </w:r>
      <w:proofErr w:type="spellStart"/>
      <w:r w:rsidRPr="00097CBB">
        <w:rPr>
          <w:rFonts w:eastAsiaTheme="minorEastAsia"/>
          <w:b/>
          <w:sz w:val="21"/>
          <w:szCs w:val="21"/>
          <w:lang w:eastAsia="zh-CN"/>
        </w:rPr>
        <w:t>intraBandENDC</w:t>
      </w:r>
      <w:proofErr w:type="spellEnd"/>
      <w:r w:rsidRPr="00097CBB">
        <w:rPr>
          <w:rFonts w:eastAsiaTheme="minorEastAsia"/>
          <w:b/>
          <w:sz w:val="21"/>
          <w:szCs w:val="21"/>
          <w:lang w:eastAsia="zh-CN"/>
        </w:rPr>
        <w:t>-Support: non-contiguous” and the new capability?</w:t>
      </w:r>
    </w:p>
    <w:p w:rsidR="00097CBB" w:rsidRPr="00097CBB" w:rsidRDefault="00097CBB" w:rsidP="00097CBB">
      <w:pPr>
        <w:pStyle w:val="af5"/>
        <w:numPr>
          <w:ilvl w:val="0"/>
          <w:numId w:val="5"/>
        </w:numPr>
        <w:rPr>
          <w:rFonts w:eastAsiaTheme="minorEastAsia"/>
          <w:b/>
          <w:sz w:val="21"/>
          <w:szCs w:val="21"/>
          <w:lang w:eastAsia="zh-CN"/>
        </w:rPr>
      </w:pPr>
      <w:r w:rsidRPr="00097CBB">
        <w:rPr>
          <w:rFonts w:eastAsiaTheme="minorEastAsia"/>
          <w:b/>
          <w:sz w:val="21"/>
          <w:szCs w:val="21"/>
          <w:lang w:eastAsia="zh-CN"/>
        </w:rPr>
        <w:t>Issue 2: Are there any different between the below 2 cases:</w:t>
      </w:r>
    </w:p>
    <w:p w:rsidR="00097CBB" w:rsidRPr="00097CBB" w:rsidRDefault="00097CBB" w:rsidP="00097CBB">
      <w:pPr>
        <w:pStyle w:val="af5"/>
        <w:numPr>
          <w:ilvl w:val="0"/>
          <w:numId w:val="6"/>
        </w:numPr>
        <w:rPr>
          <w:rFonts w:eastAsiaTheme="minorEastAsia"/>
          <w:b/>
          <w:sz w:val="21"/>
          <w:szCs w:val="21"/>
          <w:lang w:eastAsia="zh-CN"/>
        </w:rPr>
      </w:pPr>
      <w:r w:rsidRPr="00097CBB">
        <w:rPr>
          <w:rFonts w:eastAsiaTheme="minorEastAsia"/>
          <w:b/>
          <w:sz w:val="21"/>
          <w:szCs w:val="21"/>
          <w:lang w:eastAsia="zh-CN"/>
        </w:rPr>
        <w:t>Case 1: UE reports “</w:t>
      </w:r>
      <w:proofErr w:type="spellStart"/>
      <w:r w:rsidRPr="00097CBB">
        <w:rPr>
          <w:rFonts w:eastAsiaTheme="minorEastAsia"/>
          <w:b/>
          <w:sz w:val="21"/>
          <w:szCs w:val="21"/>
          <w:lang w:eastAsia="zh-CN"/>
        </w:rPr>
        <w:t>intraBandENDC</w:t>
      </w:r>
      <w:proofErr w:type="spellEnd"/>
      <w:r w:rsidRPr="00097CBB">
        <w:rPr>
          <w:rFonts w:eastAsiaTheme="minorEastAsia"/>
          <w:b/>
          <w:sz w:val="21"/>
          <w:szCs w:val="21"/>
          <w:lang w:eastAsia="zh-CN"/>
        </w:rPr>
        <w:t>-Support: non-contiguous” and the new capability</w:t>
      </w:r>
    </w:p>
    <w:p w:rsidR="00097CBB" w:rsidRPr="00097CBB" w:rsidRDefault="00097CBB" w:rsidP="00097CBB">
      <w:pPr>
        <w:pStyle w:val="af5"/>
        <w:numPr>
          <w:ilvl w:val="0"/>
          <w:numId w:val="6"/>
        </w:numPr>
        <w:rPr>
          <w:rFonts w:eastAsiaTheme="minorEastAsia"/>
          <w:b/>
          <w:sz w:val="21"/>
          <w:szCs w:val="21"/>
          <w:lang w:eastAsia="zh-CN"/>
        </w:rPr>
      </w:pPr>
      <w:r w:rsidRPr="00097CBB">
        <w:rPr>
          <w:rFonts w:eastAsiaTheme="minorEastAsia"/>
          <w:b/>
          <w:sz w:val="21"/>
          <w:szCs w:val="21"/>
          <w:lang w:eastAsia="zh-CN"/>
        </w:rPr>
        <w:t>Case 2 UE reports “</w:t>
      </w:r>
      <w:proofErr w:type="spellStart"/>
      <w:r w:rsidRPr="00097CBB">
        <w:rPr>
          <w:rFonts w:eastAsiaTheme="minorEastAsia"/>
          <w:b/>
          <w:sz w:val="21"/>
          <w:szCs w:val="21"/>
          <w:lang w:eastAsia="zh-CN"/>
        </w:rPr>
        <w:t>intraBandENDC</w:t>
      </w:r>
      <w:proofErr w:type="spellEnd"/>
      <w:r w:rsidRPr="00097CBB">
        <w:rPr>
          <w:rFonts w:eastAsiaTheme="minorEastAsia"/>
          <w:b/>
          <w:sz w:val="21"/>
          <w:szCs w:val="21"/>
          <w:lang w:eastAsia="zh-CN"/>
        </w:rPr>
        <w:t>-Support: both”.</w:t>
      </w:r>
    </w:p>
    <w:p w:rsidR="00097CBB" w:rsidRPr="00097CBB" w:rsidRDefault="00097CBB" w:rsidP="00097CBB">
      <w:pPr>
        <w:pStyle w:val="af5"/>
        <w:numPr>
          <w:ilvl w:val="0"/>
          <w:numId w:val="5"/>
        </w:numPr>
        <w:rPr>
          <w:rFonts w:eastAsiaTheme="minorEastAsia"/>
          <w:b/>
          <w:sz w:val="21"/>
          <w:szCs w:val="21"/>
          <w:lang w:eastAsia="zh-CN"/>
        </w:rPr>
      </w:pPr>
      <w:r w:rsidRPr="00097CBB">
        <w:rPr>
          <w:rFonts w:eastAsiaTheme="minorEastAsia"/>
          <w:b/>
          <w:sz w:val="21"/>
          <w:szCs w:val="21"/>
          <w:lang w:eastAsia="zh-CN"/>
        </w:rPr>
        <w:t xml:space="preserve">Issue 3: There is also a corresponding capability for the uplink (i.e. </w:t>
      </w:r>
      <w:proofErr w:type="spellStart"/>
      <w:r w:rsidRPr="00097CBB">
        <w:rPr>
          <w:rFonts w:eastAsiaTheme="minorEastAsia"/>
          <w:b/>
          <w:sz w:val="21"/>
          <w:szCs w:val="21"/>
          <w:lang w:eastAsia="zh-CN"/>
        </w:rPr>
        <w:t>intrabandENDC</w:t>
      </w:r>
      <w:proofErr w:type="spellEnd"/>
      <w:r w:rsidRPr="00097CBB">
        <w:rPr>
          <w:rFonts w:eastAsiaTheme="minorEastAsia"/>
          <w:b/>
          <w:sz w:val="21"/>
          <w:szCs w:val="21"/>
          <w:lang w:eastAsia="zh-CN"/>
        </w:rPr>
        <w:t>-Support-UL), whether to extend this new capability to the Uplink?</w:t>
      </w:r>
    </w:p>
    <w:p w:rsidR="00097CBB" w:rsidRPr="00097CBB" w:rsidRDefault="00097CBB" w:rsidP="00097CBB">
      <w:pPr>
        <w:pStyle w:val="af5"/>
        <w:numPr>
          <w:ilvl w:val="0"/>
          <w:numId w:val="5"/>
        </w:numPr>
        <w:rPr>
          <w:rFonts w:eastAsiaTheme="minorEastAsia"/>
          <w:b/>
          <w:sz w:val="21"/>
          <w:szCs w:val="21"/>
          <w:lang w:eastAsia="zh-CN"/>
        </w:rPr>
      </w:pPr>
      <w:r w:rsidRPr="00097CBB">
        <w:rPr>
          <w:rFonts w:eastAsiaTheme="minorEastAsia"/>
          <w:b/>
          <w:sz w:val="21"/>
          <w:szCs w:val="21"/>
          <w:lang w:eastAsia="zh-CN"/>
        </w:rPr>
        <w:t>Issue 4: Whether</w:t>
      </w:r>
      <w:r w:rsidR="005145DD">
        <w:rPr>
          <w:rFonts w:eastAsiaTheme="minorEastAsia"/>
          <w:b/>
          <w:sz w:val="21"/>
          <w:szCs w:val="21"/>
          <w:lang w:eastAsia="zh-CN"/>
        </w:rPr>
        <w:t xml:space="preserve"> to </w:t>
      </w:r>
      <w:r w:rsidRPr="00097CBB">
        <w:rPr>
          <w:rFonts w:eastAsiaTheme="minorEastAsia"/>
          <w:b/>
          <w:sz w:val="21"/>
          <w:szCs w:val="21"/>
          <w:lang w:eastAsia="zh-CN"/>
        </w:rPr>
        <w:t>extend the new capability for the multiple intra-bands case</w:t>
      </w:r>
      <w:r w:rsidR="005145DD">
        <w:rPr>
          <w:rFonts w:eastAsiaTheme="minorEastAsia"/>
          <w:b/>
          <w:sz w:val="21"/>
          <w:szCs w:val="21"/>
          <w:lang w:eastAsia="zh-CN"/>
        </w:rPr>
        <w:t xml:space="preserve"> [2</w:t>
      </w:r>
      <w:proofErr w:type="gramStart"/>
      <w:r w:rsidR="005145DD">
        <w:rPr>
          <w:rFonts w:eastAsiaTheme="minorEastAsia"/>
          <w:b/>
          <w:sz w:val="21"/>
          <w:szCs w:val="21"/>
          <w:lang w:eastAsia="zh-CN"/>
        </w:rPr>
        <w:t>][</w:t>
      </w:r>
      <w:proofErr w:type="gramEnd"/>
      <w:r w:rsidR="005145DD">
        <w:rPr>
          <w:rFonts w:eastAsiaTheme="minorEastAsia"/>
          <w:b/>
          <w:sz w:val="21"/>
          <w:szCs w:val="21"/>
          <w:lang w:eastAsia="zh-CN"/>
        </w:rPr>
        <w:t>3][4][5]</w:t>
      </w:r>
      <w:r w:rsidRPr="00097CBB">
        <w:rPr>
          <w:rFonts w:eastAsiaTheme="minorEastAsia"/>
          <w:b/>
          <w:sz w:val="21"/>
          <w:szCs w:val="21"/>
          <w:lang w:eastAsia="zh-CN"/>
        </w:rPr>
        <w:t>?</w:t>
      </w:r>
    </w:p>
    <w:p w:rsidR="00C9280F" w:rsidRDefault="00097CBB" w:rsidP="00332BFC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Based on the above observations, we give the below </w:t>
      </w:r>
      <w:r w:rsidR="00E450A7">
        <w:rPr>
          <w:rFonts w:eastAsiaTheme="minorEastAsia"/>
          <w:sz w:val="21"/>
          <w:szCs w:val="21"/>
          <w:lang w:eastAsia="zh-CN"/>
        </w:rPr>
        <w:t>proposal.</w:t>
      </w:r>
    </w:p>
    <w:p w:rsidR="00097CBB" w:rsidRDefault="00097CBB" w:rsidP="00332BFC">
      <w:pPr>
        <w:rPr>
          <w:rFonts w:eastAsiaTheme="minorEastAsia"/>
          <w:b/>
          <w:sz w:val="21"/>
          <w:szCs w:val="21"/>
          <w:lang w:eastAsia="zh-CN"/>
        </w:rPr>
      </w:pPr>
      <w:r w:rsidRPr="00097CBB">
        <w:rPr>
          <w:rFonts w:eastAsiaTheme="minorEastAsia"/>
          <w:b/>
          <w:sz w:val="21"/>
          <w:szCs w:val="21"/>
          <w:lang w:eastAsia="zh-CN"/>
        </w:rPr>
        <w:t>Proposal 1:</w:t>
      </w:r>
      <w:r>
        <w:rPr>
          <w:rFonts w:eastAsiaTheme="minorEastAsia"/>
          <w:b/>
          <w:sz w:val="21"/>
          <w:szCs w:val="21"/>
          <w:lang w:eastAsia="zh-CN"/>
        </w:rPr>
        <w:t xml:space="preserve"> Ran2 would not introduce the new capability for the case that the UE supports both contiguous and non-contiguous. </w:t>
      </w:r>
      <w:r w:rsidR="00E450A7">
        <w:rPr>
          <w:rFonts w:eastAsiaTheme="minorEastAsia"/>
          <w:b/>
          <w:sz w:val="21"/>
          <w:szCs w:val="21"/>
          <w:lang w:eastAsia="zh-CN"/>
        </w:rPr>
        <w:t>According to the RAN2 spec, t</w:t>
      </w:r>
      <w:r>
        <w:rPr>
          <w:rFonts w:eastAsiaTheme="minorEastAsia"/>
          <w:b/>
          <w:sz w:val="21"/>
          <w:szCs w:val="21"/>
          <w:lang w:eastAsia="zh-CN"/>
        </w:rPr>
        <w:t>he UE should report the “both” for this case</w:t>
      </w:r>
      <w:r w:rsidR="00E450A7">
        <w:rPr>
          <w:rFonts w:eastAsiaTheme="minorEastAsia"/>
          <w:b/>
          <w:sz w:val="21"/>
          <w:szCs w:val="21"/>
          <w:lang w:eastAsia="zh-CN"/>
        </w:rPr>
        <w:t xml:space="preserve"> with the existing signalling.</w:t>
      </w:r>
    </w:p>
    <w:p w:rsidR="00E450A7" w:rsidRPr="00E450A7" w:rsidRDefault="00E450A7" w:rsidP="00332BFC">
      <w:pPr>
        <w:rPr>
          <w:rFonts w:eastAsiaTheme="minorEastAsia"/>
          <w:sz w:val="21"/>
          <w:szCs w:val="21"/>
          <w:lang w:eastAsia="zh-CN"/>
        </w:rPr>
      </w:pPr>
      <w:r w:rsidRPr="00E450A7">
        <w:rPr>
          <w:rFonts w:eastAsiaTheme="minorEastAsia"/>
          <w:sz w:val="21"/>
          <w:szCs w:val="21"/>
          <w:lang w:eastAsia="zh-CN"/>
        </w:rPr>
        <w:t>Ran2 can send the reply LS to Ran4 with the above observations and the proposal.</w:t>
      </w:r>
      <w:r w:rsidR="005145DD">
        <w:rPr>
          <w:rFonts w:eastAsiaTheme="minorEastAsia"/>
          <w:sz w:val="21"/>
          <w:szCs w:val="21"/>
          <w:lang w:eastAsia="zh-CN"/>
        </w:rPr>
        <w:t xml:space="preserve"> The draft LS was also provided in the [6].</w:t>
      </w:r>
    </w:p>
    <w:p w:rsidR="005145DD" w:rsidRDefault="00E450A7" w:rsidP="00332BFC">
      <w:pPr>
        <w:rPr>
          <w:rFonts w:eastAsiaTheme="minorEastAsia"/>
          <w:b/>
          <w:sz w:val="21"/>
          <w:szCs w:val="21"/>
          <w:lang w:eastAsia="zh-CN"/>
        </w:rPr>
      </w:pPr>
      <w:r>
        <w:rPr>
          <w:rFonts w:eastAsiaTheme="minorEastAsia"/>
          <w:b/>
          <w:sz w:val="21"/>
          <w:szCs w:val="21"/>
          <w:lang w:eastAsia="zh-CN"/>
        </w:rPr>
        <w:t>Proposal 2: Include the above observations and the proposal in the reply LS</w:t>
      </w:r>
      <w:r w:rsidR="005145DD">
        <w:rPr>
          <w:rFonts w:eastAsiaTheme="minorEastAsia"/>
          <w:b/>
          <w:sz w:val="21"/>
          <w:szCs w:val="21"/>
          <w:lang w:eastAsia="zh-CN"/>
        </w:rPr>
        <w:t xml:space="preserve"> [6]</w:t>
      </w:r>
      <w:r>
        <w:rPr>
          <w:rFonts w:eastAsiaTheme="minorEastAsia"/>
          <w:b/>
          <w:sz w:val="21"/>
          <w:szCs w:val="21"/>
          <w:lang w:eastAsia="zh-CN"/>
        </w:rPr>
        <w:t>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521C86" w:rsidRDefault="00466246">
      <w:pPr>
        <w:spacing w:beforeLines="50"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With the above analysis, we have the following </w:t>
      </w:r>
      <w:r>
        <w:rPr>
          <w:sz w:val="21"/>
          <w:szCs w:val="21"/>
        </w:rPr>
        <w:t>proposals</w:t>
      </w:r>
      <w:r>
        <w:rPr>
          <w:rFonts w:hint="eastAsia"/>
          <w:sz w:val="21"/>
          <w:szCs w:val="21"/>
        </w:rPr>
        <w:t>:</w:t>
      </w:r>
    </w:p>
    <w:p w:rsidR="00106241" w:rsidRDefault="00106241" w:rsidP="00106241">
      <w:pPr>
        <w:rPr>
          <w:rFonts w:eastAsiaTheme="minorEastAsia"/>
          <w:b/>
          <w:sz w:val="21"/>
          <w:szCs w:val="21"/>
          <w:lang w:eastAsia="zh-CN"/>
        </w:rPr>
      </w:pPr>
      <w:r w:rsidRPr="00E74A83">
        <w:rPr>
          <w:rFonts w:eastAsiaTheme="minorEastAsia"/>
          <w:b/>
          <w:sz w:val="21"/>
          <w:szCs w:val="21"/>
          <w:lang w:eastAsia="zh-CN"/>
        </w:rPr>
        <w:t>Observation 1:</w:t>
      </w:r>
      <w:r>
        <w:rPr>
          <w:rFonts w:eastAsiaTheme="minorEastAsia"/>
          <w:b/>
          <w:sz w:val="21"/>
          <w:szCs w:val="21"/>
          <w:lang w:eastAsia="zh-CN"/>
        </w:rPr>
        <w:t xml:space="preserve"> From forward compatibility aspect, RAN2 signalling can include more cases th</w:t>
      </w:r>
      <w:r w:rsidR="00EE7DB3">
        <w:rPr>
          <w:rFonts w:eastAsiaTheme="minorEastAsia"/>
          <w:b/>
          <w:sz w:val="21"/>
          <w:szCs w:val="21"/>
          <w:lang w:eastAsia="zh-CN"/>
        </w:rPr>
        <w:t>a</w:t>
      </w:r>
      <w:r>
        <w:rPr>
          <w:rFonts w:eastAsiaTheme="minorEastAsia"/>
          <w:b/>
          <w:sz w:val="21"/>
          <w:szCs w:val="21"/>
          <w:lang w:eastAsia="zh-CN"/>
        </w:rPr>
        <w:t>n the current UE supported.</w:t>
      </w:r>
    </w:p>
    <w:p w:rsidR="00106241" w:rsidRPr="00C9280F" w:rsidRDefault="00106241" w:rsidP="00106241">
      <w:pPr>
        <w:rPr>
          <w:rFonts w:eastAsiaTheme="minorEastAsia"/>
          <w:b/>
          <w:sz w:val="21"/>
          <w:szCs w:val="21"/>
          <w:lang w:eastAsia="zh-CN"/>
        </w:rPr>
      </w:pPr>
      <w:r w:rsidRPr="00C9280F">
        <w:rPr>
          <w:rFonts w:eastAsiaTheme="minorEastAsia"/>
          <w:b/>
          <w:sz w:val="21"/>
          <w:szCs w:val="21"/>
          <w:lang w:eastAsia="zh-CN"/>
        </w:rPr>
        <w:t>Observation 2: The problem happens when the UE supports both contiguous and non-contiguous but reports non-contiguous only. If the UE reports the capability correctly according to the RAN2 spec, there would be no problem.</w:t>
      </w:r>
    </w:p>
    <w:p w:rsidR="00106241" w:rsidRPr="00C9280F" w:rsidRDefault="00106241" w:rsidP="00106241">
      <w:pPr>
        <w:rPr>
          <w:rFonts w:eastAsiaTheme="minorEastAsia"/>
          <w:b/>
          <w:sz w:val="21"/>
          <w:szCs w:val="21"/>
          <w:lang w:eastAsia="zh-CN"/>
        </w:rPr>
      </w:pPr>
      <w:r w:rsidRPr="00C9280F">
        <w:rPr>
          <w:rFonts w:eastAsiaTheme="minorEastAsia"/>
          <w:b/>
          <w:sz w:val="21"/>
          <w:szCs w:val="21"/>
          <w:lang w:eastAsia="zh-CN"/>
        </w:rPr>
        <w:t>Observation 3: The new capability mechanism requires updating at both the UE and network side</w:t>
      </w:r>
      <w:r>
        <w:rPr>
          <w:rFonts w:eastAsiaTheme="minorEastAsia"/>
          <w:b/>
          <w:sz w:val="21"/>
          <w:szCs w:val="21"/>
          <w:lang w:eastAsia="zh-CN"/>
        </w:rPr>
        <w:t xml:space="preserve">, which means it can’t work when the new UE enters into the old </w:t>
      </w:r>
      <w:proofErr w:type="spellStart"/>
      <w:r>
        <w:rPr>
          <w:rFonts w:eastAsiaTheme="minorEastAsia"/>
          <w:b/>
          <w:sz w:val="21"/>
          <w:szCs w:val="21"/>
          <w:lang w:eastAsia="zh-CN"/>
        </w:rPr>
        <w:t>gNB</w:t>
      </w:r>
      <w:proofErr w:type="spellEnd"/>
      <w:r>
        <w:rPr>
          <w:rFonts w:eastAsiaTheme="minorEastAsia"/>
          <w:b/>
          <w:sz w:val="21"/>
          <w:szCs w:val="21"/>
          <w:lang w:eastAsia="zh-CN"/>
        </w:rPr>
        <w:t xml:space="preserve">. </w:t>
      </w:r>
    </w:p>
    <w:p w:rsidR="00106241" w:rsidRPr="00097CBB" w:rsidRDefault="00106241" w:rsidP="00106241">
      <w:pPr>
        <w:rPr>
          <w:rFonts w:eastAsiaTheme="minorEastAsia"/>
          <w:b/>
          <w:sz w:val="21"/>
          <w:szCs w:val="21"/>
          <w:lang w:eastAsia="zh-CN"/>
        </w:rPr>
      </w:pPr>
      <w:r w:rsidRPr="00097CBB">
        <w:rPr>
          <w:rFonts w:eastAsiaTheme="minorEastAsia"/>
          <w:b/>
          <w:sz w:val="21"/>
          <w:szCs w:val="21"/>
          <w:lang w:eastAsia="zh-CN"/>
        </w:rPr>
        <w:t>Observation 4: Before introducing the new capability, at least the issues as below need to be further discussed and clarified:</w:t>
      </w:r>
    </w:p>
    <w:p w:rsidR="00106241" w:rsidRPr="00097CBB" w:rsidRDefault="00106241" w:rsidP="00106241">
      <w:pPr>
        <w:pStyle w:val="af5"/>
        <w:numPr>
          <w:ilvl w:val="0"/>
          <w:numId w:val="5"/>
        </w:numPr>
        <w:rPr>
          <w:rFonts w:eastAsiaTheme="minorEastAsia"/>
          <w:b/>
          <w:sz w:val="21"/>
          <w:szCs w:val="21"/>
          <w:lang w:eastAsia="zh-CN"/>
        </w:rPr>
      </w:pPr>
      <w:r w:rsidRPr="00097CBB">
        <w:rPr>
          <w:rFonts w:eastAsiaTheme="minorEastAsia"/>
          <w:b/>
          <w:sz w:val="21"/>
          <w:szCs w:val="21"/>
          <w:lang w:eastAsia="zh-CN"/>
        </w:rPr>
        <w:t>Issue 1</w:t>
      </w:r>
      <w:r w:rsidRPr="00097CBB">
        <w:rPr>
          <w:rFonts w:eastAsiaTheme="minorEastAsia" w:hint="eastAsia"/>
          <w:b/>
          <w:sz w:val="21"/>
          <w:szCs w:val="21"/>
          <w:lang w:eastAsia="zh-CN"/>
        </w:rPr>
        <w:t>:</w:t>
      </w:r>
      <w:r w:rsidRPr="00097CBB">
        <w:rPr>
          <w:rFonts w:eastAsiaTheme="minorEastAsia"/>
          <w:b/>
          <w:sz w:val="21"/>
          <w:szCs w:val="21"/>
          <w:lang w:eastAsia="zh-CN"/>
        </w:rPr>
        <w:t xml:space="preserve"> Which requirements (contiguous or non-contiguous) shall be used for the case that the UE reports “</w:t>
      </w:r>
      <w:proofErr w:type="spellStart"/>
      <w:r w:rsidRPr="00097CBB">
        <w:rPr>
          <w:rFonts w:eastAsiaTheme="minorEastAsia"/>
          <w:b/>
          <w:sz w:val="21"/>
          <w:szCs w:val="21"/>
          <w:lang w:eastAsia="zh-CN"/>
        </w:rPr>
        <w:t>intraBandENDC</w:t>
      </w:r>
      <w:proofErr w:type="spellEnd"/>
      <w:r w:rsidRPr="00097CBB">
        <w:rPr>
          <w:rFonts w:eastAsiaTheme="minorEastAsia"/>
          <w:b/>
          <w:sz w:val="21"/>
          <w:szCs w:val="21"/>
          <w:lang w:eastAsia="zh-CN"/>
        </w:rPr>
        <w:t>-Support: non-contiguous” and the new capability?</w:t>
      </w:r>
    </w:p>
    <w:p w:rsidR="00106241" w:rsidRPr="00097CBB" w:rsidRDefault="00106241" w:rsidP="00106241">
      <w:pPr>
        <w:pStyle w:val="af5"/>
        <w:numPr>
          <w:ilvl w:val="0"/>
          <w:numId w:val="5"/>
        </w:numPr>
        <w:rPr>
          <w:rFonts w:eastAsiaTheme="minorEastAsia"/>
          <w:b/>
          <w:sz w:val="21"/>
          <w:szCs w:val="21"/>
          <w:lang w:eastAsia="zh-CN"/>
        </w:rPr>
      </w:pPr>
      <w:r w:rsidRPr="00097CBB">
        <w:rPr>
          <w:rFonts w:eastAsiaTheme="minorEastAsia"/>
          <w:b/>
          <w:sz w:val="21"/>
          <w:szCs w:val="21"/>
          <w:lang w:eastAsia="zh-CN"/>
        </w:rPr>
        <w:t>Issue 2: Are there any different between the below 2 cases:</w:t>
      </w:r>
    </w:p>
    <w:p w:rsidR="00106241" w:rsidRPr="00097CBB" w:rsidRDefault="00106241" w:rsidP="00106241">
      <w:pPr>
        <w:pStyle w:val="af5"/>
        <w:numPr>
          <w:ilvl w:val="0"/>
          <w:numId w:val="6"/>
        </w:numPr>
        <w:rPr>
          <w:rFonts w:eastAsiaTheme="minorEastAsia"/>
          <w:b/>
          <w:sz w:val="21"/>
          <w:szCs w:val="21"/>
          <w:lang w:eastAsia="zh-CN"/>
        </w:rPr>
      </w:pPr>
      <w:r w:rsidRPr="00097CBB">
        <w:rPr>
          <w:rFonts w:eastAsiaTheme="minorEastAsia"/>
          <w:b/>
          <w:sz w:val="21"/>
          <w:szCs w:val="21"/>
          <w:lang w:eastAsia="zh-CN"/>
        </w:rPr>
        <w:t>Case 1: UE reports “</w:t>
      </w:r>
      <w:proofErr w:type="spellStart"/>
      <w:r w:rsidRPr="00097CBB">
        <w:rPr>
          <w:rFonts w:eastAsiaTheme="minorEastAsia"/>
          <w:b/>
          <w:sz w:val="21"/>
          <w:szCs w:val="21"/>
          <w:lang w:eastAsia="zh-CN"/>
        </w:rPr>
        <w:t>intraBandENDC</w:t>
      </w:r>
      <w:proofErr w:type="spellEnd"/>
      <w:r w:rsidRPr="00097CBB">
        <w:rPr>
          <w:rFonts w:eastAsiaTheme="minorEastAsia"/>
          <w:b/>
          <w:sz w:val="21"/>
          <w:szCs w:val="21"/>
          <w:lang w:eastAsia="zh-CN"/>
        </w:rPr>
        <w:t>-Support: non-contiguous” and the new capability</w:t>
      </w:r>
    </w:p>
    <w:p w:rsidR="00106241" w:rsidRPr="00097CBB" w:rsidRDefault="00106241" w:rsidP="00106241">
      <w:pPr>
        <w:pStyle w:val="af5"/>
        <w:numPr>
          <w:ilvl w:val="0"/>
          <w:numId w:val="6"/>
        </w:numPr>
        <w:rPr>
          <w:rFonts w:eastAsiaTheme="minorEastAsia"/>
          <w:b/>
          <w:sz w:val="21"/>
          <w:szCs w:val="21"/>
          <w:lang w:eastAsia="zh-CN"/>
        </w:rPr>
      </w:pPr>
      <w:r w:rsidRPr="00097CBB">
        <w:rPr>
          <w:rFonts w:eastAsiaTheme="minorEastAsia"/>
          <w:b/>
          <w:sz w:val="21"/>
          <w:szCs w:val="21"/>
          <w:lang w:eastAsia="zh-CN"/>
        </w:rPr>
        <w:t>Case 2 UE reports “</w:t>
      </w:r>
      <w:proofErr w:type="spellStart"/>
      <w:r w:rsidRPr="00097CBB">
        <w:rPr>
          <w:rFonts w:eastAsiaTheme="minorEastAsia"/>
          <w:b/>
          <w:sz w:val="21"/>
          <w:szCs w:val="21"/>
          <w:lang w:eastAsia="zh-CN"/>
        </w:rPr>
        <w:t>intraBandENDC</w:t>
      </w:r>
      <w:proofErr w:type="spellEnd"/>
      <w:r w:rsidRPr="00097CBB">
        <w:rPr>
          <w:rFonts w:eastAsiaTheme="minorEastAsia"/>
          <w:b/>
          <w:sz w:val="21"/>
          <w:szCs w:val="21"/>
          <w:lang w:eastAsia="zh-CN"/>
        </w:rPr>
        <w:t>-Support: both”.</w:t>
      </w:r>
    </w:p>
    <w:p w:rsidR="00106241" w:rsidRPr="00097CBB" w:rsidRDefault="00106241" w:rsidP="00106241">
      <w:pPr>
        <w:pStyle w:val="af5"/>
        <w:numPr>
          <w:ilvl w:val="0"/>
          <w:numId w:val="5"/>
        </w:numPr>
        <w:rPr>
          <w:rFonts w:eastAsiaTheme="minorEastAsia"/>
          <w:b/>
          <w:sz w:val="21"/>
          <w:szCs w:val="21"/>
          <w:lang w:eastAsia="zh-CN"/>
        </w:rPr>
      </w:pPr>
      <w:r w:rsidRPr="00097CBB">
        <w:rPr>
          <w:rFonts w:eastAsiaTheme="minorEastAsia"/>
          <w:b/>
          <w:sz w:val="21"/>
          <w:szCs w:val="21"/>
          <w:lang w:eastAsia="zh-CN"/>
        </w:rPr>
        <w:t xml:space="preserve">Issue 3: There is also a corresponding capability for the uplink (i.e. </w:t>
      </w:r>
      <w:proofErr w:type="spellStart"/>
      <w:r w:rsidRPr="00097CBB">
        <w:rPr>
          <w:rFonts w:eastAsiaTheme="minorEastAsia"/>
          <w:b/>
          <w:sz w:val="21"/>
          <w:szCs w:val="21"/>
          <w:lang w:eastAsia="zh-CN"/>
        </w:rPr>
        <w:t>intrabandENDC</w:t>
      </w:r>
      <w:proofErr w:type="spellEnd"/>
      <w:r w:rsidRPr="00097CBB">
        <w:rPr>
          <w:rFonts w:eastAsiaTheme="minorEastAsia"/>
          <w:b/>
          <w:sz w:val="21"/>
          <w:szCs w:val="21"/>
          <w:lang w:eastAsia="zh-CN"/>
        </w:rPr>
        <w:t>-Support-UL), whether to extend this new capability to the Uplink?</w:t>
      </w:r>
    </w:p>
    <w:p w:rsidR="00106241" w:rsidRPr="00097CBB" w:rsidRDefault="00106241" w:rsidP="00106241">
      <w:pPr>
        <w:pStyle w:val="af5"/>
        <w:numPr>
          <w:ilvl w:val="0"/>
          <w:numId w:val="5"/>
        </w:numPr>
        <w:rPr>
          <w:rFonts w:eastAsiaTheme="minorEastAsia"/>
          <w:b/>
          <w:sz w:val="21"/>
          <w:szCs w:val="21"/>
          <w:lang w:eastAsia="zh-CN"/>
        </w:rPr>
      </w:pPr>
      <w:r w:rsidRPr="00097CBB">
        <w:rPr>
          <w:rFonts w:eastAsiaTheme="minorEastAsia"/>
          <w:b/>
          <w:sz w:val="21"/>
          <w:szCs w:val="21"/>
          <w:lang w:eastAsia="zh-CN"/>
        </w:rPr>
        <w:t>Issue 4: Whether</w:t>
      </w:r>
      <w:r>
        <w:rPr>
          <w:rFonts w:eastAsiaTheme="minorEastAsia"/>
          <w:b/>
          <w:sz w:val="21"/>
          <w:szCs w:val="21"/>
          <w:lang w:eastAsia="zh-CN"/>
        </w:rPr>
        <w:t xml:space="preserve"> to </w:t>
      </w:r>
      <w:r w:rsidRPr="00097CBB">
        <w:rPr>
          <w:rFonts w:eastAsiaTheme="minorEastAsia"/>
          <w:b/>
          <w:sz w:val="21"/>
          <w:szCs w:val="21"/>
          <w:lang w:eastAsia="zh-CN"/>
        </w:rPr>
        <w:t>extend the new capability for the multiple intra-bands case</w:t>
      </w:r>
      <w:r>
        <w:rPr>
          <w:rFonts w:eastAsiaTheme="minorEastAsia"/>
          <w:b/>
          <w:sz w:val="21"/>
          <w:szCs w:val="21"/>
          <w:lang w:eastAsia="zh-CN"/>
        </w:rPr>
        <w:t xml:space="preserve"> [2</w:t>
      </w:r>
      <w:proofErr w:type="gramStart"/>
      <w:r>
        <w:rPr>
          <w:rFonts w:eastAsiaTheme="minorEastAsia"/>
          <w:b/>
          <w:sz w:val="21"/>
          <w:szCs w:val="21"/>
          <w:lang w:eastAsia="zh-CN"/>
        </w:rPr>
        <w:t>][</w:t>
      </w:r>
      <w:proofErr w:type="gramEnd"/>
      <w:r>
        <w:rPr>
          <w:rFonts w:eastAsiaTheme="minorEastAsia"/>
          <w:b/>
          <w:sz w:val="21"/>
          <w:szCs w:val="21"/>
          <w:lang w:eastAsia="zh-CN"/>
        </w:rPr>
        <w:t>3][4][5]</w:t>
      </w:r>
      <w:r w:rsidRPr="00097CBB">
        <w:rPr>
          <w:rFonts w:eastAsiaTheme="minorEastAsia"/>
          <w:b/>
          <w:sz w:val="21"/>
          <w:szCs w:val="21"/>
          <w:lang w:eastAsia="zh-CN"/>
        </w:rPr>
        <w:t>?</w:t>
      </w:r>
    </w:p>
    <w:p w:rsidR="005145DD" w:rsidRDefault="005145DD" w:rsidP="005145DD">
      <w:pPr>
        <w:rPr>
          <w:rFonts w:eastAsiaTheme="minorEastAsia"/>
          <w:b/>
          <w:sz w:val="21"/>
          <w:szCs w:val="21"/>
          <w:lang w:eastAsia="zh-CN"/>
        </w:rPr>
      </w:pPr>
      <w:r w:rsidRPr="00097CBB">
        <w:rPr>
          <w:rFonts w:eastAsiaTheme="minorEastAsia"/>
          <w:b/>
          <w:sz w:val="21"/>
          <w:szCs w:val="21"/>
          <w:lang w:eastAsia="zh-CN"/>
        </w:rPr>
        <w:lastRenderedPageBreak/>
        <w:t>Proposal 1:</w:t>
      </w:r>
      <w:r>
        <w:rPr>
          <w:rFonts w:eastAsiaTheme="minorEastAsia"/>
          <w:b/>
          <w:sz w:val="21"/>
          <w:szCs w:val="21"/>
          <w:lang w:eastAsia="zh-CN"/>
        </w:rPr>
        <w:t xml:space="preserve"> Ran2 would not introduce the new capability for the case that the UE supports both contiguous and non-contiguous. According to the RAN2 spec, the UE should report the “both” for this case with the existing signalling.</w:t>
      </w:r>
    </w:p>
    <w:p w:rsidR="00E715A7" w:rsidRDefault="005145DD" w:rsidP="00E60355">
      <w:pPr>
        <w:rPr>
          <w:rFonts w:eastAsiaTheme="minorEastAsia"/>
          <w:b/>
          <w:sz w:val="21"/>
          <w:szCs w:val="21"/>
          <w:lang w:eastAsia="zh-CN"/>
        </w:rPr>
      </w:pPr>
      <w:r>
        <w:rPr>
          <w:rFonts w:eastAsiaTheme="minorEastAsia"/>
          <w:b/>
          <w:sz w:val="21"/>
          <w:szCs w:val="21"/>
          <w:lang w:eastAsia="zh-CN"/>
        </w:rPr>
        <w:t>Proposal 2: Include the above observations and the proposal in the reply LS</w:t>
      </w:r>
      <w:r w:rsidR="00106241">
        <w:rPr>
          <w:rFonts w:eastAsiaTheme="minorEastAsia"/>
          <w:b/>
          <w:sz w:val="21"/>
          <w:szCs w:val="21"/>
          <w:lang w:eastAsia="zh-CN"/>
        </w:rPr>
        <w:t xml:space="preserve"> [6]</w:t>
      </w:r>
      <w:r>
        <w:rPr>
          <w:rFonts w:eastAsiaTheme="minorEastAsia"/>
          <w:b/>
          <w:sz w:val="21"/>
          <w:szCs w:val="21"/>
          <w:lang w:eastAsia="zh-CN"/>
        </w:rPr>
        <w:t xml:space="preserve">. </w:t>
      </w:r>
    </w:p>
    <w:p w:rsidR="00DD0117" w:rsidRPr="00E715A7" w:rsidRDefault="00DD0117" w:rsidP="00E715A7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 w:rsidRPr="00E715A7">
        <w:rPr>
          <w:rFonts w:cs="Arial" w:hint="eastAsia"/>
          <w:sz w:val="32"/>
          <w:szCs w:val="36"/>
        </w:rPr>
        <w:t>R</w:t>
      </w:r>
      <w:r w:rsidRPr="00E715A7">
        <w:rPr>
          <w:rFonts w:cs="Arial"/>
          <w:sz w:val="32"/>
          <w:szCs w:val="36"/>
        </w:rPr>
        <w:t>eference</w:t>
      </w:r>
    </w:p>
    <w:p w:rsidR="00521C86" w:rsidRPr="005145DD" w:rsidRDefault="009B5C74" w:rsidP="005145DD">
      <w:pPr>
        <w:pStyle w:val="af5"/>
        <w:numPr>
          <w:ilvl w:val="0"/>
          <w:numId w:val="7"/>
        </w:numPr>
        <w:rPr>
          <w:rFonts w:eastAsiaTheme="minorEastAsia"/>
          <w:sz w:val="21"/>
          <w:szCs w:val="21"/>
          <w:lang w:eastAsia="zh-CN"/>
        </w:rPr>
      </w:pPr>
      <w:r w:rsidRPr="005145DD">
        <w:rPr>
          <w:rFonts w:eastAsiaTheme="minorEastAsia"/>
          <w:sz w:val="21"/>
          <w:szCs w:val="21"/>
          <w:lang w:eastAsia="zh-CN"/>
        </w:rPr>
        <w:t>R4-2410693</w:t>
      </w:r>
      <w:r w:rsidR="00A60FA3" w:rsidRPr="005145DD">
        <w:rPr>
          <w:rFonts w:eastAsiaTheme="minorEastAsia"/>
          <w:sz w:val="21"/>
          <w:szCs w:val="21"/>
          <w:lang w:eastAsia="zh-CN"/>
        </w:rPr>
        <w:t xml:space="preserve"> </w:t>
      </w:r>
      <w:r w:rsidR="00EE7DB3">
        <w:rPr>
          <w:rFonts w:eastAsiaTheme="minorEastAsia"/>
          <w:sz w:val="21"/>
          <w:szCs w:val="21"/>
          <w:lang w:eastAsia="zh-CN"/>
        </w:rPr>
        <w:t xml:space="preserve">   </w:t>
      </w:r>
      <w:r w:rsidRPr="005145DD">
        <w:rPr>
          <w:rFonts w:eastAsiaTheme="minorEastAsia"/>
          <w:sz w:val="21"/>
          <w:szCs w:val="21"/>
          <w:lang w:eastAsia="zh-CN"/>
        </w:rPr>
        <w:t xml:space="preserve">LS on intra-band EN-DC channel spacing  </w:t>
      </w:r>
      <w:r w:rsidR="00A60FA3" w:rsidRPr="005145DD">
        <w:rPr>
          <w:rFonts w:eastAsiaTheme="minorEastAsia"/>
          <w:sz w:val="21"/>
          <w:szCs w:val="21"/>
          <w:lang w:eastAsia="zh-CN"/>
        </w:rPr>
        <w:t>To RAN2</w:t>
      </w:r>
      <w:r w:rsidRPr="005145DD">
        <w:rPr>
          <w:rFonts w:eastAsiaTheme="minorEastAsia"/>
          <w:sz w:val="21"/>
          <w:szCs w:val="21"/>
          <w:lang w:eastAsia="zh-CN"/>
        </w:rPr>
        <w:t xml:space="preserve"> </w:t>
      </w:r>
      <w:r w:rsidR="000F2134" w:rsidRPr="005145DD">
        <w:rPr>
          <w:rFonts w:eastAsiaTheme="minorEastAsia"/>
          <w:sz w:val="21"/>
          <w:szCs w:val="21"/>
          <w:lang w:eastAsia="zh-CN"/>
        </w:rPr>
        <w:t xml:space="preserve"> </w:t>
      </w:r>
    </w:p>
    <w:p w:rsidR="005145DD" w:rsidRPr="005145DD" w:rsidRDefault="005145DD" w:rsidP="005145DD">
      <w:pPr>
        <w:pStyle w:val="af5"/>
        <w:numPr>
          <w:ilvl w:val="0"/>
          <w:numId w:val="7"/>
        </w:numPr>
        <w:rPr>
          <w:rFonts w:eastAsiaTheme="minorEastAsia"/>
          <w:sz w:val="21"/>
          <w:szCs w:val="21"/>
          <w:lang w:eastAsia="zh-CN"/>
        </w:rPr>
      </w:pPr>
      <w:r w:rsidRPr="005145DD">
        <w:rPr>
          <w:rFonts w:eastAsiaTheme="minorEastAsia"/>
          <w:sz w:val="21"/>
          <w:szCs w:val="21"/>
          <w:lang w:eastAsia="zh-CN"/>
        </w:rPr>
        <w:t>R2-24059</w:t>
      </w:r>
      <w:r w:rsidRPr="005145DD">
        <w:rPr>
          <w:rFonts w:eastAsiaTheme="minorEastAsia" w:hint="eastAsia"/>
          <w:sz w:val="21"/>
          <w:szCs w:val="21"/>
          <w:lang w:eastAsia="zh-CN"/>
        </w:rPr>
        <w:t>75</w:t>
      </w:r>
      <w:r w:rsidRPr="005145DD">
        <w:rPr>
          <w:rFonts w:eastAsiaTheme="minorEastAsia"/>
          <w:sz w:val="21"/>
          <w:szCs w:val="21"/>
          <w:lang w:eastAsia="zh-CN"/>
        </w:rPr>
        <w:tab/>
        <w:t>Introduction of new intra-band EN-DC capabilities for inter-band EN-DC</w:t>
      </w:r>
      <w:r w:rsidRPr="005145DD">
        <w:rPr>
          <w:rFonts w:eastAsiaTheme="minorEastAsia"/>
          <w:sz w:val="21"/>
          <w:szCs w:val="21"/>
          <w:lang w:eastAsia="zh-CN"/>
        </w:rPr>
        <w:tab/>
        <w:t>Google</w:t>
      </w:r>
      <w:r w:rsidRPr="005145DD">
        <w:rPr>
          <w:rFonts w:eastAsiaTheme="minorEastAsia" w:hint="eastAsia"/>
          <w:sz w:val="21"/>
          <w:szCs w:val="21"/>
          <w:lang w:eastAsia="zh-CN"/>
        </w:rPr>
        <w:t xml:space="preserve"> Inc., CATT</w:t>
      </w:r>
      <w:r w:rsidRPr="005145DD">
        <w:rPr>
          <w:rFonts w:eastAsiaTheme="minorEastAsia"/>
          <w:sz w:val="21"/>
          <w:szCs w:val="21"/>
          <w:lang w:eastAsia="zh-CN"/>
        </w:rPr>
        <w:tab/>
        <w:t>CR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Rel-17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38.331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17.8.0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4750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4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F</w:t>
      </w:r>
      <w:r w:rsidRPr="005145DD">
        <w:rPr>
          <w:rFonts w:eastAsiaTheme="minorEastAsia"/>
          <w:sz w:val="21"/>
          <w:szCs w:val="21"/>
          <w:lang w:eastAsia="zh-CN"/>
        </w:rPr>
        <w:tab/>
      </w:r>
      <w:proofErr w:type="spellStart"/>
      <w:r w:rsidRPr="005145DD">
        <w:rPr>
          <w:rFonts w:eastAsiaTheme="minorEastAsia"/>
          <w:sz w:val="21"/>
          <w:szCs w:val="21"/>
          <w:lang w:eastAsia="zh-CN"/>
        </w:rPr>
        <w:t>NR_newRAT</w:t>
      </w:r>
      <w:proofErr w:type="spellEnd"/>
      <w:r w:rsidRPr="005145DD">
        <w:rPr>
          <w:rFonts w:eastAsiaTheme="minorEastAsia"/>
          <w:sz w:val="21"/>
          <w:szCs w:val="21"/>
          <w:lang w:eastAsia="zh-CN"/>
        </w:rPr>
        <w:t>-Core</w:t>
      </w:r>
      <w:r w:rsidRPr="005145DD">
        <w:rPr>
          <w:rFonts w:eastAsiaTheme="minorEastAsia" w:hint="eastAsia"/>
          <w:sz w:val="21"/>
          <w:szCs w:val="21"/>
          <w:lang w:eastAsia="zh-CN"/>
        </w:rPr>
        <w:t>, TEI17</w:t>
      </w:r>
    </w:p>
    <w:p w:rsidR="005145DD" w:rsidRPr="005145DD" w:rsidRDefault="005145DD" w:rsidP="005145DD">
      <w:pPr>
        <w:pStyle w:val="af5"/>
        <w:numPr>
          <w:ilvl w:val="0"/>
          <w:numId w:val="7"/>
        </w:numPr>
        <w:rPr>
          <w:rFonts w:eastAsiaTheme="minorEastAsia"/>
          <w:sz w:val="21"/>
          <w:szCs w:val="21"/>
          <w:lang w:eastAsia="zh-CN"/>
        </w:rPr>
      </w:pPr>
      <w:r w:rsidRPr="005145DD">
        <w:rPr>
          <w:rFonts w:eastAsiaTheme="minorEastAsia"/>
          <w:sz w:val="21"/>
          <w:szCs w:val="21"/>
          <w:lang w:eastAsia="zh-CN"/>
        </w:rPr>
        <w:t>R2-24059</w:t>
      </w:r>
      <w:r w:rsidRPr="005145DD">
        <w:rPr>
          <w:rFonts w:eastAsiaTheme="minorEastAsia" w:hint="eastAsia"/>
          <w:sz w:val="21"/>
          <w:szCs w:val="21"/>
          <w:lang w:eastAsia="zh-CN"/>
        </w:rPr>
        <w:t>76</w:t>
      </w:r>
      <w:r w:rsidRPr="005145DD">
        <w:rPr>
          <w:rFonts w:eastAsiaTheme="minorEastAsia"/>
          <w:sz w:val="21"/>
          <w:szCs w:val="21"/>
          <w:lang w:eastAsia="zh-CN"/>
        </w:rPr>
        <w:tab/>
        <w:t>Introduction of new intra-band EN-DC capabilities for inter-band EN-DC</w:t>
      </w:r>
      <w:r w:rsidRPr="005145DD">
        <w:rPr>
          <w:rFonts w:eastAsiaTheme="minorEastAsia"/>
          <w:sz w:val="21"/>
          <w:szCs w:val="21"/>
          <w:lang w:eastAsia="zh-CN"/>
        </w:rPr>
        <w:tab/>
        <w:t>Google</w:t>
      </w:r>
      <w:r w:rsidRPr="005145DD">
        <w:rPr>
          <w:rFonts w:eastAsiaTheme="minorEastAsia" w:hint="eastAsia"/>
          <w:sz w:val="21"/>
          <w:szCs w:val="21"/>
          <w:lang w:eastAsia="zh-CN"/>
        </w:rPr>
        <w:t xml:space="preserve"> Inc., CATT</w:t>
      </w:r>
      <w:r w:rsidRPr="005145DD">
        <w:rPr>
          <w:rFonts w:eastAsiaTheme="minorEastAsia"/>
          <w:sz w:val="21"/>
          <w:szCs w:val="21"/>
          <w:lang w:eastAsia="zh-CN"/>
        </w:rPr>
        <w:tab/>
        <w:t>CR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Rel-17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38.306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17.8.0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1084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4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F</w:t>
      </w:r>
      <w:r w:rsidRPr="005145DD">
        <w:rPr>
          <w:rFonts w:eastAsiaTheme="minorEastAsia"/>
          <w:sz w:val="21"/>
          <w:szCs w:val="21"/>
          <w:lang w:eastAsia="zh-CN"/>
        </w:rPr>
        <w:tab/>
      </w:r>
      <w:proofErr w:type="spellStart"/>
      <w:r w:rsidRPr="005145DD">
        <w:rPr>
          <w:rFonts w:eastAsiaTheme="minorEastAsia"/>
          <w:sz w:val="21"/>
          <w:szCs w:val="21"/>
          <w:lang w:eastAsia="zh-CN"/>
        </w:rPr>
        <w:t>NR_newRAT</w:t>
      </w:r>
      <w:proofErr w:type="spellEnd"/>
      <w:r w:rsidRPr="005145DD">
        <w:rPr>
          <w:rFonts w:eastAsiaTheme="minorEastAsia"/>
          <w:sz w:val="21"/>
          <w:szCs w:val="21"/>
          <w:lang w:eastAsia="zh-CN"/>
        </w:rPr>
        <w:t>-Core</w:t>
      </w:r>
      <w:r w:rsidRPr="005145DD">
        <w:rPr>
          <w:rFonts w:eastAsiaTheme="minorEastAsia" w:hint="eastAsia"/>
          <w:sz w:val="21"/>
          <w:szCs w:val="21"/>
          <w:lang w:eastAsia="zh-CN"/>
        </w:rPr>
        <w:t>, TEI17</w:t>
      </w:r>
    </w:p>
    <w:p w:rsidR="005145DD" w:rsidRPr="005145DD" w:rsidRDefault="005145DD" w:rsidP="005145DD">
      <w:pPr>
        <w:pStyle w:val="af5"/>
        <w:numPr>
          <w:ilvl w:val="0"/>
          <w:numId w:val="7"/>
        </w:numPr>
        <w:rPr>
          <w:rFonts w:eastAsiaTheme="minorEastAsia"/>
          <w:sz w:val="21"/>
          <w:szCs w:val="21"/>
          <w:lang w:eastAsia="zh-CN"/>
        </w:rPr>
      </w:pPr>
      <w:r w:rsidRPr="005145DD">
        <w:rPr>
          <w:rFonts w:eastAsiaTheme="minorEastAsia"/>
          <w:sz w:val="21"/>
          <w:szCs w:val="21"/>
          <w:lang w:eastAsia="zh-CN"/>
        </w:rPr>
        <w:t>R2-24059</w:t>
      </w:r>
      <w:r w:rsidRPr="005145DD">
        <w:rPr>
          <w:rFonts w:eastAsiaTheme="minorEastAsia" w:hint="eastAsia"/>
          <w:sz w:val="21"/>
          <w:szCs w:val="21"/>
          <w:lang w:eastAsia="zh-CN"/>
        </w:rPr>
        <w:t>77</w:t>
      </w:r>
      <w:r w:rsidRPr="005145DD">
        <w:rPr>
          <w:rFonts w:eastAsiaTheme="minorEastAsia"/>
          <w:sz w:val="21"/>
          <w:szCs w:val="21"/>
          <w:lang w:eastAsia="zh-CN"/>
        </w:rPr>
        <w:tab/>
        <w:t>Introduction of new intra-band EN-DC capabilities for inter-band EN-DC</w:t>
      </w:r>
      <w:r w:rsidRPr="005145DD">
        <w:rPr>
          <w:rFonts w:eastAsiaTheme="minorEastAsia"/>
          <w:sz w:val="21"/>
          <w:szCs w:val="21"/>
          <w:lang w:eastAsia="zh-CN"/>
        </w:rPr>
        <w:tab/>
        <w:t>Google</w:t>
      </w:r>
      <w:r w:rsidRPr="005145DD">
        <w:rPr>
          <w:rFonts w:eastAsiaTheme="minorEastAsia" w:hint="eastAsia"/>
          <w:sz w:val="21"/>
          <w:szCs w:val="21"/>
          <w:lang w:eastAsia="zh-CN"/>
        </w:rPr>
        <w:t xml:space="preserve"> Inc., CATT</w:t>
      </w:r>
      <w:r w:rsidRPr="005145DD">
        <w:rPr>
          <w:rFonts w:eastAsiaTheme="minorEastAsia"/>
          <w:sz w:val="21"/>
          <w:szCs w:val="21"/>
          <w:lang w:eastAsia="zh-CN"/>
        </w:rPr>
        <w:tab/>
        <w:t>CR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Rel-18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38.331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18.1.0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4751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4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A</w:t>
      </w:r>
      <w:r w:rsidRPr="005145DD">
        <w:rPr>
          <w:rFonts w:eastAsiaTheme="minorEastAsia"/>
          <w:sz w:val="21"/>
          <w:szCs w:val="21"/>
          <w:lang w:eastAsia="zh-CN"/>
        </w:rPr>
        <w:tab/>
      </w:r>
      <w:proofErr w:type="spellStart"/>
      <w:r w:rsidRPr="005145DD">
        <w:rPr>
          <w:rFonts w:eastAsiaTheme="minorEastAsia"/>
          <w:sz w:val="21"/>
          <w:szCs w:val="21"/>
          <w:lang w:eastAsia="zh-CN"/>
        </w:rPr>
        <w:t>NR_newRAT</w:t>
      </w:r>
      <w:proofErr w:type="spellEnd"/>
      <w:r w:rsidRPr="005145DD">
        <w:rPr>
          <w:rFonts w:eastAsiaTheme="minorEastAsia"/>
          <w:sz w:val="21"/>
          <w:szCs w:val="21"/>
          <w:lang w:eastAsia="zh-CN"/>
        </w:rPr>
        <w:t>-Core</w:t>
      </w:r>
      <w:r w:rsidRPr="005145DD">
        <w:rPr>
          <w:rFonts w:eastAsiaTheme="minorEastAsia" w:hint="eastAsia"/>
          <w:sz w:val="21"/>
          <w:szCs w:val="21"/>
          <w:lang w:eastAsia="zh-CN"/>
        </w:rPr>
        <w:t>, TEI17</w:t>
      </w:r>
    </w:p>
    <w:p w:rsidR="005145DD" w:rsidRPr="005145DD" w:rsidRDefault="005145DD" w:rsidP="005145DD">
      <w:pPr>
        <w:pStyle w:val="af5"/>
        <w:numPr>
          <w:ilvl w:val="0"/>
          <w:numId w:val="7"/>
        </w:numPr>
        <w:rPr>
          <w:rFonts w:eastAsiaTheme="minorEastAsia"/>
          <w:sz w:val="21"/>
          <w:szCs w:val="21"/>
          <w:lang w:eastAsia="zh-CN"/>
        </w:rPr>
      </w:pPr>
      <w:r w:rsidRPr="005145DD">
        <w:rPr>
          <w:rFonts w:eastAsiaTheme="minorEastAsia"/>
          <w:sz w:val="21"/>
          <w:szCs w:val="21"/>
          <w:lang w:eastAsia="zh-CN"/>
        </w:rPr>
        <w:t>R2-24059</w:t>
      </w:r>
      <w:r w:rsidRPr="005145DD">
        <w:rPr>
          <w:rFonts w:eastAsiaTheme="minorEastAsia" w:hint="eastAsia"/>
          <w:sz w:val="21"/>
          <w:szCs w:val="21"/>
          <w:lang w:eastAsia="zh-CN"/>
        </w:rPr>
        <w:t>78</w:t>
      </w:r>
      <w:r w:rsidRPr="005145DD">
        <w:rPr>
          <w:rFonts w:eastAsiaTheme="minorEastAsia"/>
          <w:sz w:val="21"/>
          <w:szCs w:val="21"/>
          <w:lang w:eastAsia="zh-CN"/>
        </w:rPr>
        <w:tab/>
        <w:t>Introduction of new intra-band EN-DC capabilities for inter-band EN-DC</w:t>
      </w:r>
      <w:r w:rsidRPr="005145DD">
        <w:rPr>
          <w:rFonts w:eastAsiaTheme="minorEastAsia"/>
          <w:sz w:val="21"/>
          <w:szCs w:val="21"/>
          <w:lang w:eastAsia="zh-CN"/>
        </w:rPr>
        <w:tab/>
        <w:t>Google</w:t>
      </w:r>
      <w:r w:rsidRPr="005145DD">
        <w:rPr>
          <w:rFonts w:eastAsiaTheme="minorEastAsia" w:hint="eastAsia"/>
          <w:sz w:val="21"/>
          <w:szCs w:val="21"/>
          <w:lang w:eastAsia="zh-CN"/>
        </w:rPr>
        <w:t xml:space="preserve"> Inc., CATT</w:t>
      </w:r>
      <w:r w:rsidRPr="005145DD">
        <w:rPr>
          <w:rFonts w:eastAsiaTheme="minorEastAsia"/>
          <w:sz w:val="21"/>
          <w:szCs w:val="21"/>
          <w:lang w:eastAsia="zh-CN"/>
        </w:rPr>
        <w:tab/>
        <w:t>C</w:t>
      </w:r>
      <w:r w:rsidRPr="005145DD">
        <w:rPr>
          <w:rFonts w:eastAsiaTheme="minorEastAsia" w:hint="eastAsia"/>
          <w:sz w:val="21"/>
          <w:szCs w:val="21"/>
          <w:lang w:eastAsia="zh-CN"/>
        </w:rPr>
        <w:t>R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Rel-18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38.306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18.1.0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1085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4</w:t>
      </w:r>
      <w:r w:rsidRPr="005145DD">
        <w:rPr>
          <w:rFonts w:eastAsiaTheme="minorEastAsia"/>
          <w:sz w:val="21"/>
          <w:szCs w:val="21"/>
          <w:lang w:eastAsia="zh-CN"/>
        </w:rPr>
        <w:tab/>
      </w:r>
      <w:r w:rsidRPr="005145DD">
        <w:rPr>
          <w:rFonts w:eastAsiaTheme="minorEastAsia" w:hint="eastAsia"/>
          <w:sz w:val="21"/>
          <w:szCs w:val="21"/>
          <w:lang w:eastAsia="zh-CN"/>
        </w:rPr>
        <w:t>A</w:t>
      </w:r>
      <w:r w:rsidRPr="005145DD">
        <w:rPr>
          <w:rFonts w:eastAsiaTheme="minorEastAsia"/>
          <w:sz w:val="21"/>
          <w:szCs w:val="21"/>
          <w:lang w:eastAsia="zh-CN"/>
        </w:rPr>
        <w:tab/>
      </w:r>
      <w:proofErr w:type="spellStart"/>
      <w:r w:rsidRPr="005145DD">
        <w:rPr>
          <w:rFonts w:eastAsiaTheme="minorEastAsia"/>
          <w:sz w:val="21"/>
          <w:szCs w:val="21"/>
          <w:lang w:eastAsia="zh-CN"/>
        </w:rPr>
        <w:t>NR_newRAT</w:t>
      </w:r>
      <w:proofErr w:type="spellEnd"/>
      <w:r w:rsidRPr="005145DD">
        <w:rPr>
          <w:rFonts w:eastAsiaTheme="minorEastAsia"/>
          <w:sz w:val="21"/>
          <w:szCs w:val="21"/>
          <w:lang w:eastAsia="zh-CN"/>
        </w:rPr>
        <w:t>-Core</w:t>
      </w:r>
      <w:r w:rsidRPr="005145DD">
        <w:rPr>
          <w:rFonts w:eastAsiaTheme="minorEastAsia" w:hint="eastAsia"/>
          <w:sz w:val="21"/>
          <w:szCs w:val="21"/>
          <w:lang w:eastAsia="zh-CN"/>
        </w:rPr>
        <w:t>, TEI17</w:t>
      </w:r>
    </w:p>
    <w:p w:rsidR="005145DD" w:rsidRPr="005145DD" w:rsidRDefault="005145DD" w:rsidP="005145DD">
      <w:pPr>
        <w:pStyle w:val="af5"/>
        <w:numPr>
          <w:ilvl w:val="0"/>
          <w:numId w:val="7"/>
        </w:numPr>
        <w:rPr>
          <w:rFonts w:eastAsiaTheme="minorEastAsia"/>
          <w:sz w:val="21"/>
          <w:szCs w:val="21"/>
          <w:lang w:eastAsia="zh-CN"/>
        </w:rPr>
      </w:pPr>
      <w:r w:rsidRPr="005145DD">
        <w:rPr>
          <w:rFonts w:eastAsiaTheme="minorEastAsia"/>
          <w:sz w:val="21"/>
          <w:szCs w:val="21"/>
          <w:lang w:eastAsia="zh-CN"/>
        </w:rPr>
        <w:t>R2-2407330</w:t>
      </w:r>
      <w:r w:rsidRPr="005145DD">
        <w:rPr>
          <w:rFonts w:eastAsiaTheme="minorEastAsia"/>
          <w:sz w:val="21"/>
          <w:szCs w:val="21"/>
          <w:lang w:eastAsia="zh-CN"/>
        </w:rPr>
        <w:tab/>
        <w:t>Draft Reply LS on the intra-band EN-DC Channel Spacing</w:t>
      </w:r>
      <w:r w:rsidRPr="005145DD">
        <w:rPr>
          <w:rFonts w:eastAsiaTheme="minorEastAsia"/>
          <w:sz w:val="21"/>
          <w:szCs w:val="21"/>
          <w:lang w:eastAsia="zh-CN"/>
        </w:rPr>
        <w:tab/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Pr="005145DD">
        <w:rPr>
          <w:rFonts w:eastAsiaTheme="minorEastAsia"/>
          <w:sz w:val="21"/>
          <w:szCs w:val="21"/>
          <w:lang w:eastAsia="zh-CN"/>
        </w:rPr>
        <w:t xml:space="preserve">ZTE Corporation, </w:t>
      </w:r>
      <w:proofErr w:type="spellStart"/>
      <w:r w:rsidRPr="005145DD">
        <w:rPr>
          <w:rFonts w:eastAsiaTheme="minorEastAsia"/>
          <w:sz w:val="21"/>
          <w:szCs w:val="21"/>
          <w:lang w:eastAsia="zh-CN"/>
        </w:rPr>
        <w:t>Sanechips</w:t>
      </w:r>
      <w:proofErr w:type="spellEnd"/>
    </w:p>
    <w:sectPr w:rsidR="005145DD" w:rsidRPr="005145DD" w:rsidSect="00FA3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51B" w:rsidRDefault="00A5751B">
      <w:pPr>
        <w:spacing w:line="240" w:lineRule="auto"/>
      </w:pPr>
      <w:r>
        <w:separator/>
      </w:r>
    </w:p>
  </w:endnote>
  <w:endnote w:type="continuationSeparator" w:id="0">
    <w:p w:rsidR="00A5751B" w:rsidRDefault="00A575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51B" w:rsidRDefault="00A5751B">
      <w:pPr>
        <w:spacing w:after="0"/>
      </w:pPr>
      <w:r>
        <w:separator/>
      </w:r>
    </w:p>
  </w:footnote>
  <w:footnote w:type="continuationSeparator" w:id="0">
    <w:p w:rsidR="00A5751B" w:rsidRDefault="00A575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55pt;height:11.55pt" o:bullet="t">
        <v:imagedata r:id="rId1" o:title="mso6F24"/>
      </v:shape>
    </w:pict>
  </w:numPicBullet>
  <w:abstractNum w:abstractNumId="0" w15:restartNumberingAfterBreak="0">
    <w:nsid w:val="02B1027A"/>
    <w:multiLevelType w:val="hybridMultilevel"/>
    <w:tmpl w:val="56DEE1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46E61CA4"/>
    <w:multiLevelType w:val="hybridMultilevel"/>
    <w:tmpl w:val="F56832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74205"/>
    <w:multiLevelType w:val="hybridMultilevel"/>
    <w:tmpl w:val="133C2C84"/>
    <w:lvl w:ilvl="0" w:tplc="04090007">
      <w:start w:val="1"/>
      <w:numFmt w:val="bullet"/>
      <w:lvlText w:val=""/>
      <w:lvlPicBulletId w:val="0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49632991"/>
    <w:multiLevelType w:val="hybridMultilevel"/>
    <w:tmpl w:val="B3E4E470"/>
    <w:lvl w:ilvl="0" w:tplc="E33046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96287"/>
    <w:multiLevelType w:val="hybridMultilevel"/>
    <w:tmpl w:val="2356DC22"/>
    <w:lvl w:ilvl="0" w:tplc="E5DCC6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10397"/>
    <w:rsid w:val="00010B99"/>
    <w:rsid w:val="00011050"/>
    <w:rsid w:val="000165B8"/>
    <w:rsid w:val="0001752D"/>
    <w:rsid w:val="00017B08"/>
    <w:rsid w:val="00020CEA"/>
    <w:rsid w:val="0002217E"/>
    <w:rsid w:val="00031151"/>
    <w:rsid w:val="000313A0"/>
    <w:rsid w:val="0003387D"/>
    <w:rsid w:val="0003405C"/>
    <w:rsid w:val="00034E06"/>
    <w:rsid w:val="00035667"/>
    <w:rsid w:val="00037CBA"/>
    <w:rsid w:val="000404AD"/>
    <w:rsid w:val="00042DB3"/>
    <w:rsid w:val="000449D7"/>
    <w:rsid w:val="00046665"/>
    <w:rsid w:val="00046996"/>
    <w:rsid w:val="00046D9B"/>
    <w:rsid w:val="0005073F"/>
    <w:rsid w:val="0005183E"/>
    <w:rsid w:val="00052054"/>
    <w:rsid w:val="00054FF0"/>
    <w:rsid w:val="000550B5"/>
    <w:rsid w:val="000553C9"/>
    <w:rsid w:val="00057CE6"/>
    <w:rsid w:val="00065F9F"/>
    <w:rsid w:val="000660A5"/>
    <w:rsid w:val="00070409"/>
    <w:rsid w:val="00071A4E"/>
    <w:rsid w:val="00072753"/>
    <w:rsid w:val="00077225"/>
    <w:rsid w:val="000773E1"/>
    <w:rsid w:val="000773F6"/>
    <w:rsid w:val="00082748"/>
    <w:rsid w:val="000851E4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97CBB"/>
    <w:rsid w:val="000A0685"/>
    <w:rsid w:val="000A29C6"/>
    <w:rsid w:val="000A7566"/>
    <w:rsid w:val="000A79E7"/>
    <w:rsid w:val="000B0032"/>
    <w:rsid w:val="000B1E3F"/>
    <w:rsid w:val="000B4301"/>
    <w:rsid w:val="000B43BF"/>
    <w:rsid w:val="000B60B3"/>
    <w:rsid w:val="000B7010"/>
    <w:rsid w:val="000C0062"/>
    <w:rsid w:val="000C0B82"/>
    <w:rsid w:val="000C1554"/>
    <w:rsid w:val="000C1596"/>
    <w:rsid w:val="000C68C0"/>
    <w:rsid w:val="000C71DD"/>
    <w:rsid w:val="000C7435"/>
    <w:rsid w:val="000C7499"/>
    <w:rsid w:val="000D359A"/>
    <w:rsid w:val="000D4A1D"/>
    <w:rsid w:val="000D517E"/>
    <w:rsid w:val="000E0E50"/>
    <w:rsid w:val="000E2CE1"/>
    <w:rsid w:val="000E54BB"/>
    <w:rsid w:val="000F2134"/>
    <w:rsid w:val="000F2C66"/>
    <w:rsid w:val="000F3178"/>
    <w:rsid w:val="000F47BB"/>
    <w:rsid w:val="000F480E"/>
    <w:rsid w:val="00100C36"/>
    <w:rsid w:val="0010125D"/>
    <w:rsid w:val="00102FD9"/>
    <w:rsid w:val="00106241"/>
    <w:rsid w:val="00107413"/>
    <w:rsid w:val="00112CA3"/>
    <w:rsid w:val="001140AF"/>
    <w:rsid w:val="001145CD"/>
    <w:rsid w:val="00115184"/>
    <w:rsid w:val="00116469"/>
    <w:rsid w:val="0011676E"/>
    <w:rsid w:val="00120667"/>
    <w:rsid w:val="00121721"/>
    <w:rsid w:val="00126BB0"/>
    <w:rsid w:val="00127444"/>
    <w:rsid w:val="001325E4"/>
    <w:rsid w:val="001328CE"/>
    <w:rsid w:val="0013327E"/>
    <w:rsid w:val="0013354F"/>
    <w:rsid w:val="0013487A"/>
    <w:rsid w:val="001352A4"/>
    <w:rsid w:val="00137B78"/>
    <w:rsid w:val="00141800"/>
    <w:rsid w:val="0014368D"/>
    <w:rsid w:val="0014495F"/>
    <w:rsid w:val="00146CC5"/>
    <w:rsid w:val="00147293"/>
    <w:rsid w:val="0015037D"/>
    <w:rsid w:val="00151AEA"/>
    <w:rsid w:val="00152D22"/>
    <w:rsid w:val="001531ED"/>
    <w:rsid w:val="0015338D"/>
    <w:rsid w:val="00154011"/>
    <w:rsid w:val="001555F7"/>
    <w:rsid w:val="001578A6"/>
    <w:rsid w:val="00162FA3"/>
    <w:rsid w:val="00166BC5"/>
    <w:rsid w:val="00167A4E"/>
    <w:rsid w:val="0017009D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95B73"/>
    <w:rsid w:val="0019619F"/>
    <w:rsid w:val="00196DBE"/>
    <w:rsid w:val="001A135B"/>
    <w:rsid w:val="001A5BDE"/>
    <w:rsid w:val="001A5BE0"/>
    <w:rsid w:val="001A5E78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5400"/>
    <w:rsid w:val="001C6BE2"/>
    <w:rsid w:val="001C72F6"/>
    <w:rsid w:val="001C7446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AB3"/>
    <w:rsid w:val="001E71A0"/>
    <w:rsid w:val="001E7359"/>
    <w:rsid w:val="001E7EBA"/>
    <w:rsid w:val="001F0045"/>
    <w:rsid w:val="001F1B30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EE4"/>
    <w:rsid w:val="00217299"/>
    <w:rsid w:val="002175A7"/>
    <w:rsid w:val="00217ED1"/>
    <w:rsid w:val="00220318"/>
    <w:rsid w:val="00220B97"/>
    <w:rsid w:val="00221512"/>
    <w:rsid w:val="002224AB"/>
    <w:rsid w:val="00223A40"/>
    <w:rsid w:val="00225789"/>
    <w:rsid w:val="0022651C"/>
    <w:rsid w:val="0023230A"/>
    <w:rsid w:val="002333B0"/>
    <w:rsid w:val="0023392B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6BF"/>
    <w:rsid w:val="00254930"/>
    <w:rsid w:val="002567C5"/>
    <w:rsid w:val="00257635"/>
    <w:rsid w:val="00260B72"/>
    <w:rsid w:val="00261014"/>
    <w:rsid w:val="0026184C"/>
    <w:rsid w:val="00261A08"/>
    <w:rsid w:val="00263BED"/>
    <w:rsid w:val="002651D4"/>
    <w:rsid w:val="002655EC"/>
    <w:rsid w:val="0026754C"/>
    <w:rsid w:val="00272314"/>
    <w:rsid w:val="00272382"/>
    <w:rsid w:val="00275A82"/>
    <w:rsid w:val="00275E76"/>
    <w:rsid w:val="00275ECF"/>
    <w:rsid w:val="00283BC0"/>
    <w:rsid w:val="00292A71"/>
    <w:rsid w:val="00292D0C"/>
    <w:rsid w:val="00292F72"/>
    <w:rsid w:val="00297928"/>
    <w:rsid w:val="002A06E8"/>
    <w:rsid w:val="002A08BD"/>
    <w:rsid w:val="002A15E5"/>
    <w:rsid w:val="002A2316"/>
    <w:rsid w:val="002A2835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2E3"/>
    <w:rsid w:val="002B5367"/>
    <w:rsid w:val="002B5973"/>
    <w:rsid w:val="002B6F69"/>
    <w:rsid w:val="002B7846"/>
    <w:rsid w:val="002C01D6"/>
    <w:rsid w:val="002C31B2"/>
    <w:rsid w:val="002C3AD1"/>
    <w:rsid w:val="002C5626"/>
    <w:rsid w:val="002C66AE"/>
    <w:rsid w:val="002C6995"/>
    <w:rsid w:val="002C6BEF"/>
    <w:rsid w:val="002C75A2"/>
    <w:rsid w:val="002D0A8F"/>
    <w:rsid w:val="002D565F"/>
    <w:rsid w:val="002D58EC"/>
    <w:rsid w:val="002E03AF"/>
    <w:rsid w:val="002E2249"/>
    <w:rsid w:val="002E2520"/>
    <w:rsid w:val="002E2B6C"/>
    <w:rsid w:val="002F0B74"/>
    <w:rsid w:val="002F232E"/>
    <w:rsid w:val="002F2AA1"/>
    <w:rsid w:val="0030086D"/>
    <w:rsid w:val="00302EFF"/>
    <w:rsid w:val="003051E4"/>
    <w:rsid w:val="00307116"/>
    <w:rsid w:val="00310B76"/>
    <w:rsid w:val="00311077"/>
    <w:rsid w:val="003110A0"/>
    <w:rsid w:val="00312CAE"/>
    <w:rsid w:val="00312EE9"/>
    <w:rsid w:val="00317B24"/>
    <w:rsid w:val="003222C5"/>
    <w:rsid w:val="003224BE"/>
    <w:rsid w:val="00323491"/>
    <w:rsid w:val="00326354"/>
    <w:rsid w:val="00330074"/>
    <w:rsid w:val="003307E3"/>
    <w:rsid w:val="00331F95"/>
    <w:rsid w:val="00332BFC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587F"/>
    <w:rsid w:val="00347DD9"/>
    <w:rsid w:val="00353C4A"/>
    <w:rsid w:val="00355ED4"/>
    <w:rsid w:val="00356EBF"/>
    <w:rsid w:val="00364314"/>
    <w:rsid w:val="00364B55"/>
    <w:rsid w:val="00365DF9"/>
    <w:rsid w:val="00374185"/>
    <w:rsid w:val="00377267"/>
    <w:rsid w:val="00377CE4"/>
    <w:rsid w:val="00377E38"/>
    <w:rsid w:val="003837EA"/>
    <w:rsid w:val="003838EE"/>
    <w:rsid w:val="003841F5"/>
    <w:rsid w:val="00384337"/>
    <w:rsid w:val="003852F9"/>
    <w:rsid w:val="00390C7A"/>
    <w:rsid w:val="00391F09"/>
    <w:rsid w:val="00392AF9"/>
    <w:rsid w:val="003935ED"/>
    <w:rsid w:val="0039362C"/>
    <w:rsid w:val="00395677"/>
    <w:rsid w:val="00396A45"/>
    <w:rsid w:val="003A0CB3"/>
    <w:rsid w:val="003A30E7"/>
    <w:rsid w:val="003A5916"/>
    <w:rsid w:val="003A6263"/>
    <w:rsid w:val="003A7CDB"/>
    <w:rsid w:val="003A7D67"/>
    <w:rsid w:val="003B17A5"/>
    <w:rsid w:val="003B39E3"/>
    <w:rsid w:val="003C04B4"/>
    <w:rsid w:val="003C1F27"/>
    <w:rsid w:val="003C261A"/>
    <w:rsid w:val="003C2FE3"/>
    <w:rsid w:val="003C44CF"/>
    <w:rsid w:val="003C68BA"/>
    <w:rsid w:val="003D29FC"/>
    <w:rsid w:val="003D34AE"/>
    <w:rsid w:val="003D35B6"/>
    <w:rsid w:val="003D35FC"/>
    <w:rsid w:val="003D74FA"/>
    <w:rsid w:val="003E22FF"/>
    <w:rsid w:val="003E30BE"/>
    <w:rsid w:val="003E311D"/>
    <w:rsid w:val="003E3203"/>
    <w:rsid w:val="003E3D2F"/>
    <w:rsid w:val="003F0FEA"/>
    <w:rsid w:val="003F1B46"/>
    <w:rsid w:val="003F2690"/>
    <w:rsid w:val="004021F9"/>
    <w:rsid w:val="00403AAD"/>
    <w:rsid w:val="00403C3A"/>
    <w:rsid w:val="00404661"/>
    <w:rsid w:val="0040607F"/>
    <w:rsid w:val="004063FE"/>
    <w:rsid w:val="00406979"/>
    <w:rsid w:val="004105BB"/>
    <w:rsid w:val="004117BA"/>
    <w:rsid w:val="00412DB3"/>
    <w:rsid w:val="00413B65"/>
    <w:rsid w:val="004146CD"/>
    <w:rsid w:val="00415B4F"/>
    <w:rsid w:val="00415F9C"/>
    <w:rsid w:val="00416552"/>
    <w:rsid w:val="00421662"/>
    <w:rsid w:val="0042168F"/>
    <w:rsid w:val="004302DF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389E"/>
    <w:rsid w:val="00455644"/>
    <w:rsid w:val="00456F09"/>
    <w:rsid w:val="00461316"/>
    <w:rsid w:val="00461321"/>
    <w:rsid w:val="00461412"/>
    <w:rsid w:val="00463208"/>
    <w:rsid w:val="00463933"/>
    <w:rsid w:val="00466246"/>
    <w:rsid w:val="00467616"/>
    <w:rsid w:val="004703FD"/>
    <w:rsid w:val="00470B2A"/>
    <w:rsid w:val="0047174F"/>
    <w:rsid w:val="00474ECE"/>
    <w:rsid w:val="00476EA2"/>
    <w:rsid w:val="00477A5D"/>
    <w:rsid w:val="00477FEF"/>
    <w:rsid w:val="00481E73"/>
    <w:rsid w:val="004825F9"/>
    <w:rsid w:val="00483626"/>
    <w:rsid w:val="00484506"/>
    <w:rsid w:val="00491BB4"/>
    <w:rsid w:val="00492E11"/>
    <w:rsid w:val="00493172"/>
    <w:rsid w:val="00494729"/>
    <w:rsid w:val="00496E89"/>
    <w:rsid w:val="004A04F2"/>
    <w:rsid w:val="004A31BE"/>
    <w:rsid w:val="004A5B86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D092F"/>
    <w:rsid w:val="004D23B8"/>
    <w:rsid w:val="004D672A"/>
    <w:rsid w:val="004D682C"/>
    <w:rsid w:val="004D77C9"/>
    <w:rsid w:val="004E007D"/>
    <w:rsid w:val="004E34C2"/>
    <w:rsid w:val="004E6444"/>
    <w:rsid w:val="004F0048"/>
    <w:rsid w:val="004F02FD"/>
    <w:rsid w:val="004F07E6"/>
    <w:rsid w:val="004F25AB"/>
    <w:rsid w:val="004F36A1"/>
    <w:rsid w:val="004F423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04F9"/>
    <w:rsid w:val="00512F38"/>
    <w:rsid w:val="0051414D"/>
    <w:rsid w:val="005145DD"/>
    <w:rsid w:val="005176D2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32CE2"/>
    <w:rsid w:val="00533461"/>
    <w:rsid w:val="00533F51"/>
    <w:rsid w:val="00535313"/>
    <w:rsid w:val="005374D2"/>
    <w:rsid w:val="00540505"/>
    <w:rsid w:val="005428A3"/>
    <w:rsid w:val="0054341D"/>
    <w:rsid w:val="0054391F"/>
    <w:rsid w:val="005461C3"/>
    <w:rsid w:val="00547719"/>
    <w:rsid w:val="005521A7"/>
    <w:rsid w:val="005538A9"/>
    <w:rsid w:val="00557FF9"/>
    <w:rsid w:val="005601BB"/>
    <w:rsid w:val="00562C10"/>
    <w:rsid w:val="00562D0A"/>
    <w:rsid w:val="00562F1E"/>
    <w:rsid w:val="00563174"/>
    <w:rsid w:val="00563794"/>
    <w:rsid w:val="00563E18"/>
    <w:rsid w:val="005645AC"/>
    <w:rsid w:val="00565BDC"/>
    <w:rsid w:val="00573228"/>
    <w:rsid w:val="0057347F"/>
    <w:rsid w:val="00574EA9"/>
    <w:rsid w:val="005775BD"/>
    <w:rsid w:val="005779F4"/>
    <w:rsid w:val="0058134D"/>
    <w:rsid w:val="005814AE"/>
    <w:rsid w:val="00586041"/>
    <w:rsid w:val="0058651C"/>
    <w:rsid w:val="00591198"/>
    <w:rsid w:val="0059226A"/>
    <w:rsid w:val="00592774"/>
    <w:rsid w:val="00593302"/>
    <w:rsid w:val="005968CF"/>
    <w:rsid w:val="00596DE7"/>
    <w:rsid w:val="005A24FC"/>
    <w:rsid w:val="005B13FF"/>
    <w:rsid w:val="005B14F1"/>
    <w:rsid w:val="005B1B7C"/>
    <w:rsid w:val="005B2D41"/>
    <w:rsid w:val="005B2D7D"/>
    <w:rsid w:val="005B3846"/>
    <w:rsid w:val="005B7ED3"/>
    <w:rsid w:val="005C0913"/>
    <w:rsid w:val="005C3028"/>
    <w:rsid w:val="005C4FA6"/>
    <w:rsid w:val="005C605A"/>
    <w:rsid w:val="005C6D6F"/>
    <w:rsid w:val="005C7C41"/>
    <w:rsid w:val="005D0239"/>
    <w:rsid w:val="005D13D2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3A33"/>
    <w:rsid w:val="0062032C"/>
    <w:rsid w:val="00621449"/>
    <w:rsid w:val="006221A9"/>
    <w:rsid w:val="0062296F"/>
    <w:rsid w:val="00623198"/>
    <w:rsid w:val="0062422F"/>
    <w:rsid w:val="00642507"/>
    <w:rsid w:val="006439C7"/>
    <w:rsid w:val="00646D17"/>
    <w:rsid w:val="00647342"/>
    <w:rsid w:val="00647E48"/>
    <w:rsid w:val="00653206"/>
    <w:rsid w:val="00653B97"/>
    <w:rsid w:val="00656326"/>
    <w:rsid w:val="00660C5D"/>
    <w:rsid w:val="00661B08"/>
    <w:rsid w:val="006623D8"/>
    <w:rsid w:val="00662BEF"/>
    <w:rsid w:val="00666438"/>
    <w:rsid w:val="0066781B"/>
    <w:rsid w:val="00667B6F"/>
    <w:rsid w:val="00672894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5108"/>
    <w:rsid w:val="006A1366"/>
    <w:rsid w:val="006A1439"/>
    <w:rsid w:val="006A384C"/>
    <w:rsid w:val="006A3A81"/>
    <w:rsid w:val="006A5E2D"/>
    <w:rsid w:val="006B02A6"/>
    <w:rsid w:val="006B0A40"/>
    <w:rsid w:val="006B0E7D"/>
    <w:rsid w:val="006B1CF9"/>
    <w:rsid w:val="006B2DC0"/>
    <w:rsid w:val="006B7AD6"/>
    <w:rsid w:val="006C2A26"/>
    <w:rsid w:val="006C39CA"/>
    <w:rsid w:val="006C3CCF"/>
    <w:rsid w:val="006C4238"/>
    <w:rsid w:val="006C45D7"/>
    <w:rsid w:val="006C653E"/>
    <w:rsid w:val="006C7868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903"/>
    <w:rsid w:val="006F6101"/>
    <w:rsid w:val="006F6C23"/>
    <w:rsid w:val="006F7DA9"/>
    <w:rsid w:val="007009AC"/>
    <w:rsid w:val="0070133A"/>
    <w:rsid w:val="00704012"/>
    <w:rsid w:val="0070648E"/>
    <w:rsid w:val="00707712"/>
    <w:rsid w:val="00710FD8"/>
    <w:rsid w:val="00710FE8"/>
    <w:rsid w:val="007140D7"/>
    <w:rsid w:val="00715078"/>
    <w:rsid w:val="00715295"/>
    <w:rsid w:val="00716696"/>
    <w:rsid w:val="00717D3E"/>
    <w:rsid w:val="00720B23"/>
    <w:rsid w:val="0072431D"/>
    <w:rsid w:val="007307D9"/>
    <w:rsid w:val="0073164F"/>
    <w:rsid w:val="00731E1B"/>
    <w:rsid w:val="007324FC"/>
    <w:rsid w:val="00733A52"/>
    <w:rsid w:val="00735F2C"/>
    <w:rsid w:val="00736825"/>
    <w:rsid w:val="00740BA4"/>
    <w:rsid w:val="007505DB"/>
    <w:rsid w:val="0075305D"/>
    <w:rsid w:val="00753127"/>
    <w:rsid w:val="00755F6C"/>
    <w:rsid w:val="00756226"/>
    <w:rsid w:val="00760742"/>
    <w:rsid w:val="00760D2A"/>
    <w:rsid w:val="0076156D"/>
    <w:rsid w:val="00764485"/>
    <w:rsid w:val="0076616B"/>
    <w:rsid w:val="00766633"/>
    <w:rsid w:val="00766851"/>
    <w:rsid w:val="00766989"/>
    <w:rsid w:val="00766B0E"/>
    <w:rsid w:val="0076724D"/>
    <w:rsid w:val="007673EF"/>
    <w:rsid w:val="00770048"/>
    <w:rsid w:val="0077647C"/>
    <w:rsid w:val="007801DD"/>
    <w:rsid w:val="007837E0"/>
    <w:rsid w:val="00787672"/>
    <w:rsid w:val="00787767"/>
    <w:rsid w:val="007909A0"/>
    <w:rsid w:val="00793D99"/>
    <w:rsid w:val="00794F0A"/>
    <w:rsid w:val="00796941"/>
    <w:rsid w:val="00797525"/>
    <w:rsid w:val="00797D63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7B54"/>
    <w:rsid w:val="007D173A"/>
    <w:rsid w:val="007D1A52"/>
    <w:rsid w:val="007D5B4A"/>
    <w:rsid w:val="007D689C"/>
    <w:rsid w:val="007E13C4"/>
    <w:rsid w:val="007F27EF"/>
    <w:rsid w:val="007F2FF4"/>
    <w:rsid w:val="007F44AE"/>
    <w:rsid w:val="007F4A70"/>
    <w:rsid w:val="007F4E68"/>
    <w:rsid w:val="007F600B"/>
    <w:rsid w:val="007F74B6"/>
    <w:rsid w:val="0080068D"/>
    <w:rsid w:val="00801863"/>
    <w:rsid w:val="008039DD"/>
    <w:rsid w:val="0080606F"/>
    <w:rsid w:val="00810638"/>
    <w:rsid w:val="0081103A"/>
    <w:rsid w:val="0081271D"/>
    <w:rsid w:val="008137A0"/>
    <w:rsid w:val="00815A27"/>
    <w:rsid w:val="008176A0"/>
    <w:rsid w:val="008205F2"/>
    <w:rsid w:val="0082097F"/>
    <w:rsid w:val="00822D7B"/>
    <w:rsid w:val="0082376A"/>
    <w:rsid w:val="008266A3"/>
    <w:rsid w:val="00834EF6"/>
    <w:rsid w:val="00836229"/>
    <w:rsid w:val="00840B20"/>
    <w:rsid w:val="00844600"/>
    <w:rsid w:val="0085077E"/>
    <w:rsid w:val="00850876"/>
    <w:rsid w:val="00851DE6"/>
    <w:rsid w:val="00852E35"/>
    <w:rsid w:val="00860C54"/>
    <w:rsid w:val="0086169A"/>
    <w:rsid w:val="0086197E"/>
    <w:rsid w:val="00861C36"/>
    <w:rsid w:val="00864F95"/>
    <w:rsid w:val="008650E2"/>
    <w:rsid w:val="00865937"/>
    <w:rsid w:val="0086690A"/>
    <w:rsid w:val="00866AA8"/>
    <w:rsid w:val="0087081E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901FC"/>
    <w:rsid w:val="008904D2"/>
    <w:rsid w:val="00891826"/>
    <w:rsid w:val="00892CD0"/>
    <w:rsid w:val="00893811"/>
    <w:rsid w:val="00893855"/>
    <w:rsid w:val="0089626B"/>
    <w:rsid w:val="00896C02"/>
    <w:rsid w:val="0089741D"/>
    <w:rsid w:val="008A0C1D"/>
    <w:rsid w:val="008A48B7"/>
    <w:rsid w:val="008A5339"/>
    <w:rsid w:val="008A7450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E0909"/>
    <w:rsid w:val="008E0A85"/>
    <w:rsid w:val="008E10E7"/>
    <w:rsid w:val="008E1131"/>
    <w:rsid w:val="008E130F"/>
    <w:rsid w:val="008E15AF"/>
    <w:rsid w:val="008E1D0C"/>
    <w:rsid w:val="008E208F"/>
    <w:rsid w:val="008E2DFF"/>
    <w:rsid w:val="008E49D5"/>
    <w:rsid w:val="008E61C0"/>
    <w:rsid w:val="008E6237"/>
    <w:rsid w:val="008E6577"/>
    <w:rsid w:val="008E67F7"/>
    <w:rsid w:val="008E7D8D"/>
    <w:rsid w:val="008F068E"/>
    <w:rsid w:val="008F3A63"/>
    <w:rsid w:val="008F5A23"/>
    <w:rsid w:val="008F7EFC"/>
    <w:rsid w:val="009017D4"/>
    <w:rsid w:val="0090280A"/>
    <w:rsid w:val="00902BB4"/>
    <w:rsid w:val="00903DA7"/>
    <w:rsid w:val="00904DF4"/>
    <w:rsid w:val="00905FAB"/>
    <w:rsid w:val="009064EB"/>
    <w:rsid w:val="00913601"/>
    <w:rsid w:val="00914598"/>
    <w:rsid w:val="009200AA"/>
    <w:rsid w:val="009202B2"/>
    <w:rsid w:val="00920A69"/>
    <w:rsid w:val="009223C7"/>
    <w:rsid w:val="00922544"/>
    <w:rsid w:val="0092772F"/>
    <w:rsid w:val="00931421"/>
    <w:rsid w:val="00933027"/>
    <w:rsid w:val="00933FCD"/>
    <w:rsid w:val="009353B3"/>
    <w:rsid w:val="0093796F"/>
    <w:rsid w:val="009448CF"/>
    <w:rsid w:val="00946FCE"/>
    <w:rsid w:val="00951389"/>
    <w:rsid w:val="00952C3A"/>
    <w:rsid w:val="00954387"/>
    <w:rsid w:val="0095464F"/>
    <w:rsid w:val="0095619C"/>
    <w:rsid w:val="00956C40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EE"/>
    <w:rsid w:val="00973D2C"/>
    <w:rsid w:val="00980E73"/>
    <w:rsid w:val="0098189C"/>
    <w:rsid w:val="00981A37"/>
    <w:rsid w:val="00982453"/>
    <w:rsid w:val="0098317F"/>
    <w:rsid w:val="009840D6"/>
    <w:rsid w:val="00986688"/>
    <w:rsid w:val="00987E45"/>
    <w:rsid w:val="00987E73"/>
    <w:rsid w:val="00990BA8"/>
    <w:rsid w:val="00994043"/>
    <w:rsid w:val="00994510"/>
    <w:rsid w:val="00995669"/>
    <w:rsid w:val="00996DA9"/>
    <w:rsid w:val="009A192C"/>
    <w:rsid w:val="009A1B72"/>
    <w:rsid w:val="009A5806"/>
    <w:rsid w:val="009A6629"/>
    <w:rsid w:val="009A677D"/>
    <w:rsid w:val="009A772B"/>
    <w:rsid w:val="009B1B69"/>
    <w:rsid w:val="009B28E6"/>
    <w:rsid w:val="009B360B"/>
    <w:rsid w:val="009B5C74"/>
    <w:rsid w:val="009C03CE"/>
    <w:rsid w:val="009C28E4"/>
    <w:rsid w:val="009C57EE"/>
    <w:rsid w:val="009E0EB8"/>
    <w:rsid w:val="009E1AD8"/>
    <w:rsid w:val="009E22FE"/>
    <w:rsid w:val="009F55D1"/>
    <w:rsid w:val="009F5ACC"/>
    <w:rsid w:val="00A02AA3"/>
    <w:rsid w:val="00A03A4B"/>
    <w:rsid w:val="00A04C9C"/>
    <w:rsid w:val="00A05393"/>
    <w:rsid w:val="00A10536"/>
    <w:rsid w:val="00A111DD"/>
    <w:rsid w:val="00A11C54"/>
    <w:rsid w:val="00A11C7C"/>
    <w:rsid w:val="00A13B35"/>
    <w:rsid w:val="00A143DE"/>
    <w:rsid w:val="00A16041"/>
    <w:rsid w:val="00A2050C"/>
    <w:rsid w:val="00A21442"/>
    <w:rsid w:val="00A22455"/>
    <w:rsid w:val="00A2297F"/>
    <w:rsid w:val="00A30E39"/>
    <w:rsid w:val="00A30FAD"/>
    <w:rsid w:val="00A3267F"/>
    <w:rsid w:val="00A33BB9"/>
    <w:rsid w:val="00A3463E"/>
    <w:rsid w:val="00A36078"/>
    <w:rsid w:val="00A36230"/>
    <w:rsid w:val="00A372EE"/>
    <w:rsid w:val="00A3775F"/>
    <w:rsid w:val="00A46408"/>
    <w:rsid w:val="00A46EC8"/>
    <w:rsid w:val="00A54B19"/>
    <w:rsid w:val="00A553E1"/>
    <w:rsid w:val="00A5751B"/>
    <w:rsid w:val="00A57656"/>
    <w:rsid w:val="00A60FA3"/>
    <w:rsid w:val="00A6279A"/>
    <w:rsid w:val="00A63EDE"/>
    <w:rsid w:val="00A64AD0"/>
    <w:rsid w:val="00A67614"/>
    <w:rsid w:val="00A71151"/>
    <w:rsid w:val="00A766B5"/>
    <w:rsid w:val="00A768ED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A0B21"/>
    <w:rsid w:val="00AA3FCF"/>
    <w:rsid w:val="00AA53D2"/>
    <w:rsid w:val="00AA7517"/>
    <w:rsid w:val="00AA7599"/>
    <w:rsid w:val="00AB0644"/>
    <w:rsid w:val="00AB0BA7"/>
    <w:rsid w:val="00AB0C7A"/>
    <w:rsid w:val="00AB1A5A"/>
    <w:rsid w:val="00AB3AB4"/>
    <w:rsid w:val="00AC13C5"/>
    <w:rsid w:val="00AC1B5F"/>
    <w:rsid w:val="00AC21B1"/>
    <w:rsid w:val="00AC2758"/>
    <w:rsid w:val="00AC67F5"/>
    <w:rsid w:val="00AC6E9A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33E6"/>
    <w:rsid w:val="00AF1B00"/>
    <w:rsid w:val="00AF3D18"/>
    <w:rsid w:val="00AF4472"/>
    <w:rsid w:val="00AF6D5F"/>
    <w:rsid w:val="00AF730E"/>
    <w:rsid w:val="00B0274E"/>
    <w:rsid w:val="00B0370C"/>
    <w:rsid w:val="00B04D20"/>
    <w:rsid w:val="00B05835"/>
    <w:rsid w:val="00B066D2"/>
    <w:rsid w:val="00B07BBE"/>
    <w:rsid w:val="00B07D40"/>
    <w:rsid w:val="00B1034D"/>
    <w:rsid w:val="00B1223B"/>
    <w:rsid w:val="00B138CA"/>
    <w:rsid w:val="00B21A8B"/>
    <w:rsid w:val="00B22974"/>
    <w:rsid w:val="00B23441"/>
    <w:rsid w:val="00B23B51"/>
    <w:rsid w:val="00B2495E"/>
    <w:rsid w:val="00B269B5"/>
    <w:rsid w:val="00B26A54"/>
    <w:rsid w:val="00B30512"/>
    <w:rsid w:val="00B30742"/>
    <w:rsid w:val="00B3361C"/>
    <w:rsid w:val="00B33A3F"/>
    <w:rsid w:val="00B34219"/>
    <w:rsid w:val="00B40C6D"/>
    <w:rsid w:val="00B44DE8"/>
    <w:rsid w:val="00B4609F"/>
    <w:rsid w:val="00B51ADC"/>
    <w:rsid w:val="00B5272C"/>
    <w:rsid w:val="00B53911"/>
    <w:rsid w:val="00B556D1"/>
    <w:rsid w:val="00B57D2E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554E"/>
    <w:rsid w:val="00B7685C"/>
    <w:rsid w:val="00B815D6"/>
    <w:rsid w:val="00B816C2"/>
    <w:rsid w:val="00B85840"/>
    <w:rsid w:val="00B87AFF"/>
    <w:rsid w:val="00B87E1B"/>
    <w:rsid w:val="00B90673"/>
    <w:rsid w:val="00B90B76"/>
    <w:rsid w:val="00B913E9"/>
    <w:rsid w:val="00B9230A"/>
    <w:rsid w:val="00B97562"/>
    <w:rsid w:val="00BA493F"/>
    <w:rsid w:val="00BA57E9"/>
    <w:rsid w:val="00BB046B"/>
    <w:rsid w:val="00BB11FB"/>
    <w:rsid w:val="00BB20A6"/>
    <w:rsid w:val="00BB4777"/>
    <w:rsid w:val="00BB4D7C"/>
    <w:rsid w:val="00BB4D94"/>
    <w:rsid w:val="00BB5243"/>
    <w:rsid w:val="00BB6DE5"/>
    <w:rsid w:val="00BB7990"/>
    <w:rsid w:val="00BB7CBC"/>
    <w:rsid w:val="00BC105B"/>
    <w:rsid w:val="00BC2F5D"/>
    <w:rsid w:val="00BC45C7"/>
    <w:rsid w:val="00BC48F7"/>
    <w:rsid w:val="00BC611D"/>
    <w:rsid w:val="00BC7E7B"/>
    <w:rsid w:val="00BD13FD"/>
    <w:rsid w:val="00BD170E"/>
    <w:rsid w:val="00BD291B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308C"/>
    <w:rsid w:val="00BF54C4"/>
    <w:rsid w:val="00BF6807"/>
    <w:rsid w:val="00C00FD1"/>
    <w:rsid w:val="00C00FD5"/>
    <w:rsid w:val="00C01B10"/>
    <w:rsid w:val="00C0501C"/>
    <w:rsid w:val="00C056CA"/>
    <w:rsid w:val="00C116AD"/>
    <w:rsid w:val="00C1775B"/>
    <w:rsid w:val="00C20744"/>
    <w:rsid w:val="00C20A61"/>
    <w:rsid w:val="00C230A7"/>
    <w:rsid w:val="00C24BBE"/>
    <w:rsid w:val="00C27B91"/>
    <w:rsid w:val="00C30DBE"/>
    <w:rsid w:val="00C44B38"/>
    <w:rsid w:val="00C46F42"/>
    <w:rsid w:val="00C4708E"/>
    <w:rsid w:val="00C509C6"/>
    <w:rsid w:val="00C51B0D"/>
    <w:rsid w:val="00C5392A"/>
    <w:rsid w:val="00C54D71"/>
    <w:rsid w:val="00C576A3"/>
    <w:rsid w:val="00C60810"/>
    <w:rsid w:val="00C60B00"/>
    <w:rsid w:val="00C62358"/>
    <w:rsid w:val="00C65845"/>
    <w:rsid w:val="00C6684D"/>
    <w:rsid w:val="00C71AAB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80F"/>
    <w:rsid w:val="00C92A33"/>
    <w:rsid w:val="00C967EA"/>
    <w:rsid w:val="00C978AA"/>
    <w:rsid w:val="00C9793C"/>
    <w:rsid w:val="00C97E22"/>
    <w:rsid w:val="00CA03D5"/>
    <w:rsid w:val="00CA23B3"/>
    <w:rsid w:val="00CA2BAF"/>
    <w:rsid w:val="00CA3A29"/>
    <w:rsid w:val="00CA3FA7"/>
    <w:rsid w:val="00CA504E"/>
    <w:rsid w:val="00CA5359"/>
    <w:rsid w:val="00CA667C"/>
    <w:rsid w:val="00CB35E3"/>
    <w:rsid w:val="00CB3ADF"/>
    <w:rsid w:val="00CB444E"/>
    <w:rsid w:val="00CB5EF4"/>
    <w:rsid w:val="00CB6A2E"/>
    <w:rsid w:val="00CB7049"/>
    <w:rsid w:val="00CC0212"/>
    <w:rsid w:val="00CC0E3A"/>
    <w:rsid w:val="00CC1A66"/>
    <w:rsid w:val="00CC1D2A"/>
    <w:rsid w:val="00CC2C20"/>
    <w:rsid w:val="00CC5641"/>
    <w:rsid w:val="00CC5FA0"/>
    <w:rsid w:val="00CD0695"/>
    <w:rsid w:val="00CD1836"/>
    <w:rsid w:val="00CD21D7"/>
    <w:rsid w:val="00CD30F4"/>
    <w:rsid w:val="00CD78A8"/>
    <w:rsid w:val="00CE1306"/>
    <w:rsid w:val="00CE4E8A"/>
    <w:rsid w:val="00CE5D0E"/>
    <w:rsid w:val="00CF0949"/>
    <w:rsid w:val="00CF1778"/>
    <w:rsid w:val="00CF17C5"/>
    <w:rsid w:val="00CF25A3"/>
    <w:rsid w:val="00CF3E5F"/>
    <w:rsid w:val="00CF5618"/>
    <w:rsid w:val="00CF6CD6"/>
    <w:rsid w:val="00D00A36"/>
    <w:rsid w:val="00D00E77"/>
    <w:rsid w:val="00D0240A"/>
    <w:rsid w:val="00D02610"/>
    <w:rsid w:val="00D026C4"/>
    <w:rsid w:val="00D06640"/>
    <w:rsid w:val="00D11332"/>
    <w:rsid w:val="00D13851"/>
    <w:rsid w:val="00D139FB"/>
    <w:rsid w:val="00D14D7F"/>
    <w:rsid w:val="00D15140"/>
    <w:rsid w:val="00D16E63"/>
    <w:rsid w:val="00D17BA6"/>
    <w:rsid w:val="00D21035"/>
    <w:rsid w:val="00D2106B"/>
    <w:rsid w:val="00D2157E"/>
    <w:rsid w:val="00D23753"/>
    <w:rsid w:val="00D2420B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5E0"/>
    <w:rsid w:val="00D51520"/>
    <w:rsid w:val="00D51879"/>
    <w:rsid w:val="00D542E5"/>
    <w:rsid w:val="00D57621"/>
    <w:rsid w:val="00D57857"/>
    <w:rsid w:val="00D61351"/>
    <w:rsid w:val="00D63377"/>
    <w:rsid w:val="00D63991"/>
    <w:rsid w:val="00D646B4"/>
    <w:rsid w:val="00D64A53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7B11"/>
    <w:rsid w:val="00DB019F"/>
    <w:rsid w:val="00DB3F44"/>
    <w:rsid w:val="00DB459D"/>
    <w:rsid w:val="00DB5FDD"/>
    <w:rsid w:val="00DB7E09"/>
    <w:rsid w:val="00DC1194"/>
    <w:rsid w:val="00DC3B1F"/>
    <w:rsid w:val="00DC4FB2"/>
    <w:rsid w:val="00DC5FEA"/>
    <w:rsid w:val="00DC7415"/>
    <w:rsid w:val="00DC7848"/>
    <w:rsid w:val="00DD0117"/>
    <w:rsid w:val="00DD08D2"/>
    <w:rsid w:val="00DD143A"/>
    <w:rsid w:val="00DD1AA8"/>
    <w:rsid w:val="00DD73B7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1830"/>
    <w:rsid w:val="00E03B1F"/>
    <w:rsid w:val="00E04C71"/>
    <w:rsid w:val="00E04CD3"/>
    <w:rsid w:val="00E06238"/>
    <w:rsid w:val="00E06F2A"/>
    <w:rsid w:val="00E1052E"/>
    <w:rsid w:val="00E152F1"/>
    <w:rsid w:val="00E2026D"/>
    <w:rsid w:val="00E2307D"/>
    <w:rsid w:val="00E235B7"/>
    <w:rsid w:val="00E24E93"/>
    <w:rsid w:val="00E254C5"/>
    <w:rsid w:val="00E2578B"/>
    <w:rsid w:val="00E2585A"/>
    <w:rsid w:val="00E25918"/>
    <w:rsid w:val="00E26267"/>
    <w:rsid w:val="00E2683E"/>
    <w:rsid w:val="00E3001D"/>
    <w:rsid w:val="00E301C2"/>
    <w:rsid w:val="00E31F4D"/>
    <w:rsid w:val="00E3617D"/>
    <w:rsid w:val="00E37091"/>
    <w:rsid w:val="00E40178"/>
    <w:rsid w:val="00E41E7F"/>
    <w:rsid w:val="00E42AA5"/>
    <w:rsid w:val="00E439F3"/>
    <w:rsid w:val="00E4401C"/>
    <w:rsid w:val="00E44094"/>
    <w:rsid w:val="00E44AA4"/>
    <w:rsid w:val="00E450A7"/>
    <w:rsid w:val="00E53B95"/>
    <w:rsid w:val="00E547CF"/>
    <w:rsid w:val="00E56AE1"/>
    <w:rsid w:val="00E571B7"/>
    <w:rsid w:val="00E57BCE"/>
    <w:rsid w:val="00E57E73"/>
    <w:rsid w:val="00E60355"/>
    <w:rsid w:val="00E6195A"/>
    <w:rsid w:val="00E62867"/>
    <w:rsid w:val="00E62C43"/>
    <w:rsid w:val="00E6311C"/>
    <w:rsid w:val="00E63292"/>
    <w:rsid w:val="00E6495E"/>
    <w:rsid w:val="00E65E64"/>
    <w:rsid w:val="00E715A7"/>
    <w:rsid w:val="00E71C50"/>
    <w:rsid w:val="00E722C7"/>
    <w:rsid w:val="00E734CC"/>
    <w:rsid w:val="00E74A83"/>
    <w:rsid w:val="00E74E04"/>
    <w:rsid w:val="00E74F42"/>
    <w:rsid w:val="00E77E7E"/>
    <w:rsid w:val="00E81AD2"/>
    <w:rsid w:val="00E824A6"/>
    <w:rsid w:val="00E828F4"/>
    <w:rsid w:val="00E837F3"/>
    <w:rsid w:val="00E85690"/>
    <w:rsid w:val="00E8618B"/>
    <w:rsid w:val="00E868DE"/>
    <w:rsid w:val="00E86BFA"/>
    <w:rsid w:val="00E8777B"/>
    <w:rsid w:val="00E905C2"/>
    <w:rsid w:val="00E90746"/>
    <w:rsid w:val="00E92082"/>
    <w:rsid w:val="00E93967"/>
    <w:rsid w:val="00EA030F"/>
    <w:rsid w:val="00EA1B4C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CEA"/>
    <w:rsid w:val="00EB7889"/>
    <w:rsid w:val="00EC2A53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7DD4"/>
    <w:rsid w:val="00EE209F"/>
    <w:rsid w:val="00EE24D0"/>
    <w:rsid w:val="00EE3B66"/>
    <w:rsid w:val="00EE5229"/>
    <w:rsid w:val="00EE5C13"/>
    <w:rsid w:val="00EE7DB3"/>
    <w:rsid w:val="00EF0239"/>
    <w:rsid w:val="00EF17EA"/>
    <w:rsid w:val="00EF1FAD"/>
    <w:rsid w:val="00EF20C2"/>
    <w:rsid w:val="00EF35CE"/>
    <w:rsid w:val="00EF3D1B"/>
    <w:rsid w:val="00EF472E"/>
    <w:rsid w:val="00EF5563"/>
    <w:rsid w:val="00F04F21"/>
    <w:rsid w:val="00F05360"/>
    <w:rsid w:val="00F054ED"/>
    <w:rsid w:val="00F06E56"/>
    <w:rsid w:val="00F07709"/>
    <w:rsid w:val="00F07CE9"/>
    <w:rsid w:val="00F10286"/>
    <w:rsid w:val="00F120EC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7815"/>
    <w:rsid w:val="00F37BCC"/>
    <w:rsid w:val="00F41562"/>
    <w:rsid w:val="00F41746"/>
    <w:rsid w:val="00F41CCF"/>
    <w:rsid w:val="00F41E92"/>
    <w:rsid w:val="00F530EC"/>
    <w:rsid w:val="00F54999"/>
    <w:rsid w:val="00F57D58"/>
    <w:rsid w:val="00F62769"/>
    <w:rsid w:val="00F62B06"/>
    <w:rsid w:val="00F633ED"/>
    <w:rsid w:val="00F637D0"/>
    <w:rsid w:val="00F6716B"/>
    <w:rsid w:val="00F70799"/>
    <w:rsid w:val="00F70BB2"/>
    <w:rsid w:val="00F7188E"/>
    <w:rsid w:val="00F72AC2"/>
    <w:rsid w:val="00F7359C"/>
    <w:rsid w:val="00F7468E"/>
    <w:rsid w:val="00F74CF5"/>
    <w:rsid w:val="00F75330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3E9D"/>
    <w:rsid w:val="00FA4EBD"/>
    <w:rsid w:val="00FA6FAD"/>
    <w:rsid w:val="00FB0D49"/>
    <w:rsid w:val="00FB414A"/>
    <w:rsid w:val="00FC265B"/>
    <w:rsid w:val="00FC3B25"/>
    <w:rsid w:val="00FC5D75"/>
    <w:rsid w:val="00FC685B"/>
    <w:rsid w:val="00FD17EF"/>
    <w:rsid w:val="00FD2286"/>
    <w:rsid w:val="00FD26F4"/>
    <w:rsid w:val="00FD2F7D"/>
    <w:rsid w:val="00FD4CBF"/>
    <w:rsid w:val="00FD5649"/>
    <w:rsid w:val="00FD6330"/>
    <w:rsid w:val="00FD63E5"/>
    <w:rsid w:val="00FD7D1D"/>
    <w:rsid w:val="00FE1018"/>
    <w:rsid w:val="00FE1144"/>
    <w:rsid w:val="00FE30CB"/>
    <w:rsid w:val="00FE4484"/>
    <w:rsid w:val="00FE77BF"/>
    <w:rsid w:val="00FF1600"/>
    <w:rsid w:val="00FF1858"/>
    <w:rsid w:val="00FF2800"/>
    <w:rsid w:val="00FF3A03"/>
    <w:rsid w:val="00FF4347"/>
    <w:rsid w:val="621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365B80-C19A-491D-B6AA-BB73469BF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b"/>
    <w:uiPriority w:val="99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R4_bullets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numbering" w:customStyle="1" w:styleId="13">
    <w:name w:val="无列表1"/>
    <w:next w:val="a2"/>
    <w:uiPriority w:val="99"/>
    <w:semiHidden/>
    <w:unhideWhenUsed/>
    <w:rsid w:val="00466246"/>
  </w:style>
  <w:style w:type="paragraph" w:styleId="af6">
    <w:name w:val="Revision"/>
    <w:hidden/>
    <w:uiPriority w:val="99"/>
    <w:semiHidden/>
    <w:qFormat/>
    <w:rsid w:val="00466246"/>
    <w:rPr>
      <w:lang w:val="en-GB" w:eastAsia="en-US"/>
    </w:rPr>
  </w:style>
  <w:style w:type="paragraph" w:styleId="33">
    <w:name w:val="Body Text 3"/>
    <w:basedOn w:val="a"/>
    <w:link w:val="3Char0"/>
    <w:qFormat/>
    <w:rsid w:val="00466246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466246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46624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466246"/>
  </w:style>
  <w:style w:type="character" w:styleId="af7">
    <w:name w:val="page number"/>
    <w:qFormat/>
    <w:rsid w:val="00466246"/>
  </w:style>
  <w:style w:type="character" w:customStyle="1" w:styleId="TAHChar">
    <w:name w:val="TAH Char"/>
    <w:qFormat/>
    <w:rsid w:val="00466246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46624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66246"/>
    <w:pPr>
      <w:spacing w:line="240" w:lineRule="auto"/>
      <w:jc w:val="left"/>
    </w:pPr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next w:val="af"/>
    <w:uiPriority w:val="39"/>
    <w:rsid w:val="00466246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sid w:val="0046624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466246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466246"/>
  </w:style>
  <w:style w:type="character" w:customStyle="1" w:styleId="EditorsnoteChar0">
    <w:name w:val="Editor´s note Char"/>
    <w:link w:val="Editorsnote0"/>
    <w:qFormat/>
    <w:rsid w:val="00466246"/>
    <w:rPr>
      <w:rFonts w:eastAsia="Times New Roman"/>
      <w:lang w:val="en-GB" w:eastAsia="ja-JP"/>
    </w:rPr>
  </w:style>
  <w:style w:type="paragraph" w:customStyle="1" w:styleId="16">
    <w:name w:val="正文1"/>
    <w:rsid w:val="00466246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TANChar">
    <w:name w:val="TAN Char"/>
    <w:link w:val="TAN"/>
    <w:uiPriority w:val="99"/>
    <w:locked/>
    <w:rsid w:val="00332BFC"/>
    <w:rPr>
      <w:rFonts w:ascii="Arial" w:eastAsia="Times New Roman" w:hAnsi="Arial"/>
      <w:sz w:val="18"/>
      <w:lang w:val="en-GB" w:eastAsia="ja-JP"/>
    </w:rPr>
  </w:style>
  <w:style w:type="paragraph" w:customStyle="1" w:styleId="Doc-title">
    <w:name w:val="Doc-title"/>
    <w:basedOn w:val="a"/>
    <w:next w:val="Doc-text2"/>
    <w:rsid w:val="005145DD"/>
    <w:pPr>
      <w:overflowPunct w:val="0"/>
      <w:autoSpaceDE w:val="0"/>
      <w:autoSpaceDN w:val="0"/>
      <w:adjustRightInd w:val="0"/>
      <w:spacing w:before="60" w:after="100" w:afterAutospacing="1" w:line="240" w:lineRule="auto"/>
      <w:ind w:left="1259" w:hanging="1259"/>
      <w:jc w:val="left"/>
      <w:textAlignment w:val="baseline"/>
    </w:pPr>
    <w:rPr>
      <w:rFonts w:ascii="Arial" w:eastAsia="Times New Roman" w:hAnsi="Arial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0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1437</Words>
  <Characters>8197</Characters>
  <Application>Microsoft Office Word</Application>
  <DocSecurity>0</DocSecurity>
  <Lines>68</Lines>
  <Paragraphs>19</Paragraphs>
  <ScaleCrop>false</ScaleCrop>
  <Company>ZTE</Company>
  <LinksUpToDate>false</LinksUpToDate>
  <CharactersWithSpaces>9615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 - Yumin Wu</dc:creator>
  <cp:keywords/>
  <dc:description/>
  <cp:lastModifiedBy>ZTE(Wenting)</cp:lastModifiedBy>
  <cp:revision>5</cp:revision>
  <dcterms:created xsi:type="dcterms:W3CDTF">2024-08-09T03:22:00Z</dcterms:created>
  <dcterms:modified xsi:type="dcterms:W3CDTF">2024-08-09T07:45:00Z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