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F3223" w14:textId="7D6AC409" w:rsidR="00A96EAA" w:rsidRPr="00F739DC" w:rsidRDefault="00C952D8" w:rsidP="00C952D8">
      <w:pPr>
        <w:widowControl w:val="0"/>
        <w:tabs>
          <w:tab w:val="right" w:pos="9639"/>
          <w:tab w:val="right" w:pos="9781"/>
        </w:tabs>
        <w:spacing w:after="0" w:line="240" w:lineRule="auto"/>
        <w:ind w:right="200"/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</w:pPr>
      <w:r w:rsidRPr="00F739DC">
        <w:rPr>
          <w:rFonts w:ascii="Arial" w:eastAsia="MS Mincho" w:hAnsi="Arial" w:cs="Arial"/>
          <w:b/>
          <w:bCs/>
          <w:noProof/>
          <w:sz w:val="20"/>
          <w:szCs w:val="20"/>
        </w:rPr>
        <w:t>3GPP TSG RAN WG2</w:t>
      </w:r>
      <w:r w:rsidRPr="00F739DC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 xml:space="preserve"> #12</w:t>
      </w:r>
      <w:r w:rsidR="004724E8" w:rsidRPr="00F739DC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6</w:t>
      </w:r>
      <w:r w:rsidRPr="00F739DC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ab/>
      </w:r>
      <w:r w:rsidR="00A96EAA" w:rsidRPr="00F739DC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R2-24</w:t>
      </w:r>
      <w:r w:rsidR="007566C9" w:rsidRPr="00F739DC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06583</w:t>
      </w:r>
    </w:p>
    <w:p w14:paraId="243B3601" w14:textId="11F0CEEA" w:rsidR="00C952D8" w:rsidRPr="00BB1E45" w:rsidRDefault="00265B43" w:rsidP="00C952D8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rPr>
          <w:rFonts w:ascii="Arial" w:eastAsia="Yu Mincho" w:hAnsi="Arial" w:cs="Times New Roman"/>
          <w:b/>
          <w:sz w:val="20"/>
          <w:szCs w:val="20"/>
          <w:lang w:val="en-US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Maastricht</w:t>
      </w:r>
      <w:r w:rsidR="00C952D8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Netherlands</w:t>
      </w:r>
      <w:r w:rsidR="0054079A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August</w:t>
      </w:r>
      <w:r w:rsidR="00F70186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19</w:t>
      </w:r>
      <w:r w:rsidR="00F70186" w:rsidRPr="00BB1E45"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th</w:t>
      </w:r>
      <w:r w:rsidR="00F70186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–</w:t>
      </w:r>
      <w:r w:rsidR="003F3746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</w:t>
      </w:r>
      <w:r w:rsidR="004724E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2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3</w:t>
      </w:r>
      <w:r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rd</w:t>
      </w:r>
      <w:r w:rsidR="00910774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,</w:t>
      </w:r>
      <w:r w:rsidR="00C952D8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202</w:t>
      </w:r>
      <w:r w:rsidR="003F3746" w:rsidRPr="00BB1E4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4</w:t>
      </w:r>
    </w:p>
    <w:p w14:paraId="0E938B2D" w14:textId="77777777" w:rsidR="00C952D8" w:rsidRPr="00BB1E45" w:rsidRDefault="00C952D8" w:rsidP="00C952D8">
      <w:pPr>
        <w:widowControl w:val="0"/>
        <w:tabs>
          <w:tab w:val="right" w:pos="8280"/>
          <w:tab w:val="right" w:pos="9781"/>
        </w:tabs>
        <w:spacing w:after="0" w:line="240" w:lineRule="auto"/>
        <w:ind w:left="2185" w:right="200"/>
        <w:rPr>
          <w:rFonts w:ascii="Arial" w:eastAsia="MS Mincho" w:hAnsi="Arial" w:cs="Times New Roman"/>
          <w:b/>
          <w:noProof/>
          <w:sz w:val="18"/>
          <w:szCs w:val="20"/>
          <w:lang w:val="en-US" w:eastAsia="ja-JP"/>
        </w:rPr>
      </w:pPr>
    </w:p>
    <w:p w14:paraId="4D4EFA6A" w14:textId="77777777" w:rsidR="00C952D8" w:rsidRPr="00BB1E45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>Source:</w:t>
      </w: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BB1E45">
        <w:rPr>
          <w:rFonts w:ascii="Arial" w:eastAsia="Batang" w:hAnsi="Arial" w:cs="Times New Roman"/>
          <w:sz w:val="20"/>
          <w:szCs w:val="20"/>
          <w:lang w:val="en-GB"/>
        </w:rPr>
        <w:t>Panasonic</w:t>
      </w:r>
    </w:p>
    <w:p w14:paraId="69E98FC5" w14:textId="7C97EA7E" w:rsidR="00C952D8" w:rsidRPr="00BB1E45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ind w:left="1700" w:hanging="1700"/>
        <w:rPr>
          <w:rFonts w:ascii="Arial" w:eastAsia="MS Mincho" w:hAnsi="Arial" w:cs="Times New Roman"/>
          <w:sz w:val="20"/>
          <w:szCs w:val="20"/>
          <w:lang w:val="en-GB" w:eastAsia="ja-JP"/>
        </w:rPr>
      </w:pP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>Title:</w:t>
      </w: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="00F739DC">
        <w:rPr>
          <w:rFonts w:ascii="Arial" w:eastAsia="Batang" w:hAnsi="Arial" w:cs="Times New Roman"/>
          <w:b/>
          <w:sz w:val="20"/>
          <w:szCs w:val="20"/>
          <w:lang w:val="en-GB"/>
        </w:rPr>
        <w:t>MB</w:t>
      </w:r>
      <w:r w:rsidR="00265B43">
        <w:rPr>
          <w:rFonts w:ascii="Arial" w:eastAsia="Batang" w:hAnsi="Arial" w:cs="Times New Roman"/>
          <w:b/>
          <w:sz w:val="20"/>
          <w:szCs w:val="20"/>
          <w:lang w:val="en-GB"/>
        </w:rPr>
        <w:t xml:space="preserve">Service </w:t>
      </w:r>
      <w:r w:rsidR="004C06A9">
        <w:rPr>
          <w:rFonts w:ascii="Arial" w:eastAsia="Batang" w:hAnsi="Arial" w:cs="Times New Roman"/>
          <w:b/>
          <w:sz w:val="20"/>
          <w:szCs w:val="20"/>
          <w:lang w:val="en-GB"/>
        </w:rPr>
        <w:t>a</w:t>
      </w:r>
      <w:r w:rsidR="00265B43">
        <w:rPr>
          <w:rFonts w:ascii="Arial" w:eastAsia="Batang" w:hAnsi="Arial" w:cs="Times New Roman"/>
          <w:b/>
          <w:sz w:val="20"/>
          <w:szCs w:val="20"/>
          <w:lang w:val="en-GB"/>
        </w:rPr>
        <w:t xml:space="preserve">rea </w:t>
      </w:r>
      <w:r w:rsidR="004C06A9">
        <w:rPr>
          <w:rFonts w:ascii="Arial" w:eastAsia="Batang" w:hAnsi="Arial" w:cs="Times New Roman"/>
          <w:b/>
          <w:sz w:val="20"/>
          <w:szCs w:val="20"/>
          <w:lang w:val="en-GB"/>
        </w:rPr>
        <w:t>i</w:t>
      </w:r>
      <w:r w:rsidR="00265B43">
        <w:rPr>
          <w:rFonts w:ascii="Arial" w:eastAsia="Batang" w:hAnsi="Arial" w:cs="Times New Roman"/>
          <w:b/>
          <w:sz w:val="20"/>
          <w:szCs w:val="20"/>
          <w:lang w:val="en-GB"/>
        </w:rPr>
        <w:t xml:space="preserve">ndication &amp; </w:t>
      </w:r>
      <w:r w:rsidR="004C06A9">
        <w:rPr>
          <w:rFonts w:ascii="Arial" w:eastAsia="Batang" w:hAnsi="Arial" w:cs="Times New Roman"/>
          <w:b/>
          <w:sz w:val="20"/>
          <w:szCs w:val="20"/>
          <w:lang w:val="en-GB"/>
        </w:rPr>
        <w:t>g</w:t>
      </w:r>
      <w:r w:rsidR="00265B43">
        <w:rPr>
          <w:rFonts w:ascii="Arial" w:eastAsia="Batang" w:hAnsi="Arial" w:cs="Times New Roman"/>
          <w:b/>
          <w:sz w:val="20"/>
          <w:szCs w:val="20"/>
          <w:lang w:val="en-GB"/>
        </w:rPr>
        <w:t>eoblocking</w:t>
      </w:r>
    </w:p>
    <w:p w14:paraId="403D5B8C" w14:textId="1C698A5B" w:rsidR="00C952D8" w:rsidRPr="009437AA" w:rsidRDefault="00C952D8" w:rsidP="00C952D8">
      <w:pPr>
        <w:tabs>
          <w:tab w:val="left" w:pos="1701"/>
        </w:tabs>
        <w:spacing w:after="60" w:line="240" w:lineRule="auto"/>
        <w:rPr>
          <w:rFonts w:ascii="Arial" w:eastAsia="SimSun" w:hAnsi="Arial" w:cs="Times New Roman"/>
          <w:b/>
          <w:sz w:val="20"/>
          <w:szCs w:val="20"/>
          <w:lang w:val="en-US" w:eastAsia="zh-CN"/>
        </w:rPr>
      </w:pPr>
      <w:r w:rsidRPr="009437AA">
        <w:rPr>
          <w:rFonts w:ascii="Arial" w:eastAsia="Batang" w:hAnsi="Arial" w:cs="Times New Roman"/>
          <w:b/>
          <w:sz w:val="20"/>
          <w:szCs w:val="20"/>
          <w:lang w:val="en-US"/>
        </w:rPr>
        <w:t>Agenda Item:</w:t>
      </w:r>
      <w:r w:rsidRPr="009437AA">
        <w:rPr>
          <w:rFonts w:ascii="Arial" w:eastAsia="Batang" w:hAnsi="Arial" w:cs="Times New Roman"/>
          <w:bCs/>
          <w:sz w:val="20"/>
          <w:szCs w:val="20"/>
          <w:lang w:val="en-US"/>
        </w:rPr>
        <w:tab/>
      </w:r>
      <w:r w:rsidR="009437AA">
        <w:rPr>
          <w:rFonts w:ascii="Arial" w:eastAsia="Batang" w:hAnsi="Arial" w:cs="Times New Roman"/>
          <w:bCs/>
          <w:sz w:val="20"/>
          <w:szCs w:val="20"/>
          <w:lang w:val="en-US"/>
        </w:rPr>
        <w:t xml:space="preserve">8.8.4 </w:t>
      </w:r>
      <w:r w:rsidR="009437AA" w:rsidRPr="009437AA">
        <w:rPr>
          <w:rFonts w:ascii="Arial" w:eastAsia="Batang" w:hAnsi="Arial" w:cs="Times New Roman"/>
          <w:bCs/>
          <w:sz w:val="20"/>
          <w:szCs w:val="20"/>
          <w:lang w:val="en-US"/>
        </w:rPr>
        <w:t>Support of Broadcast service</w:t>
      </w:r>
      <w:r w:rsidR="009437AA">
        <w:rPr>
          <w:rFonts w:ascii="Arial" w:eastAsia="Batang" w:hAnsi="Arial" w:cs="Times New Roman"/>
          <w:bCs/>
          <w:sz w:val="20"/>
          <w:szCs w:val="20"/>
          <w:lang w:val="en-US"/>
        </w:rPr>
        <w:t xml:space="preserve"> (</w:t>
      </w:r>
      <w:r w:rsidR="00E32ACF" w:rsidRPr="00E32ACF">
        <w:rPr>
          <w:rFonts w:ascii="Arial" w:eastAsia="Batang" w:hAnsi="Arial" w:cs="Times New Roman"/>
          <w:bCs/>
          <w:sz w:val="20"/>
          <w:szCs w:val="20"/>
          <w:lang w:val="en-US"/>
        </w:rPr>
        <w:t>NTN for NR Ph3</w:t>
      </w:r>
      <w:r w:rsidR="009437AA">
        <w:rPr>
          <w:rFonts w:ascii="Arial" w:eastAsia="Batang" w:hAnsi="Arial" w:cs="Times New Roman"/>
          <w:bCs/>
          <w:sz w:val="20"/>
          <w:szCs w:val="20"/>
          <w:lang w:val="en-US"/>
        </w:rPr>
        <w:t>)</w:t>
      </w:r>
    </w:p>
    <w:p w14:paraId="0CEDE1AE" w14:textId="77777777" w:rsidR="00C952D8" w:rsidRPr="00BB1E45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>Document for:</w:t>
      </w:r>
      <w:r w:rsidRPr="00BB1E45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BB1E45">
        <w:rPr>
          <w:rFonts w:ascii="Arial" w:eastAsia="SimSun" w:hAnsi="Arial" w:cs="Times New Roman"/>
          <w:sz w:val="20"/>
          <w:szCs w:val="20"/>
          <w:lang w:val="en-GB" w:eastAsia="zh-CN"/>
        </w:rPr>
        <w:t>Discussion, decision</w:t>
      </w:r>
    </w:p>
    <w:p w14:paraId="361B811D" w14:textId="5834FE37" w:rsidR="00C952D8" w:rsidRPr="00BB1E45" w:rsidRDefault="0059451C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BB1E45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1. </w:t>
      </w:r>
      <w:r w:rsidR="00C952D8" w:rsidRPr="00BB1E45">
        <w:rPr>
          <w:rFonts w:ascii="Arial" w:eastAsia="MS Mincho" w:hAnsi="Arial" w:cs="Times New Roman"/>
          <w:sz w:val="36"/>
          <w:szCs w:val="20"/>
          <w:lang w:val="en-GB" w:eastAsia="ja-JP"/>
        </w:rPr>
        <w:t>Introduction</w:t>
      </w:r>
    </w:p>
    <w:p w14:paraId="46A85C9B" w14:textId="34454DA4" w:rsidR="00DD13F8" w:rsidRDefault="0010110D" w:rsidP="00DD13F8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In conjunction with agenda item </w:t>
      </w:r>
      <w:r w:rsidR="009437AA">
        <w:rPr>
          <w:rFonts w:ascii="Arial" w:eastAsia="Times New Roman" w:hAnsi="Arial" w:cs="Arial"/>
          <w:sz w:val="20"/>
          <w:szCs w:val="20"/>
          <w:lang w:val="en-US" w:eastAsia="zh-CN"/>
        </w:rPr>
        <w:t>“</w:t>
      </w:r>
      <w:r w:rsidR="00933DBE" w:rsidRPr="00933DBE">
        <w:rPr>
          <w:rFonts w:ascii="Arial" w:eastAsia="Times New Roman" w:hAnsi="Arial" w:cs="Arial"/>
          <w:sz w:val="20"/>
          <w:szCs w:val="20"/>
          <w:lang w:val="en-US" w:eastAsia="zh-CN"/>
        </w:rPr>
        <w:t>8.8.4 Support of Broadcast service</w:t>
      </w:r>
      <w:r w:rsidR="009437AA">
        <w:rPr>
          <w:rFonts w:ascii="Arial" w:eastAsia="Times New Roman" w:hAnsi="Arial" w:cs="Arial"/>
          <w:sz w:val="20"/>
          <w:szCs w:val="20"/>
          <w:lang w:val="en-US" w:eastAsia="zh-CN"/>
        </w:rPr>
        <w:t>”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we reached the following two conclusions (besides other agreements) during the most recent RAN2 meeting #126 in Fukuoka:</w:t>
      </w:r>
    </w:p>
    <w:p w14:paraId="07B74116" w14:textId="77777777" w:rsidR="0010110D" w:rsidRPr="0010110D" w:rsidRDefault="0010110D" w:rsidP="0010110D">
      <w:pPr>
        <w:pStyle w:val="ListParagraph"/>
        <w:numPr>
          <w:ilvl w:val="0"/>
          <w:numId w:val="44"/>
        </w:numPr>
        <w:spacing w:before="60" w:after="0" w:line="240" w:lineRule="auto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10110D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Come back next meeting to </w:t>
      </w:r>
      <w:r w:rsidRPr="00A164D4">
        <w:rPr>
          <w:rFonts w:ascii="Arial" w:eastAsia="MS Mincho" w:hAnsi="Arial" w:cs="Times New Roman"/>
          <w:b/>
          <w:sz w:val="20"/>
          <w:szCs w:val="24"/>
          <w:lang w:val="en-GB" w:eastAsia="en-GB"/>
        </w:rPr>
        <w:t>check whether a UE may not (or should not) establish MRB(s) associated with a service limited to an intended service area when it is not located within the area (</w:t>
      </w:r>
      <w:r w:rsidRPr="0010110D">
        <w:rPr>
          <w:rFonts w:ascii="Arial" w:eastAsia="MS Mincho" w:hAnsi="Arial" w:cs="Times New Roman"/>
          <w:b/>
          <w:sz w:val="20"/>
          <w:szCs w:val="24"/>
          <w:lang w:val="en-GB" w:eastAsia="en-GB"/>
        </w:rPr>
        <w:t>up to UE implementation how the UE detects it’s not in the intended service area)</w:t>
      </w:r>
    </w:p>
    <w:p w14:paraId="2A1488D8" w14:textId="77777777" w:rsidR="0010110D" w:rsidRPr="0010110D" w:rsidRDefault="0010110D" w:rsidP="0010110D">
      <w:pPr>
        <w:pStyle w:val="ListParagraph"/>
        <w:numPr>
          <w:ilvl w:val="0"/>
          <w:numId w:val="44"/>
        </w:numPr>
        <w:spacing w:before="60" w:after="0" w:line="240" w:lineRule="auto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10110D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Come back next meeting to </w:t>
      </w:r>
      <w:r w:rsidRPr="00A164D4">
        <w:rPr>
          <w:rFonts w:ascii="Arial" w:eastAsia="MS Mincho" w:hAnsi="Arial" w:cs="Times New Roman"/>
          <w:b/>
          <w:sz w:val="20"/>
          <w:szCs w:val="24"/>
          <w:lang w:val="en-GB" w:eastAsia="en-GB"/>
        </w:rPr>
        <w:t>check whether a UE may (or should) release its established MRB(s) associated with a service limited to an intended service area when exiting the area (</w:t>
      </w:r>
      <w:r w:rsidRPr="0010110D">
        <w:rPr>
          <w:rFonts w:ascii="Arial" w:eastAsia="MS Mincho" w:hAnsi="Arial" w:cs="Times New Roman"/>
          <w:b/>
          <w:sz w:val="20"/>
          <w:szCs w:val="24"/>
          <w:lang w:val="en-GB" w:eastAsia="en-GB"/>
        </w:rPr>
        <w:t>up to UE implementation how the UE detects it’s not in the intended service area)</w:t>
      </w:r>
    </w:p>
    <w:p w14:paraId="6013FBDA" w14:textId="77777777" w:rsidR="0010110D" w:rsidRPr="0010110D" w:rsidRDefault="0010110D" w:rsidP="001011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GB" w:eastAsia="zh-CN"/>
        </w:rPr>
      </w:pPr>
    </w:p>
    <w:p w14:paraId="35915914" w14:textId="1E687FFC" w:rsidR="00046890" w:rsidRDefault="00046890" w:rsidP="00DD13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The question that is derived from the two come-back items above is, if the area indication realized with circles and/or polygons – as </w:t>
      </w:r>
      <w:r w:rsidR="006D5B3D">
        <w:rPr>
          <w:rFonts w:ascii="Arial" w:eastAsia="Times New Roman" w:hAnsi="Arial" w:cs="Arial"/>
          <w:sz w:val="20"/>
          <w:szCs w:val="20"/>
          <w:lang w:val="en-US" w:eastAsia="zh-CN"/>
        </w:rPr>
        <w:t>agreed in Changsha (meeting #125-bis) for further consideration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– is sufficient for geoblocking/geofencing (from here on we refer to “geoblocking” only) purposes or not. We believe it is not sufficient and propose a more accurate approach. On that basis</w:t>
      </w:r>
      <w:r w:rsidR="0040142F">
        <w:rPr>
          <w:rFonts w:ascii="Arial" w:eastAsia="Times New Roman" w:hAnsi="Arial" w:cs="Arial"/>
          <w:sz w:val="20"/>
          <w:szCs w:val="20"/>
          <w:lang w:val="en-US" w:eastAsia="zh-CN"/>
        </w:rPr>
        <w:t>,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the two come-back topics above </w:t>
      </w:r>
      <w:r w:rsidR="0040142F">
        <w:rPr>
          <w:rFonts w:ascii="Arial" w:eastAsia="Times New Roman" w:hAnsi="Arial" w:cs="Arial"/>
          <w:sz w:val="20"/>
          <w:szCs w:val="20"/>
          <w:lang w:val="en-US" w:eastAsia="zh-CN"/>
        </w:rPr>
        <w:t>would be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resolved.</w:t>
      </w:r>
    </w:p>
    <w:p w14:paraId="2D3BEDA0" w14:textId="2AE06EAC" w:rsidR="00DD13F8" w:rsidRPr="00DD13F8" w:rsidRDefault="00DD13F8" w:rsidP="00DD13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zh-CN"/>
        </w:rPr>
      </w:pPr>
    </w:p>
    <w:p w14:paraId="67D6E649" w14:textId="212EEB0C" w:rsidR="007B012F" w:rsidRPr="002F53CF" w:rsidRDefault="00C952D8" w:rsidP="0075439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lastRenderedPageBreak/>
        <w:t xml:space="preserve">2. </w:t>
      </w:r>
      <w:r w:rsidR="00D51720">
        <w:rPr>
          <w:rFonts w:ascii="Arial" w:eastAsia="MS Mincho" w:hAnsi="Arial" w:cs="Times New Roman"/>
          <w:sz w:val="36"/>
          <w:szCs w:val="20"/>
          <w:lang w:val="en-GB" w:eastAsia="ja-JP"/>
        </w:rPr>
        <w:t>Discussion</w:t>
      </w:r>
    </w:p>
    <w:p w14:paraId="0772C6C1" w14:textId="399B5BDE" w:rsidR="00933A7D" w:rsidRDefault="00933A7D" w:rsidP="00C67B6F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567" w:rightChars="100" w:right="220" w:hanging="567"/>
        <w:outlineLvl w:val="0"/>
        <w:rPr>
          <w:rFonts w:ascii="Arial" w:eastAsia="MS Mincho" w:hAnsi="Arial" w:cs="Times New Roman"/>
          <w:sz w:val="32"/>
          <w:szCs w:val="18"/>
          <w:lang w:val="en-GB" w:eastAsia="ja-JP"/>
        </w:rPr>
      </w:pPr>
      <w:r>
        <w:rPr>
          <w:rFonts w:ascii="Arial" w:eastAsia="MS Mincho" w:hAnsi="Arial" w:cs="Times New Roman"/>
          <w:sz w:val="32"/>
          <w:szCs w:val="18"/>
          <w:lang w:val="en-GB" w:eastAsia="ja-JP"/>
        </w:rPr>
        <w:t>2.1 Background</w:t>
      </w:r>
    </w:p>
    <w:p w14:paraId="2316C1C3" w14:textId="3342F785" w:rsidR="00933A7D" w:rsidRPr="002B283F" w:rsidRDefault="00933A7D" w:rsidP="00933A7D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20"/>
          <w:szCs w:val="10"/>
          <w:lang w:val="en-GB" w:eastAsia="ja-JP"/>
        </w:rPr>
      </w:pPr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Usually, licenses for broadcasting movies/films are connected to a geographical area, within which that reproduction is permitted for the license fee that has been agreed between the service/programme item provider (ZDF, BBC, NHK, …) and the film company (</w:t>
      </w:r>
      <w:r w:rsidR="0040142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Warner Bros., </w:t>
      </w:r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Universal, Metro-Goldwyn-Mayer, …).</w:t>
      </w:r>
    </w:p>
    <w:p w14:paraId="57056DCF" w14:textId="7ECD61D7" w:rsidR="00933A7D" w:rsidRPr="002B283F" w:rsidRDefault="00933A7D" w:rsidP="00933A7D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20"/>
          <w:szCs w:val="10"/>
          <w:lang w:val="en-GB" w:eastAsia="ja-JP"/>
        </w:rPr>
      </w:pPr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Hence the </w:t>
      </w:r>
      <w:r w:rsidR="009B2C7E">
        <w:rPr>
          <w:rFonts w:ascii="Arial" w:eastAsia="MS Mincho" w:hAnsi="Arial" w:cs="Times New Roman"/>
          <w:sz w:val="20"/>
          <w:szCs w:val="10"/>
          <w:lang w:val="en-GB" w:eastAsia="ja-JP"/>
        </w:rPr>
        <w:t>network/</w:t>
      </w:r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service/content provider </w:t>
      </w:r>
      <w:proofErr w:type="gramStart"/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has to</w:t>
      </w:r>
      <w:proofErr w:type="gramEnd"/>
      <w:r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make sure that the content in question can’t be reproduced elsewhere. Furthermore, there might be payments connected to having access to the service or programme item.</w:t>
      </w:r>
      <w:r w:rsidR="009B2C7E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</w:t>
      </w:r>
      <w:proofErr w:type="gramStart"/>
      <w:r w:rsidR="009B2C7E">
        <w:rPr>
          <w:rFonts w:ascii="Arial" w:eastAsia="MS Mincho" w:hAnsi="Arial" w:cs="Times New Roman"/>
          <w:sz w:val="20"/>
          <w:szCs w:val="10"/>
          <w:lang w:val="en-GB" w:eastAsia="ja-JP"/>
        </w:rPr>
        <w:t>So</w:t>
      </w:r>
      <w:proofErr w:type="gramEnd"/>
      <w:r w:rsidR="009B2C7E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the responsible provider needs to assure that the related payment has been executed and the corresponding descrambling means become available to the entitled users.</w:t>
      </w:r>
    </w:p>
    <w:p w14:paraId="7F735B45" w14:textId="00215CC7" w:rsidR="00933A7D" w:rsidRDefault="0040142F" w:rsidP="00933A7D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20"/>
          <w:szCs w:val="10"/>
          <w:lang w:val="en-GB" w:eastAsia="ja-JP"/>
        </w:rPr>
      </w:pPr>
      <w:r>
        <w:rPr>
          <w:rFonts w:ascii="Arial" w:eastAsia="MS Mincho" w:hAnsi="Arial" w:cs="Times New Roman"/>
          <w:sz w:val="20"/>
          <w:szCs w:val="10"/>
          <w:lang w:val="en-GB" w:eastAsia="ja-JP"/>
        </w:rPr>
        <w:t>Typical</w:t>
      </w:r>
      <w:r w:rsidR="00933A7D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means 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in combination with</w:t>
      </w:r>
      <w:r w:rsidR="00933A7D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traditional TV systems 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in use is the application of Conditional Access (CA), which covers both aspects – making sure that the user of the affected UE has paid for the content she/he wants to watch/</w:t>
      </w:r>
      <w:proofErr w:type="gramStart"/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hear</w:t>
      </w:r>
      <w:proofErr w:type="gramEnd"/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and that </w:t>
      </w:r>
      <w:r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the 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user sits inside the area the reproduction is permitted within. Whereby the latter aspect – </w:t>
      </w:r>
      <w:r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usually 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being connected to the users</w:t>
      </w:r>
      <w:r w:rsidR="00613B2E">
        <w:rPr>
          <w:rFonts w:ascii="Arial" w:eastAsia="MS Mincho" w:hAnsi="Arial" w:cs="Times New Roman"/>
          <w:sz w:val="20"/>
          <w:szCs w:val="10"/>
          <w:lang w:val="en-GB" w:eastAsia="ja-JP"/>
        </w:rPr>
        <w:t>’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home address – is a bit fuzzy and not </w:t>
      </w:r>
      <w:proofErr w:type="gramStart"/>
      <w:r w:rsidR="00613B2E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really </w:t>
      </w:r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>applicable</w:t>
      </w:r>
      <w:proofErr w:type="gramEnd"/>
      <w:r w:rsidR="001C4817" w:rsidRPr="002B283F">
        <w:rPr>
          <w:rFonts w:ascii="Arial" w:eastAsia="MS Mincho" w:hAnsi="Arial" w:cs="Times New Roman"/>
          <w:sz w:val="20"/>
          <w:szCs w:val="10"/>
          <w:lang w:val="en-GB" w:eastAsia="ja-JP"/>
        </w:rPr>
        <w:t xml:space="preserve"> to mobile devices in the same way as to traditional TV sets with their limited mobility.</w:t>
      </w:r>
    </w:p>
    <w:p w14:paraId="153FD362" w14:textId="32952620" w:rsidR="002B283F" w:rsidRPr="00E664F2" w:rsidRDefault="002B283F" w:rsidP="002B283F">
      <w:pPr>
        <w:keepNext/>
        <w:keepLines/>
        <w:pBdr>
          <w:top w:val="single" w:sz="12" w:space="3" w:color="auto"/>
        </w:pBdr>
        <w:tabs>
          <w:tab w:val="left" w:pos="2127"/>
          <w:tab w:val="num" w:pos="4969"/>
        </w:tabs>
        <w:spacing w:before="240" w:after="180" w:line="240" w:lineRule="auto"/>
        <w:ind w:left="2124" w:rightChars="100" w:right="220" w:hanging="2124"/>
        <w:outlineLvl w:val="0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  <w:bookmarkStart w:id="0" w:name="_Hlk172127861"/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Observation 1: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Traditional (usually TV-connected) means of geoblocking – based on users’ home addresses – might not be sufficient for mobile devices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p w14:paraId="364F2312" w14:textId="24970EA1" w:rsidR="002B283F" w:rsidRDefault="002B283F" w:rsidP="002B283F">
      <w:pPr>
        <w:keepNext/>
        <w:keepLines/>
        <w:pBdr>
          <w:top w:val="single" w:sz="12" w:space="3" w:color="auto"/>
        </w:pBdr>
        <w:tabs>
          <w:tab w:val="left" w:pos="2127"/>
          <w:tab w:val="num" w:pos="4969"/>
        </w:tabs>
        <w:spacing w:before="240" w:after="180" w:line="240" w:lineRule="auto"/>
        <w:ind w:left="2124" w:rightChars="100" w:right="220" w:hanging="2124"/>
        <w:outlineLvl w:val="0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2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: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For making sure that the user has paid for the content she/he wants to watch/listen to</w:t>
      </w:r>
      <w:r w:rsidR="00EA511D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,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 CA systems are applicable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bookmarkEnd w:id="0"/>
    <w:p w14:paraId="69289136" w14:textId="77777777" w:rsidR="001C4817" w:rsidRPr="00933A7D" w:rsidRDefault="001C4817" w:rsidP="00933A7D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Cs w:val="12"/>
          <w:lang w:val="en-GB" w:eastAsia="ja-JP"/>
        </w:rPr>
      </w:pPr>
    </w:p>
    <w:p w14:paraId="04AD1D90" w14:textId="7E3FD47B" w:rsidR="008B027B" w:rsidRPr="002F53CF" w:rsidRDefault="008B027B" w:rsidP="00C67B6F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567" w:rightChars="100" w:right="220" w:hanging="567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>2.</w:t>
      </w:r>
      <w:r w:rsidR="00933A7D">
        <w:rPr>
          <w:rFonts w:ascii="Arial" w:eastAsia="MS Mincho" w:hAnsi="Arial" w:cs="Times New Roman"/>
          <w:sz w:val="32"/>
          <w:szCs w:val="18"/>
          <w:lang w:val="en-GB" w:eastAsia="ja-JP"/>
        </w:rPr>
        <w:t>2</w:t>
      </w:r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 xml:space="preserve"> </w:t>
      </w:r>
      <w:r w:rsidR="00CF01DE">
        <w:rPr>
          <w:rFonts w:ascii="Arial" w:eastAsia="MS Mincho" w:hAnsi="Arial" w:cs="Times New Roman"/>
          <w:sz w:val="32"/>
          <w:szCs w:val="18"/>
          <w:lang w:val="en-GB" w:eastAsia="ja-JP"/>
        </w:rPr>
        <w:t>Rationale</w:t>
      </w:r>
    </w:p>
    <w:p w14:paraId="02FF9668" w14:textId="5359764D" w:rsidR="00750D1D" w:rsidRPr="00750D1D" w:rsidRDefault="00750D1D" w:rsidP="00750D1D">
      <w:pPr>
        <w:keepNext/>
        <w:keepLines/>
        <w:pBdr>
          <w:top w:val="single" w:sz="12" w:space="3" w:color="auto"/>
        </w:pBdr>
        <w:tabs>
          <w:tab w:val="left" w:pos="2127"/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20"/>
          <w:szCs w:val="20"/>
          <w:lang w:val="en-GB" w:eastAsia="ja-JP"/>
        </w:rPr>
      </w:pPr>
      <w:bookmarkStart w:id="1" w:name="_Hlk165999150"/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>Reproduction of a</w:t>
      </w:r>
      <w:r>
        <w:rPr>
          <w:rFonts w:ascii="Arial" w:eastAsia="MS Mincho" w:hAnsi="Arial" w:cs="Times New Roman"/>
          <w:sz w:val="20"/>
          <w:szCs w:val="20"/>
          <w:lang w:val="en-GB" w:eastAsia="ja-JP"/>
        </w:rPr>
        <w:t>(n)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(audio/video or radio) service (or single programme item) on a UE shall be</w:t>
      </w:r>
      <w:r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>restricted to</w:t>
      </w:r>
      <w:r w:rsidR="00933A7D">
        <w:rPr>
          <w:rFonts w:ascii="Arial" w:eastAsia="MS Mincho" w:hAnsi="Arial" w:cs="Times New Roman"/>
          <w:sz w:val="20"/>
          <w:szCs w:val="20"/>
          <w:lang w:val="en-GB" w:eastAsia="ja-JP"/>
        </w:rPr>
        <w:br/>
        <w:t xml:space="preserve">a) 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>inhabitants of a certain area, e.g. a country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,</w:t>
      </w:r>
      <w:r w:rsidR="00933A7D">
        <w:rPr>
          <w:rFonts w:ascii="Arial" w:eastAsia="MS Mincho" w:hAnsi="Arial" w:cs="Times New Roman"/>
          <w:sz w:val="20"/>
          <w:szCs w:val="20"/>
          <w:lang w:val="en-GB" w:eastAsia="ja-JP"/>
        </w:rPr>
        <w:br/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b) users who paid for the content,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br/>
      </w:r>
      <w:r w:rsidR="00933A7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b) 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>that aforementioned area,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e.g. a country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(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in case 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users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travel abroad, 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they</w:t>
      </w:r>
      <w:r w:rsidRPr="00750D1D">
        <w:rPr>
          <w:rFonts w:ascii="Arial" w:eastAsia="MS Mincho" w:hAnsi="Arial" w:cs="Times New Roman"/>
          <w:sz w:val="20"/>
          <w:szCs w:val="20"/>
          <w:lang w:val="en-GB" w:eastAsia="ja-JP"/>
        </w:rPr>
        <w:t xml:space="preserve"> shall not be able to access the service in question anymore in the other area</w:t>
      </w:r>
      <w:r w:rsidR="00CF501E">
        <w:rPr>
          <w:rFonts w:ascii="Arial" w:eastAsia="MS Mincho" w:hAnsi="Arial" w:cs="Times New Roman"/>
          <w:sz w:val="20"/>
          <w:szCs w:val="20"/>
          <w:lang w:val="en-GB" w:eastAsia="ja-JP"/>
        </w:rPr>
        <w:t>).</w:t>
      </w:r>
    </w:p>
    <w:p w14:paraId="608DC256" w14:textId="0F3E5454" w:rsidR="008B027B" w:rsidRPr="00E664F2" w:rsidRDefault="008B027B" w:rsidP="008B027B">
      <w:pPr>
        <w:keepNext/>
        <w:keepLines/>
        <w:pBdr>
          <w:top w:val="single" w:sz="12" w:space="3" w:color="auto"/>
        </w:pBdr>
        <w:tabs>
          <w:tab w:val="left" w:pos="2127"/>
          <w:tab w:val="num" w:pos="4969"/>
        </w:tabs>
        <w:spacing w:before="240" w:after="180" w:line="240" w:lineRule="auto"/>
        <w:ind w:left="2124" w:rightChars="100" w:right="220" w:hanging="2124"/>
        <w:outlineLvl w:val="0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  <w:bookmarkStart w:id="2" w:name="_Hlk172119722"/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Observation </w:t>
      </w:r>
      <w:r w:rsidR="00CF501E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3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: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A mechanism is required for verifying the fulfilment of multiple conditions entitling a user/UE for watching/reproducing certain content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bookmarkEnd w:id="1"/>
    <w:bookmarkEnd w:id="2"/>
    <w:p w14:paraId="2753E72E" w14:textId="470BBD3D" w:rsidR="00A401A2" w:rsidRPr="00E664F2" w:rsidRDefault="00A401A2" w:rsidP="00A401A2">
      <w:pPr>
        <w:keepNext/>
        <w:keepLines/>
        <w:pBdr>
          <w:top w:val="single" w:sz="12" w:space="3" w:color="auto"/>
        </w:pBdr>
        <w:tabs>
          <w:tab w:val="left" w:pos="2127"/>
          <w:tab w:val="num" w:pos="4969"/>
        </w:tabs>
        <w:spacing w:before="240" w:after="180" w:line="240" w:lineRule="auto"/>
        <w:ind w:left="2124" w:rightChars="100" w:right="220" w:hanging="2124"/>
        <w:outlineLvl w:val="0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Proposal 1: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  <w:t>Define a geoblocking solution fulfilling the requirements for a) determining UE’s position within or outside of a specified (home) area and b) for optionally checking the execution of a potentially required payment for the MBS content in question.</w:t>
      </w:r>
    </w:p>
    <w:p w14:paraId="4F3A753A" w14:textId="77777777" w:rsidR="008B027B" w:rsidRPr="008B027B" w:rsidRDefault="008B027B" w:rsidP="00662BA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20"/>
          <w:szCs w:val="20"/>
          <w:lang w:val="en-GB" w:eastAsia="ja-JP"/>
        </w:rPr>
      </w:pPr>
    </w:p>
    <w:p w14:paraId="0371A00A" w14:textId="1E168965" w:rsidR="00662BA6" w:rsidRDefault="00662BA6" w:rsidP="00C67B6F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32"/>
          <w:szCs w:val="18"/>
          <w:lang w:val="en-GB" w:eastAsia="ja-JP"/>
        </w:rPr>
      </w:pPr>
      <w:bookmarkStart w:id="3" w:name="_Hlk165997456"/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>2.</w:t>
      </w:r>
      <w:r w:rsidR="00E664F2">
        <w:rPr>
          <w:rFonts w:ascii="Arial" w:eastAsia="MS Mincho" w:hAnsi="Arial" w:cs="Times New Roman"/>
          <w:sz w:val="32"/>
          <w:szCs w:val="18"/>
          <w:lang w:val="en-GB" w:eastAsia="ja-JP"/>
        </w:rPr>
        <w:t>2</w:t>
      </w:r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 xml:space="preserve"> </w:t>
      </w:r>
      <w:r w:rsidR="00CF501E">
        <w:rPr>
          <w:rFonts w:ascii="Arial" w:eastAsia="MS Mincho" w:hAnsi="Arial" w:cs="Times New Roman"/>
          <w:sz w:val="32"/>
          <w:szCs w:val="18"/>
          <w:lang w:val="en-GB" w:eastAsia="ja-JP"/>
        </w:rPr>
        <w:t>Geoblocking proposal</w:t>
      </w:r>
    </w:p>
    <w:p w14:paraId="11761DF1" w14:textId="7513A8D0" w:rsidR="00CF501E" w:rsidRPr="002F53CF" w:rsidRDefault="00CF501E" w:rsidP="00C67B6F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18"/>
          <w:lang w:val="en-GB" w:eastAsia="ja-JP"/>
        </w:rPr>
        <w:t>2.2.1 Area indication</w:t>
      </w:r>
    </w:p>
    <w:bookmarkEnd w:id="3"/>
    <w:p w14:paraId="1E99ADD7" w14:textId="39ADA49F" w:rsidR="00E017FB" w:rsidRPr="000063B6" w:rsidRDefault="00CF501E" w:rsidP="00E017FB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Countries around the world and their administration geographies are structured in a similar way – on the highest layer there is the country itself, on the layer below there are federal states, provinces, prefectures, you name it</w:t>
      </w:r>
      <w:r w:rsidR="00D51720" w:rsidRPr="000063B6">
        <w:rPr>
          <w:rFonts w:ascii="Arial" w:hAnsi="Arial" w:cs="Arial"/>
          <w:sz w:val="20"/>
          <w:szCs w:val="20"/>
          <w:lang w:val="en-GB" w:eastAsia="ja-JP"/>
        </w:rPr>
        <w:t>.</w:t>
      </w:r>
      <w:r w:rsidR="00BF03E1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CC2AFA">
        <w:rPr>
          <w:rFonts w:ascii="Arial" w:hAnsi="Arial" w:cs="Arial"/>
          <w:sz w:val="20"/>
          <w:szCs w:val="20"/>
          <w:lang w:val="en-GB" w:eastAsia="ja-JP"/>
        </w:rPr>
        <w:t>See figure 1 below for Europe and its neighbourhood</w:t>
      </w:r>
      <w:r w:rsidR="00BF03E1">
        <w:rPr>
          <w:rFonts w:ascii="Arial" w:hAnsi="Arial" w:cs="Arial"/>
          <w:sz w:val="20"/>
          <w:szCs w:val="20"/>
          <w:lang w:val="en-GB" w:eastAsia="ja-JP"/>
        </w:rPr>
        <w:t xml:space="preserve"> – with Germany being the highlighted example here</w:t>
      </w:r>
      <w:r w:rsidR="00CC2AFA">
        <w:rPr>
          <w:rFonts w:ascii="Arial" w:hAnsi="Arial" w:cs="Arial"/>
          <w:sz w:val="20"/>
          <w:szCs w:val="20"/>
          <w:lang w:val="en-GB" w:eastAsia="ja-JP"/>
        </w:rPr>
        <w:t xml:space="preserve">. </w:t>
      </w:r>
      <w:r w:rsidR="006335B5">
        <w:rPr>
          <w:rFonts w:ascii="Arial" w:hAnsi="Arial" w:cs="Arial"/>
          <w:sz w:val="20"/>
          <w:szCs w:val="20"/>
          <w:lang w:val="en-GB" w:eastAsia="ja-JP"/>
        </w:rPr>
        <w:t xml:space="preserve">Usually, these two highest layers are sufficient for the purpose of </w:t>
      </w:r>
      <w:r w:rsidR="006335B5">
        <w:rPr>
          <w:rFonts w:ascii="Arial" w:hAnsi="Arial" w:cs="Arial"/>
          <w:sz w:val="20"/>
          <w:szCs w:val="20"/>
          <w:lang w:val="en-GB" w:eastAsia="ja-JP"/>
        </w:rPr>
        <w:lastRenderedPageBreak/>
        <w:t>geoblocking/geofencing.</w:t>
      </w:r>
      <w:r w:rsidR="00271D9F">
        <w:rPr>
          <w:rFonts w:ascii="Arial" w:hAnsi="Arial" w:cs="Arial"/>
          <w:sz w:val="20"/>
          <w:szCs w:val="20"/>
          <w:lang w:val="en-GB" w:eastAsia="ja-JP"/>
        </w:rPr>
        <w:t xml:space="preserve"> Nonetheless, t</w:t>
      </w:r>
      <w:r>
        <w:rPr>
          <w:rFonts w:ascii="Arial" w:hAnsi="Arial" w:cs="Arial"/>
          <w:sz w:val="20"/>
          <w:szCs w:val="20"/>
          <w:lang w:val="en-GB" w:eastAsia="ja-JP"/>
        </w:rPr>
        <w:t xml:space="preserve">hese layers continue down to a very fine granularity. The corresponding geographical information about the borders of the </w:t>
      </w:r>
      <w:proofErr w:type="gramStart"/>
      <w:r>
        <w:rPr>
          <w:rFonts w:ascii="Arial" w:hAnsi="Arial" w:cs="Arial"/>
          <w:sz w:val="20"/>
          <w:szCs w:val="20"/>
          <w:lang w:val="en-GB" w:eastAsia="ja-JP"/>
        </w:rPr>
        <w:t>aforementioned structures</w:t>
      </w:r>
      <w:proofErr w:type="gramEnd"/>
      <w:r>
        <w:rPr>
          <w:rFonts w:ascii="Arial" w:hAnsi="Arial" w:cs="Arial"/>
          <w:sz w:val="20"/>
          <w:szCs w:val="20"/>
          <w:lang w:val="en-GB" w:eastAsia="ja-JP"/>
        </w:rPr>
        <w:t xml:space="preserve"> is available from public databases. Hence the need for a related indication in the form of circles or polygons</w:t>
      </w:r>
      <w:r w:rsidR="00CC2AFA">
        <w:rPr>
          <w:rFonts w:ascii="Arial" w:hAnsi="Arial" w:cs="Arial"/>
          <w:sz w:val="20"/>
          <w:szCs w:val="20"/>
          <w:lang w:val="en-GB" w:eastAsia="ja-JP"/>
        </w:rPr>
        <w:t xml:space="preserve"> seems somewhat redundant.</w:t>
      </w:r>
      <w:r w:rsidR="00612463">
        <w:rPr>
          <w:rFonts w:ascii="Arial" w:hAnsi="Arial" w:cs="Arial"/>
          <w:sz w:val="20"/>
          <w:szCs w:val="20"/>
          <w:lang w:val="en-GB" w:eastAsia="ja-JP"/>
        </w:rPr>
        <w:t xml:space="preserve"> Furthermore, the outlined geo database approach saves signalling resources, i.e. the indication of multiple circles and polygons would not be required.</w:t>
      </w:r>
      <w:r w:rsidR="00FA24A6">
        <w:rPr>
          <w:rFonts w:ascii="Arial" w:hAnsi="Arial" w:cs="Arial"/>
          <w:sz w:val="20"/>
          <w:szCs w:val="20"/>
          <w:lang w:val="en-GB" w:eastAsia="ja-JP"/>
        </w:rPr>
        <w:t xml:space="preserve"> Instead, a URL for the </w:t>
      </w:r>
      <w:r w:rsidR="00015BF3">
        <w:rPr>
          <w:rFonts w:ascii="Arial" w:hAnsi="Arial" w:cs="Arial"/>
          <w:sz w:val="20"/>
          <w:szCs w:val="20"/>
          <w:lang w:val="en-GB" w:eastAsia="ja-JP"/>
        </w:rPr>
        <w:t>related</w:t>
      </w:r>
      <w:r w:rsidR="00FA24A6">
        <w:rPr>
          <w:rFonts w:ascii="Arial" w:hAnsi="Arial" w:cs="Arial"/>
          <w:sz w:val="20"/>
          <w:szCs w:val="20"/>
          <w:lang w:val="en-GB" w:eastAsia="ja-JP"/>
        </w:rPr>
        <w:t xml:space="preserve"> database entry would be signalled</w:t>
      </w:r>
      <w:r w:rsidR="00015BF3">
        <w:rPr>
          <w:rFonts w:ascii="Arial" w:hAnsi="Arial" w:cs="Arial"/>
          <w:sz w:val="20"/>
          <w:szCs w:val="20"/>
          <w:lang w:val="en-GB" w:eastAsia="ja-JP"/>
        </w:rPr>
        <w:t>, e.g. the entry describing the border between Germany and its neighbouring countries</w:t>
      </w:r>
      <w:r w:rsidR="00FA24A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0397472" w14:textId="77777777" w:rsidR="00E63F46" w:rsidRDefault="00CF501E" w:rsidP="00E63F46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eastAsia="MS Mincho" w:hAnsi="Arial" w:cs="Times New Roman"/>
          <w:noProof/>
          <w:sz w:val="20"/>
          <w:szCs w:val="20"/>
          <w:lang w:val="en-GB" w:eastAsia="ja-JP"/>
        </w:rPr>
        <w:drawing>
          <wp:inline distT="0" distB="0" distL="0" distR="0" wp14:anchorId="2526968A" wp14:editId="16F40443">
            <wp:extent cx="2298700" cy="2070382"/>
            <wp:effectExtent l="0" t="0" r="6350" b="6350"/>
            <wp:docPr id="1783913670" name="Picture 1" descr="A map of europe with different colored countries/region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913670" name="Picture 1" descr="A map of europe with different colored countries/region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351" cy="2089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6B319" w14:textId="18575CAF" w:rsidR="000758E4" w:rsidRDefault="000758E4" w:rsidP="000758E4">
      <w:pPr>
        <w:ind w:left="2124" w:hanging="2124"/>
        <w:jc w:val="center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Figure 1: Administrative areas (two top layers) in Europe and neighbouring regions</w:t>
      </w:r>
    </w:p>
    <w:p w14:paraId="57AE9510" w14:textId="77777777" w:rsidR="000758E4" w:rsidRDefault="000758E4" w:rsidP="00E63F46">
      <w:pPr>
        <w:ind w:left="2124" w:hanging="2124"/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</w:pPr>
    </w:p>
    <w:p w14:paraId="2D0FE6C1" w14:textId="1AF0EDBA" w:rsidR="00E63F46" w:rsidRDefault="00E63F46" w:rsidP="00E63F46">
      <w:pPr>
        <w:ind w:left="2124" w:hanging="2124"/>
        <w:rPr>
          <w:rFonts w:ascii="Arial" w:hAnsi="Arial" w:cs="Arial"/>
          <w:sz w:val="20"/>
          <w:szCs w:val="20"/>
          <w:lang w:val="en-GB" w:eastAsia="ja-JP"/>
        </w:rPr>
      </w:pP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4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: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  <w:t xml:space="preserve">An indication of an intended MBS service area by means of circles and/or polygons </w:t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might be enhanced with pointing to a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 geographical database describing the borders of administrative areas precisely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p w14:paraId="26D7B43D" w14:textId="77EB2515" w:rsidR="00E63F46" w:rsidRPr="00E63F46" w:rsidRDefault="00E63F46" w:rsidP="00BF03E1">
      <w:pPr>
        <w:ind w:left="2124" w:hanging="2124"/>
        <w:rPr>
          <w:rFonts w:ascii="Arial" w:hAnsi="Arial" w:cs="Arial"/>
          <w:sz w:val="20"/>
          <w:szCs w:val="20"/>
          <w:lang w:val="en-GB" w:eastAsia="ja-JP"/>
        </w:rPr>
      </w:pP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Proposal </w:t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2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: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</w:r>
      <w:r w:rsidR="00BF03E1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Define the option of indicating the URL of the desired entry </w:t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(e.g. country or federal state) </w:t>
      </w:r>
      <w:r w:rsidR="00BF03E1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in a geographical database. That option could </w:t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enhance</w:t>
      </w:r>
      <w:r w:rsidR="00BF03E1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 the </w:t>
      </w:r>
      <w:r w:rsidR="00A401A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already agreed</w:t>
      </w:r>
      <w:r w:rsidR="00BF03E1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 circle/polygon-based approach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. </w:t>
      </w:r>
    </w:p>
    <w:p w14:paraId="7D883477" w14:textId="77777777" w:rsidR="00C1223A" w:rsidRDefault="00C1223A" w:rsidP="00E017FB">
      <w:pPr>
        <w:rPr>
          <w:rFonts w:ascii="Arial" w:hAnsi="Arial" w:cs="Arial"/>
          <w:sz w:val="20"/>
          <w:szCs w:val="20"/>
          <w:lang w:val="en-GB" w:eastAsia="ja-JP"/>
        </w:rPr>
      </w:pPr>
    </w:p>
    <w:p w14:paraId="2504A4CA" w14:textId="77777777" w:rsidR="00A73C99" w:rsidRPr="000063B6" w:rsidRDefault="00A73C99" w:rsidP="00E017FB">
      <w:pPr>
        <w:rPr>
          <w:rFonts w:ascii="Arial" w:hAnsi="Arial" w:cs="Arial"/>
          <w:sz w:val="20"/>
          <w:szCs w:val="20"/>
          <w:lang w:val="en-GB" w:eastAsia="ja-JP"/>
        </w:rPr>
      </w:pPr>
    </w:p>
    <w:p w14:paraId="33B50EF9" w14:textId="56901115" w:rsidR="00662BA6" w:rsidRPr="00662BA6" w:rsidRDefault="009E2E03" w:rsidP="00271D9F">
      <w:pPr>
        <w:pStyle w:val="Heading1"/>
        <w:numPr>
          <w:ilvl w:val="2"/>
          <w:numId w:val="45"/>
        </w:numPr>
        <w:rPr>
          <w:rFonts w:ascii="Arial" w:hAnsi="Arial" w:cs="Arial"/>
          <w:sz w:val="44"/>
          <w:szCs w:val="22"/>
          <w:lang w:val="en-GB" w:eastAsia="ja-JP"/>
        </w:rPr>
      </w:pPr>
      <w:r>
        <w:rPr>
          <w:rFonts w:ascii="Arial" w:hAnsi="Arial" w:cs="Arial"/>
          <w:sz w:val="32"/>
          <w:szCs w:val="32"/>
          <w:lang w:val="en-GB" w:eastAsia="ja-JP"/>
        </w:rPr>
        <w:t>Entitlement verification</w:t>
      </w:r>
      <w:r w:rsidR="00271D9F">
        <w:rPr>
          <w:rFonts w:ascii="Arial" w:hAnsi="Arial" w:cs="Arial"/>
          <w:sz w:val="32"/>
          <w:szCs w:val="32"/>
          <w:lang w:val="en-GB" w:eastAsia="ja-JP"/>
        </w:rPr>
        <w:t xml:space="preserve"> sequence</w:t>
      </w:r>
    </w:p>
    <w:p w14:paraId="035DBA91" w14:textId="07D465CF" w:rsidR="001E2C30" w:rsidRDefault="00271D9F" w:rsidP="00271D9F">
      <w:pPr>
        <w:spacing w:after="120" w:line="240" w:lineRule="auto"/>
        <w:rPr>
          <w:rFonts w:ascii="Arial" w:eastAsia="MS Mincho" w:hAnsi="Arial" w:cs="Arial"/>
          <w:sz w:val="20"/>
          <w:szCs w:val="20"/>
          <w:lang w:val="en-US" w:eastAsia="ja-JP"/>
        </w:rPr>
      </w:pPr>
      <w:bookmarkStart w:id="4" w:name="_Hlk158649639"/>
      <w:bookmarkStart w:id="5" w:name="_Hlk149575805"/>
      <w:r>
        <w:rPr>
          <w:rFonts w:ascii="Arial" w:eastAsia="MS Mincho" w:hAnsi="Arial" w:cs="Arial"/>
          <w:sz w:val="20"/>
          <w:szCs w:val="20"/>
          <w:lang w:val="en-US" w:eastAsia="ja-JP"/>
        </w:rPr>
        <w:t>The network</w:t>
      </w:r>
      <w:r w:rsidR="00A401A2">
        <w:rPr>
          <w:rFonts w:ascii="Arial" w:eastAsia="MS Mincho" w:hAnsi="Arial" w:cs="Arial"/>
          <w:sz w:val="20"/>
          <w:szCs w:val="20"/>
          <w:lang w:val="en-US" w:eastAsia="ja-JP"/>
        </w:rPr>
        <w:t>/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>service/content provider need</w:t>
      </w:r>
      <w:r w:rsidR="00A401A2">
        <w:rPr>
          <w:rFonts w:ascii="Arial" w:eastAsia="MS Mincho" w:hAnsi="Arial" w:cs="Arial"/>
          <w:sz w:val="20"/>
          <w:szCs w:val="20"/>
          <w:lang w:val="en-US" w:eastAsia="ja-JP"/>
        </w:rPr>
        <w:t>s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to make sure that the user/UE fulfills all requirements being connected to the reproduction of a service or a single programme item. </w:t>
      </w:r>
      <w:r w:rsidR="001E2C30">
        <w:rPr>
          <w:rFonts w:ascii="Arial" w:eastAsia="MS Mincho" w:hAnsi="Arial" w:cs="Arial"/>
          <w:sz w:val="20"/>
          <w:szCs w:val="20"/>
          <w:lang w:val="en-US" w:eastAsia="ja-JP"/>
        </w:rPr>
        <w:t xml:space="preserve">Variants of that verification sequence may arise from a shift of responsibilities for assigning entitlements to users/UEs and from a deferral of accountabilities for verifying/falsifying the fulfillment of the outlined requirements. These responsibilities might be assigned to </w:t>
      </w:r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>providers of</w:t>
      </w:r>
      <w:r w:rsidR="001E2C30">
        <w:rPr>
          <w:rFonts w:ascii="Arial" w:eastAsia="MS Mincho" w:hAnsi="Arial" w:cs="Arial"/>
          <w:sz w:val="20"/>
          <w:szCs w:val="20"/>
          <w:lang w:val="en-US" w:eastAsia="ja-JP"/>
        </w:rPr>
        <w:t xml:space="preserve"> service</w:t>
      </w:r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>s</w:t>
      </w:r>
      <w:r w:rsidR="001E2C30">
        <w:rPr>
          <w:rFonts w:ascii="Arial" w:eastAsia="MS Mincho" w:hAnsi="Arial" w:cs="Arial"/>
          <w:sz w:val="20"/>
          <w:szCs w:val="20"/>
          <w:lang w:val="en-US" w:eastAsia="ja-JP"/>
        </w:rPr>
        <w:t xml:space="preserve"> and</w:t>
      </w:r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 xml:space="preserve"> programme items or</w:t>
      </w:r>
      <w:r w:rsidR="001E2C30">
        <w:rPr>
          <w:rFonts w:ascii="Arial" w:eastAsia="MS Mincho" w:hAnsi="Arial" w:cs="Arial"/>
          <w:sz w:val="20"/>
          <w:szCs w:val="20"/>
          <w:lang w:val="en-US" w:eastAsia="ja-JP"/>
        </w:rPr>
        <w:t xml:space="preserve"> network providers – based on corresponding functions/APIs.</w:t>
      </w:r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 xml:space="preserve"> In other words, either the network overtakes tasks the content/service provider assigns to the </w:t>
      </w:r>
      <w:proofErr w:type="gramStart"/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>network</w:t>
      </w:r>
      <w:proofErr w:type="gramEnd"/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 xml:space="preserve"> or the network provides functions/API</w:t>
      </w:r>
      <w:r w:rsidR="00274329">
        <w:rPr>
          <w:rFonts w:ascii="Arial" w:eastAsia="MS Mincho" w:hAnsi="Arial" w:cs="Arial"/>
          <w:sz w:val="20"/>
          <w:szCs w:val="20"/>
          <w:lang w:val="en-US" w:eastAsia="ja-JP"/>
        </w:rPr>
        <w:t>s</w:t>
      </w:r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 xml:space="preserve"> allowing the content/service provider to overtake control via these interfaces.</w:t>
      </w:r>
      <w:r w:rsidR="00B829E3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  <w:r w:rsidR="00B829E3" w:rsidRPr="00B829E3">
        <w:rPr>
          <w:rFonts w:ascii="Arial" w:eastAsia="MS Mincho" w:hAnsi="Arial" w:cs="Arial"/>
          <w:sz w:val="20"/>
          <w:szCs w:val="20"/>
          <w:lang w:val="en-US" w:eastAsia="ja-JP"/>
        </w:rPr>
        <w:t xml:space="preserve">Also mixed cases of the </w:t>
      </w:r>
      <w:proofErr w:type="gramStart"/>
      <w:r w:rsidR="00B829E3" w:rsidRPr="00B829E3">
        <w:rPr>
          <w:rFonts w:ascii="Arial" w:eastAsia="MS Mincho" w:hAnsi="Arial" w:cs="Arial"/>
          <w:sz w:val="20"/>
          <w:szCs w:val="20"/>
          <w:lang w:val="en-US" w:eastAsia="ja-JP"/>
        </w:rPr>
        <w:t xml:space="preserve">aforementioned </w:t>
      </w:r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>structure</w:t>
      </w:r>
      <w:r w:rsidR="00E1721A">
        <w:rPr>
          <w:rFonts w:ascii="Arial" w:eastAsia="MS Mincho" w:hAnsi="Arial" w:cs="Arial"/>
          <w:sz w:val="20"/>
          <w:szCs w:val="20"/>
          <w:lang w:val="en-US" w:eastAsia="ja-JP"/>
        </w:rPr>
        <w:t>s</w:t>
      </w:r>
      <w:proofErr w:type="gramEnd"/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  <w:r w:rsidR="00B829E3" w:rsidRPr="00B829E3">
        <w:rPr>
          <w:rFonts w:ascii="Arial" w:eastAsia="MS Mincho" w:hAnsi="Arial" w:cs="Arial"/>
          <w:sz w:val="20"/>
          <w:szCs w:val="20"/>
          <w:lang w:val="en-US" w:eastAsia="ja-JP"/>
        </w:rPr>
        <w:t>are possible.</w:t>
      </w:r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 xml:space="preserve"> The example </w:t>
      </w:r>
      <w:r w:rsidR="0040142F">
        <w:rPr>
          <w:rFonts w:ascii="Arial" w:eastAsia="MS Mincho" w:hAnsi="Arial" w:cs="Arial"/>
          <w:sz w:val="20"/>
          <w:szCs w:val="20"/>
          <w:lang w:val="en-US" w:eastAsia="ja-JP"/>
        </w:rPr>
        <w:t xml:space="preserve">below </w:t>
      </w:r>
      <w:r w:rsidR="004F4BCC">
        <w:rPr>
          <w:rFonts w:ascii="Arial" w:eastAsia="MS Mincho" w:hAnsi="Arial" w:cs="Arial"/>
          <w:sz w:val="20"/>
          <w:szCs w:val="20"/>
          <w:lang w:val="en-US" w:eastAsia="ja-JP"/>
        </w:rPr>
        <w:t xml:space="preserve">– including figure 2 – </w:t>
      </w:r>
      <w:r w:rsidR="000279C5">
        <w:rPr>
          <w:rFonts w:ascii="Arial" w:eastAsia="MS Mincho" w:hAnsi="Arial" w:cs="Arial"/>
          <w:sz w:val="20"/>
          <w:szCs w:val="20"/>
          <w:lang w:val="en-US" w:eastAsia="ja-JP"/>
        </w:rPr>
        <w:t>is agnostic regarding the entity that controls access to services/programme items.</w:t>
      </w:r>
      <w:r w:rsidR="00D3434F">
        <w:rPr>
          <w:rFonts w:ascii="Arial" w:eastAsia="MS Mincho" w:hAnsi="Arial" w:cs="Arial"/>
          <w:sz w:val="20"/>
          <w:szCs w:val="20"/>
          <w:lang w:val="en-US" w:eastAsia="ja-JP"/>
        </w:rPr>
        <w:t xml:space="preserve"> For abstraction purposes the entity that has control is called “control entity” here.</w:t>
      </w:r>
    </w:p>
    <w:p w14:paraId="1A5D2728" w14:textId="30CF0B44" w:rsidR="00271D9F" w:rsidRDefault="00271D9F" w:rsidP="00271D9F">
      <w:pPr>
        <w:spacing w:after="120" w:line="240" w:lineRule="auto"/>
        <w:ind w:left="1415" w:hanging="1415"/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>Example: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ab/>
        <w:t>A certain programme item</w:t>
      </w:r>
      <w:r w:rsidR="00975501">
        <w:rPr>
          <w:rFonts w:ascii="Arial" w:eastAsia="MS Mincho" w:hAnsi="Arial" w:cs="Arial"/>
          <w:sz w:val="20"/>
          <w:szCs w:val="20"/>
          <w:lang w:val="en-US" w:eastAsia="ja-JP"/>
        </w:rPr>
        <w:t xml:space="preserve">, e.g. a movie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– call it </w:t>
      </w:r>
      <w:r w:rsidR="00975501">
        <w:rPr>
          <w:rFonts w:ascii="Arial" w:eastAsia="MS Mincho" w:hAnsi="Arial" w:cs="Arial"/>
          <w:sz w:val="20"/>
          <w:szCs w:val="20"/>
          <w:lang w:val="en-US" w:eastAsia="ja-JP"/>
        </w:rPr>
        <w:t>“</w:t>
      </w:r>
      <w:r w:rsidR="00975501" w:rsidRPr="00A401A2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Lost in Space</w:t>
      </w:r>
      <w:r w:rsidR="00975501">
        <w:rPr>
          <w:rFonts w:ascii="Arial" w:eastAsia="MS Mincho" w:hAnsi="Arial" w:cs="Arial"/>
          <w:sz w:val="20"/>
          <w:szCs w:val="20"/>
          <w:lang w:val="en-US" w:eastAsia="ja-JP"/>
        </w:rPr>
        <w:t>”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– is available between 20h00 and 22h00 local time via service </w:t>
      </w:r>
      <w:r w:rsidR="009B2C7E" w:rsidRPr="00A401A2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Orbital Television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to users within </w:t>
      </w:r>
      <w:r w:rsidRPr="00A401A2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area X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who have paid 10 US-Dollars for watching it.</w:t>
      </w:r>
    </w:p>
    <w:p w14:paraId="02529A05" w14:textId="45C8B1D5" w:rsidR="004F4BCC" w:rsidRDefault="004F4BCC" w:rsidP="004F4BCC">
      <w:pPr>
        <w:spacing w:after="120" w:line="240" w:lineRule="auto"/>
        <w:ind w:left="1415"/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Step 1: The control entity asks the UE to provide information about its geographical position - on GNSS basis. The control entity checks – on geodata basis - if the UE is located within target </w:t>
      </w:r>
      <w:r w:rsidRPr="00A401A2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area X</w:t>
      </w:r>
      <w:r w:rsidR="00E1721A">
        <w:rPr>
          <w:rFonts w:ascii="Arial" w:eastAsia="MS Mincho" w:hAnsi="Arial" w:cs="Arial"/>
          <w:sz w:val="20"/>
          <w:szCs w:val="20"/>
          <w:lang w:val="en-US" w:eastAsia="ja-JP"/>
        </w:rPr>
        <w:t>.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If that is not the case, the service/programme item will be indicated in the service list as not reproducible (reproduction – if underway – would be stopped). </w:t>
      </w:r>
      <w:bookmarkStart w:id="6" w:name="_Hlk174023700"/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>MRBs – if established beforehand – would be released.</w:t>
      </w:r>
      <w:bookmarkEnd w:id="6"/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Otherwise continue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lastRenderedPageBreak/>
        <w:t xml:space="preserve">with step 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>2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>.</w:t>
      </w:r>
      <w:r>
        <w:rPr>
          <w:rFonts w:ascii="Arial" w:eastAsia="MS Mincho" w:hAnsi="Arial" w:cs="Arial"/>
          <w:sz w:val="20"/>
          <w:szCs w:val="20"/>
          <w:lang w:val="en-US" w:eastAsia="ja-JP"/>
        </w:rPr>
        <w:br/>
        <w:t xml:space="preserve">Step 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>1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needs to be repeated in intervals due to the mobility of the UE.</w:t>
      </w:r>
    </w:p>
    <w:p w14:paraId="50238BA8" w14:textId="6527815E" w:rsidR="004F4BCC" w:rsidRDefault="004F4BCC" w:rsidP="004F4BCC">
      <w:pPr>
        <w:spacing w:after="120" w:line="240" w:lineRule="auto"/>
        <w:ind w:left="1415"/>
        <w:rPr>
          <w:rFonts w:ascii="Arial" w:eastAsia="MS Mincho" w:hAnsi="Arial" w:cs="Arial"/>
          <w:sz w:val="20"/>
          <w:szCs w:val="20"/>
          <w:lang w:val="en-US" w:eastAsia="ja-JP"/>
        </w:rPr>
      </w:pP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Step 2: If deemed necessary, the control entity may check by means of network-verified UE location, if the geo-position indication received from the UE beforehand (-&gt; step </w:t>
      </w:r>
      <w:r w:rsidR="00A164D4">
        <w:rPr>
          <w:rFonts w:ascii="Arial" w:eastAsia="MS Mincho" w:hAnsi="Arial" w:cs="Arial"/>
          <w:sz w:val="20"/>
          <w:szCs w:val="20"/>
          <w:lang w:val="en-US" w:eastAsia="ja-JP"/>
        </w:rPr>
        <w:t>1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) is reliable. Should that be the case, the 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 xml:space="preserve">data making up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service and programme item </w:t>
      </w:r>
      <w:r w:rsidRPr="009B2C7E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Orbital Television</w:t>
      </w:r>
      <w:r w:rsidRPr="00975501">
        <w:rPr>
          <w:rFonts w:ascii="Arial" w:eastAsia="MS Mincho" w:hAnsi="Arial" w:cs="Arial"/>
          <w:i/>
          <w:iCs/>
          <w:sz w:val="20"/>
          <w:szCs w:val="20"/>
          <w:lang w:val="en-US" w:eastAsia="ja-JP"/>
        </w:rPr>
        <w:t>: Lost in Space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>would be forwarded to subsequent stages (for e.g. CA handling)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 xml:space="preserve">, otherwise 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 xml:space="preserve">indicated 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>as non-reproducible.</w:t>
      </w:r>
      <w:r w:rsidR="00E419B5">
        <w:rPr>
          <w:rFonts w:ascii="Arial" w:eastAsia="MS Mincho" w:hAnsi="Arial" w:cs="Arial"/>
          <w:sz w:val="20"/>
          <w:szCs w:val="20"/>
          <w:lang w:val="en-US" w:eastAsia="ja-JP"/>
        </w:rPr>
        <w:t xml:space="preserve"> In the latter case, reproduction underway would be stopped and related MRBs released.</w:t>
      </w:r>
    </w:p>
    <w:p w14:paraId="48999862" w14:textId="0A0F4FC9" w:rsidR="00122131" w:rsidRDefault="00122131" w:rsidP="00122131">
      <w:pPr>
        <w:spacing w:after="120" w:line="240" w:lineRule="auto"/>
        <w:ind w:left="2124" w:hanging="2124"/>
        <w:jc w:val="center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bookmarkStart w:id="7" w:name="_Hlk165999273"/>
    </w:p>
    <w:p w14:paraId="7487F455" w14:textId="6EBE6B63" w:rsidR="00612463" w:rsidRDefault="006F7675" w:rsidP="00122131">
      <w:pPr>
        <w:spacing w:after="120" w:line="240" w:lineRule="auto"/>
        <w:ind w:left="2124" w:hanging="2124"/>
        <w:jc w:val="center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>
        <w:rPr>
          <w:rFonts w:ascii="Arial" w:eastAsia="MS Mincho" w:hAnsi="Arial" w:cs="Arial"/>
          <w:b/>
          <w:bCs/>
          <w:noProof/>
          <w:sz w:val="20"/>
          <w:szCs w:val="20"/>
          <w:lang w:val="en-US" w:eastAsia="ja-JP"/>
        </w:rPr>
        <w:drawing>
          <wp:inline distT="0" distB="0" distL="0" distR="0" wp14:anchorId="645BA012" wp14:editId="6FC319DE">
            <wp:extent cx="2271185" cy="3245000"/>
            <wp:effectExtent l="0" t="0" r="0" b="0"/>
            <wp:docPr id="4485074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59" cy="3279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9E505" w14:textId="770A43A3" w:rsidR="00122131" w:rsidRDefault="00122131" w:rsidP="00122131">
      <w:pPr>
        <w:spacing w:after="120" w:line="240" w:lineRule="auto"/>
        <w:ind w:left="2124" w:hanging="2124"/>
        <w:jc w:val="center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Figure </w:t>
      </w:r>
      <w:r w:rsidR="00DE72E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2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: </w:t>
      </w:r>
      <w:r w:rsidR="004A41A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Release/establishment of MRBs </w:t>
      </w:r>
      <w:r w:rsidR="006F767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(as far as </w:t>
      </w:r>
      <w:r w:rsidR="004A41A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RAN2 </w:t>
      </w:r>
      <w:r w:rsidR="006F767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is concerned), light yellow boxes executed by control entity, others by UE</w:t>
      </w:r>
    </w:p>
    <w:p w14:paraId="7CB72188" w14:textId="77777777" w:rsidR="00122131" w:rsidRDefault="00122131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46B27AFA" w14:textId="77777777" w:rsidR="009E2E03" w:rsidRDefault="009E2E03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72687C14" w14:textId="1C84F58D" w:rsidR="009B2C7E" w:rsidRDefault="00E67D25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Observation </w:t>
      </w:r>
      <w:r w:rsidR="00A401A2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5</w:t>
      </w:r>
      <w:r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:</w:t>
      </w:r>
      <w:r w:rsid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</w:r>
      <w:r w:rsidR="009B2C7E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All listed requirements for reproducing a service or a single programme item of a service </w:t>
      </w:r>
      <w:r w:rsidR="00F63823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only within a predefined geographical area </w:t>
      </w:r>
      <w:r w:rsidR="009B2C7E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can be fulfilled with a verification sequence</w:t>
      </w:r>
      <w:r w:rsidR="0027432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(see above)</w:t>
      </w:r>
      <w:r w:rsidR="009B2C7E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.</w:t>
      </w:r>
    </w:p>
    <w:p w14:paraId="4DF43548" w14:textId="0671BE9C" w:rsidR="00E67D25" w:rsidRDefault="009B2C7E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Observation </w:t>
      </w:r>
      <w:r w:rsidR="00A401A2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6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: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</w:r>
      <w:r w:rsidR="00870CAE"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The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role of the circle/polygon-based area indication as agreed during RAN2#126 has been reviewed and an alternative/additional proposal has been described that fulfills the requirements of geoblocking/-fencing in a more accurate and resources-saving manner</w:t>
      </w:r>
      <w:r w:rsidR="00870CAE"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.</w:t>
      </w:r>
    </w:p>
    <w:p w14:paraId="10DF1D48" w14:textId="5B26E141" w:rsidR="00A164D4" w:rsidRPr="00A73C99" w:rsidRDefault="00A164D4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Observation 7: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  <w:t xml:space="preserve">To answer the two come-back issues listed in clause 1, the introduction to this paper, the circle/polygon approach for indicating an intended service area for an MBService is seen as not accurate enough for enabling or preventing users’ access to </w:t>
      </w:r>
      <w:r w:rsidR="0020383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geoblocked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broadcast content. </w:t>
      </w:r>
      <w:proofErr w:type="gramStart"/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Therefore</w:t>
      </w:r>
      <w:proofErr w:type="gramEnd"/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that rough area indication</w:t>
      </w:r>
      <w:r w:rsidR="005832CF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shall not build the basis for establishing or releasing MRBs</w:t>
      </w:r>
      <w:r w:rsidR="005832CF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on UE side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.</w:t>
      </w:r>
    </w:p>
    <w:bookmarkEnd w:id="7"/>
    <w:p w14:paraId="2F44DE8D" w14:textId="41FB9231" w:rsidR="00E67D25" w:rsidRPr="00A73C99" w:rsidRDefault="00E67D25" w:rsidP="00A73C99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Proposal </w:t>
      </w:r>
      <w:r w:rsidR="00E664F2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3</w:t>
      </w:r>
      <w:r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:</w:t>
      </w:r>
      <w:r w:rsid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</w:r>
      <w:bookmarkStart w:id="8" w:name="_Hlk174091541"/>
      <w:r w:rsidR="000E451B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G</w:t>
      </w:r>
      <w:r w:rsidR="000E451B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eoblock</w:t>
      </w:r>
      <w:r w:rsidR="00135E4C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ing</w:t>
      </w:r>
      <w:r w:rsidR="000E451B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broadcast content </w:t>
      </w:r>
      <w:r w:rsidR="000E451B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should be based on t</w:t>
      </w:r>
      <w:r w:rsidR="0059321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he </w:t>
      </w:r>
      <w:r w:rsidR="000C3953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described </w:t>
      </w:r>
      <w:r w:rsidR="00593215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database approach for indicating administrative areas </w:t>
      </w:r>
      <w:r w:rsidR="002B7331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more accurately</w:t>
      </w:r>
      <w:r w:rsidR="00870CAE"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.</w:t>
      </w:r>
      <w:r w:rsidR="00015BF3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</w:t>
      </w:r>
      <w:r w:rsidR="000E451B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 xml:space="preserve">This </w:t>
      </w:r>
      <w:r w:rsidR="00A33C18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 xml:space="preserve">control </w:t>
      </w:r>
      <w:r w:rsidR="000E451B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is not required to be carried out by the RAN layer.</w:t>
      </w:r>
      <w:bookmarkEnd w:id="8"/>
    </w:p>
    <w:bookmarkEnd w:id="4"/>
    <w:bookmarkEnd w:id="5"/>
    <w:p w14:paraId="774A2103" w14:textId="160F5C0F" w:rsidR="00416E72" w:rsidRDefault="00416E72" w:rsidP="00416E72">
      <w:pPr>
        <w:ind w:left="2124" w:hanging="2124"/>
        <w:rPr>
          <w:rFonts w:ascii="Arial" w:eastAsia="MS Mincho" w:hAnsi="Arial" w:cs="Times New Roman"/>
          <w:sz w:val="20"/>
          <w:szCs w:val="10"/>
          <w:lang w:val="en-GB" w:eastAsia="ja-JP"/>
        </w:rPr>
      </w:pPr>
    </w:p>
    <w:p w14:paraId="0E280EAE" w14:textId="77777777" w:rsidR="00612463" w:rsidRDefault="00612463">
      <w:pPr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br w:type="page"/>
      </w:r>
    </w:p>
    <w:p w14:paraId="2A80F24A" w14:textId="0CCC2159" w:rsidR="00C952D8" w:rsidRPr="002F53CF" w:rsidRDefault="00C952D8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lastRenderedPageBreak/>
        <w:t>3. Conclusion</w:t>
      </w:r>
    </w:p>
    <w:p w14:paraId="3B8CFADE" w14:textId="66A32FEB" w:rsidR="00C952D8" w:rsidRDefault="001B2B1B" w:rsidP="007146B1">
      <w:pPr>
        <w:spacing w:after="120" w:line="240" w:lineRule="auto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C49FB">
        <w:rPr>
          <w:rFonts w:ascii="Arial" w:eastAsia="MS Mincho" w:hAnsi="Arial" w:cs="Arial"/>
          <w:sz w:val="20"/>
          <w:szCs w:val="20"/>
          <w:lang w:val="en-GB" w:eastAsia="ja-JP"/>
        </w:rPr>
        <w:t xml:space="preserve">In this document, we discussed </w:t>
      </w:r>
      <w:r w:rsidR="00662483">
        <w:rPr>
          <w:rFonts w:ascii="Arial" w:eastAsia="MS Mincho" w:hAnsi="Arial" w:cs="Arial"/>
          <w:sz w:val="20"/>
          <w:szCs w:val="20"/>
          <w:lang w:val="en-GB" w:eastAsia="ja-JP"/>
        </w:rPr>
        <w:t xml:space="preserve">two come-back issues from last meeting in conjunction with the establishment and release of MRBs in case of entering/leaving an intended </w:t>
      </w:r>
      <w:r w:rsidR="00156C21">
        <w:rPr>
          <w:rFonts w:ascii="Arial" w:eastAsia="MS Mincho" w:hAnsi="Arial" w:cs="Arial"/>
          <w:sz w:val="20"/>
          <w:szCs w:val="20"/>
          <w:lang w:val="en-GB" w:eastAsia="ja-JP"/>
        </w:rPr>
        <w:t xml:space="preserve">MBService area. </w:t>
      </w:r>
      <w:r w:rsidR="00662483">
        <w:rPr>
          <w:rFonts w:ascii="Arial" w:eastAsia="MS Mincho" w:hAnsi="Arial" w:cs="Arial"/>
          <w:sz w:val="20"/>
          <w:szCs w:val="20"/>
          <w:lang w:val="en-GB" w:eastAsia="ja-JP"/>
        </w:rPr>
        <w:t xml:space="preserve">At the same time, we </w:t>
      </w:r>
      <w:r w:rsidR="001719BC">
        <w:rPr>
          <w:rFonts w:ascii="Arial" w:eastAsia="MS Mincho" w:hAnsi="Arial" w:cs="Arial"/>
          <w:sz w:val="20"/>
          <w:szCs w:val="20"/>
          <w:lang w:val="en-GB" w:eastAsia="ja-JP"/>
        </w:rPr>
        <w:t xml:space="preserve">have </w:t>
      </w:r>
      <w:r w:rsidR="00662483">
        <w:rPr>
          <w:rFonts w:ascii="Arial" w:eastAsia="MS Mincho" w:hAnsi="Arial" w:cs="Arial"/>
          <w:sz w:val="20"/>
          <w:szCs w:val="20"/>
          <w:lang w:val="en-GB" w:eastAsia="ja-JP"/>
        </w:rPr>
        <w:t>proposed a more accurate mechanism for geoblocking than the one feasible on circle/polygon-based area indication.</w:t>
      </w:r>
    </w:p>
    <w:p w14:paraId="11A538C4" w14:textId="77777777" w:rsidR="00156C21" w:rsidRDefault="00AC49FB" w:rsidP="00156C21">
      <w:pPr>
        <w:spacing w:after="120" w:line="240" w:lineRule="auto"/>
        <w:rPr>
          <w:rFonts w:ascii="Arial" w:eastAsia="MS Mincho" w:hAnsi="Arial" w:cs="Arial"/>
          <w:sz w:val="20"/>
          <w:szCs w:val="20"/>
          <w:lang w:val="en-GB" w:eastAsia="ja-JP"/>
        </w:rPr>
      </w:pPr>
      <w:r>
        <w:rPr>
          <w:rFonts w:ascii="Arial" w:eastAsia="MS Mincho" w:hAnsi="Arial" w:cs="Arial"/>
          <w:sz w:val="20"/>
          <w:szCs w:val="20"/>
          <w:lang w:val="en-GB" w:eastAsia="ja-JP"/>
        </w:rPr>
        <w:t xml:space="preserve">The following </w:t>
      </w:r>
      <w:r w:rsidR="00156C21">
        <w:rPr>
          <w:rFonts w:ascii="Arial" w:eastAsia="MS Mincho" w:hAnsi="Arial" w:cs="Arial"/>
          <w:sz w:val="20"/>
          <w:szCs w:val="20"/>
          <w:lang w:val="en-GB" w:eastAsia="ja-JP"/>
        </w:rPr>
        <w:t xml:space="preserve">concrete </w:t>
      </w:r>
      <w:r>
        <w:rPr>
          <w:rFonts w:ascii="Arial" w:eastAsia="MS Mincho" w:hAnsi="Arial" w:cs="Arial"/>
          <w:sz w:val="20"/>
          <w:szCs w:val="20"/>
          <w:lang w:val="en-GB" w:eastAsia="ja-JP"/>
        </w:rPr>
        <w:t>observations and proposals were made:</w:t>
      </w:r>
    </w:p>
    <w:p w14:paraId="38FB23BB" w14:textId="74716792" w:rsidR="00156C21" w:rsidRDefault="00156C21" w:rsidP="00156C21">
      <w:pPr>
        <w:spacing w:after="120" w:line="240" w:lineRule="auto"/>
        <w:ind w:left="2124" w:hanging="2124"/>
        <w:rPr>
          <w:rFonts w:ascii="Arial" w:eastAsia="MS Mincho" w:hAnsi="Arial" w:cs="Arial"/>
          <w:sz w:val="20"/>
          <w:szCs w:val="20"/>
          <w:lang w:val="en-GB" w:eastAsia="ja-JP"/>
        </w:rPr>
      </w:pP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Observation 1: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  <w:t>Traditional (usually TV-connected) means of geoblocking – based on users’ home addresses – might not be sufficient for mobile devices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p w14:paraId="683D62E2" w14:textId="7679FA2D" w:rsidR="00156C21" w:rsidRPr="00156C21" w:rsidRDefault="00156C21" w:rsidP="00156C21">
      <w:pPr>
        <w:spacing w:after="120" w:line="240" w:lineRule="auto"/>
        <w:ind w:left="2124" w:hanging="2124"/>
        <w:rPr>
          <w:rFonts w:ascii="Arial" w:eastAsia="MS Mincho" w:hAnsi="Arial" w:cs="Arial"/>
          <w:sz w:val="20"/>
          <w:szCs w:val="20"/>
          <w:lang w:val="en-GB" w:eastAsia="ja-JP"/>
        </w:rPr>
      </w:pP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2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:</w:t>
      </w:r>
      <w:r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ab/>
        <w:t>For making sure that the user has paid for the content she/he wants to watch/listen to, CA systems are applicable</w:t>
      </w:r>
      <w:r w:rsidRPr="00E664F2">
        <w:rPr>
          <w:rFonts w:ascii="Arial" w:eastAsia="MS Mincho" w:hAnsi="Arial" w:cs="Times New Roman"/>
          <w:b/>
          <w:bCs/>
          <w:sz w:val="20"/>
          <w:szCs w:val="20"/>
          <w:lang w:val="en-GB" w:eastAsia="ja-JP"/>
        </w:rPr>
        <w:t>.</w:t>
      </w:r>
    </w:p>
    <w:p w14:paraId="1ACED479" w14:textId="77777777" w:rsidR="00AE26DA" w:rsidRPr="00AE26DA" w:rsidRDefault="00AE26DA" w:rsidP="00AE26DA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AE26DA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Observation 3:</w:t>
      </w:r>
      <w:r w:rsidRPr="00AE26DA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A mechanism is required for verifying the fulfilment of multiple conditions entitling a user/UE for watching/reproducing certain content.</w:t>
      </w:r>
    </w:p>
    <w:p w14:paraId="4DFF5601" w14:textId="602B0B6E" w:rsidR="005A520E" w:rsidRPr="005A520E" w:rsidRDefault="005A520E" w:rsidP="005A520E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5A520E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Observation 4:</w:t>
      </w:r>
      <w:r w:rsidRPr="005A520E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An indication of an intended MBS service area by means of circles and/or polygons might be enhanced with pointing to a geographical database describing the borders of administrative areas precisely.</w:t>
      </w:r>
    </w:p>
    <w:p w14:paraId="473D02B6" w14:textId="77777777" w:rsidR="00A73B11" w:rsidRPr="00A73B11" w:rsidRDefault="00A73B11" w:rsidP="00A73B11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A73B11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Observation 5:</w:t>
      </w:r>
      <w:r w:rsidRPr="00A73B11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All listed requirements for reproducing a service or a single programme item of a service only within a predefined geographical area can be fulfilled with a verification sequence.</w:t>
      </w:r>
    </w:p>
    <w:p w14:paraId="0A9DECEB" w14:textId="77777777" w:rsidR="00A73B11" w:rsidRDefault="00A73B11" w:rsidP="00A73B11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A73B11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Observation 6:</w:t>
      </w:r>
      <w:r w:rsidRPr="00A73B11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The role of the circle/polygon-based area indication as agreed during RAN2#126 has been reviewed and an alternative/additional proposal has been described that fulfills the requirements of geoblocking/-fencing in a more accurate and resources-saving manner.</w:t>
      </w:r>
    </w:p>
    <w:p w14:paraId="05DF2430" w14:textId="2023AA5B" w:rsidR="00203838" w:rsidRPr="00A73C99" w:rsidRDefault="00203838" w:rsidP="00203838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Observation 7: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  <w:t xml:space="preserve">To answer the two come-back issues listed in clause 1, the introduction to this paper, the circle/polygon approach for indicating an intended service area for an MBService is seen as not accurate enough for enabling or preventing users’ access to geoblocked broadcast content. </w:t>
      </w:r>
      <w:proofErr w:type="gramStart"/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Therefore</w:t>
      </w:r>
      <w:proofErr w:type="gramEnd"/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that rough area indication shall not build the basis for establishing or releasing MRBs on UE side.</w:t>
      </w:r>
    </w:p>
    <w:p w14:paraId="58F1CCE8" w14:textId="77777777" w:rsidR="00203838" w:rsidRPr="0061520F" w:rsidRDefault="00203838" w:rsidP="00A73B11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4C55AFB2" w14:textId="259AE921" w:rsidR="00DD13F8" w:rsidRPr="00AE26DA" w:rsidRDefault="00AE26DA" w:rsidP="00AE26DA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AE26DA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Proposal 1:</w:t>
      </w:r>
      <w:r w:rsidRPr="00AE26DA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Define a geoblocking solution fulfilling the requirements for a) determining UE’s position within or outside of a specified (home) area and b) for optionally checking the execution of a potentially required payment for the MBS content in question.</w:t>
      </w:r>
    </w:p>
    <w:p w14:paraId="16BCD3DA" w14:textId="1F1CE629" w:rsidR="00DD13F8" w:rsidRPr="005A520E" w:rsidRDefault="005A520E" w:rsidP="005A520E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  <w:r w:rsidRPr="005A520E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>Proposal 2:</w:t>
      </w:r>
      <w:r w:rsidRPr="005A520E"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  <w:tab/>
        <w:t>Define the option of indicating the URL of the desired entry (e.g. country or federal state) in a geographical database. That option could enhance the already agreed circle/polygon-based approach.</w:t>
      </w:r>
    </w:p>
    <w:p w14:paraId="58C616CB" w14:textId="2E092F7A" w:rsidR="00A73B11" w:rsidRDefault="00A73B11" w:rsidP="00BC40AF">
      <w:pPr>
        <w:spacing w:after="120" w:line="240" w:lineRule="auto"/>
        <w:ind w:left="2124" w:hanging="2124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  <w:r w:rsidRPr="00A73B11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Proposal 3: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ab/>
      </w:r>
      <w:r w:rsidR="00BC40AF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G</w:t>
      </w:r>
      <w:r w:rsidR="00BC40AF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eoblocking broadcast content </w:t>
      </w:r>
      <w:r w:rsidR="00BC40AF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should be based on t</w:t>
      </w:r>
      <w:r w:rsidR="00BC40AF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he described database approach for indicating administrative areas more accurately</w:t>
      </w:r>
      <w:r w:rsidR="00BC40AF" w:rsidRPr="00A73C99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.</w:t>
      </w:r>
      <w:r w:rsidR="00BC40AF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</w:t>
      </w:r>
      <w:r w:rsidR="00BC40AF">
        <w:rPr>
          <w:rFonts w:ascii="Arial" w:eastAsia="MS Mincho" w:hAnsi="Arial" w:cs="Arial" w:hint="eastAsia"/>
          <w:b/>
          <w:bCs/>
          <w:sz w:val="20"/>
          <w:szCs w:val="20"/>
          <w:lang w:val="en-US" w:eastAsia="ja-JP"/>
        </w:rPr>
        <w:t>This control is not required to be carried out by the RAN layer.</w:t>
      </w:r>
    </w:p>
    <w:p w14:paraId="59FF0A79" w14:textId="77777777" w:rsidR="00EF2E26" w:rsidRDefault="00EF2E26" w:rsidP="00B91DCA">
      <w:pPr>
        <w:spacing w:after="120" w:line="240" w:lineRule="auto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2936F6ED" w14:textId="77777777" w:rsidR="00BC40AF" w:rsidRDefault="00BC40AF" w:rsidP="00B91DCA">
      <w:pPr>
        <w:spacing w:after="120" w:line="240" w:lineRule="auto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2A7E36DE" w14:textId="77777777" w:rsidR="00BC40AF" w:rsidRPr="00AE26DA" w:rsidRDefault="00BC40AF" w:rsidP="00B91DCA">
      <w:pPr>
        <w:spacing w:after="120" w:line="240" w:lineRule="auto"/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</w:pPr>
    </w:p>
    <w:p w14:paraId="6DC838CE" w14:textId="3A01ABCC" w:rsidR="00DD13F8" w:rsidRPr="00DD13F8" w:rsidRDefault="00DD13F8" w:rsidP="00DD13F8">
      <w:pPr>
        <w:pStyle w:val="ListParagraph"/>
        <w:keepNext/>
        <w:keepLines/>
        <w:numPr>
          <w:ilvl w:val="0"/>
          <w:numId w:val="36"/>
        </w:numPr>
        <w:pBdr>
          <w:top w:val="single" w:sz="12" w:space="3" w:color="auto"/>
        </w:pBdr>
        <w:spacing w:before="240" w:after="180" w:line="240" w:lineRule="auto"/>
        <w:ind w:left="0" w:firstLine="0"/>
        <w:outlineLvl w:val="0"/>
        <w:rPr>
          <w:rFonts w:ascii="Arial" w:eastAsia="Times New Roman" w:hAnsi="Arial" w:cs="Times New Roman"/>
          <w:sz w:val="36"/>
          <w:szCs w:val="24"/>
          <w:lang w:val="en-GB"/>
        </w:rPr>
      </w:pPr>
      <w:r w:rsidRPr="00DD13F8">
        <w:rPr>
          <w:rFonts w:ascii="Arial" w:eastAsia="Times New Roman" w:hAnsi="Arial" w:cs="Times New Roman"/>
          <w:sz w:val="36"/>
          <w:szCs w:val="24"/>
          <w:lang w:val="en-GB"/>
        </w:rPr>
        <w:t>Reference</w:t>
      </w:r>
      <w:r w:rsidR="00EF2E26">
        <w:rPr>
          <w:rFonts w:ascii="Arial" w:eastAsia="Times New Roman" w:hAnsi="Arial" w:cs="Times New Roman"/>
          <w:sz w:val="36"/>
          <w:szCs w:val="24"/>
          <w:lang w:val="en-GB"/>
        </w:rPr>
        <w:t>s</w:t>
      </w:r>
    </w:p>
    <w:p w14:paraId="35381672" w14:textId="15E78E2C" w:rsidR="00DD13F8" w:rsidRPr="00DD13F8" w:rsidRDefault="00DD13F8" w:rsidP="00F26A3E">
      <w:pPr>
        <w:tabs>
          <w:tab w:val="left" w:pos="426"/>
          <w:tab w:val="left" w:pos="1560"/>
        </w:tabs>
        <w:spacing w:before="120" w:after="120" w:line="240" w:lineRule="auto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DD13F8">
        <w:rPr>
          <w:rFonts w:ascii="Arial" w:eastAsia="Times New Roman" w:hAnsi="Arial" w:cs="Arial"/>
          <w:sz w:val="20"/>
          <w:szCs w:val="20"/>
          <w:lang w:val="en-US" w:eastAsia="zh-CN"/>
        </w:rPr>
        <w:t>[1]</w:t>
      </w:r>
      <w:bookmarkStart w:id="9" w:name="OLE_LINK12"/>
      <w:r w:rsidR="00F26A3E">
        <w:rPr>
          <w:rFonts w:ascii="Arial" w:eastAsia="Times New Roman" w:hAnsi="Arial" w:cs="Arial"/>
          <w:sz w:val="20"/>
          <w:szCs w:val="20"/>
          <w:lang w:val="en-US" w:eastAsia="zh-CN"/>
        </w:rPr>
        <w:tab/>
      </w:r>
      <w:r w:rsidRPr="00265B43">
        <w:rPr>
          <w:rFonts w:ascii="Arial" w:eastAsia="Times New Roman" w:hAnsi="Arial" w:cs="Arial"/>
          <w:sz w:val="20"/>
          <w:szCs w:val="20"/>
          <w:lang w:val="en-US" w:eastAsia="zh-CN"/>
        </w:rPr>
        <w:t>RP-240776</w:t>
      </w:r>
      <w:r w:rsidR="00F26A3E" w:rsidRPr="00265B43">
        <w:rPr>
          <w:rFonts w:ascii="Arial" w:eastAsia="Times New Roman" w:hAnsi="Arial" w:cs="Arial"/>
          <w:sz w:val="20"/>
          <w:szCs w:val="20"/>
          <w:lang w:val="en-US" w:eastAsia="zh-CN"/>
        </w:rPr>
        <w:tab/>
      </w:r>
      <w:r w:rsidRPr="00DD13F8">
        <w:rPr>
          <w:rFonts w:ascii="Arial" w:eastAsia="Times New Roman" w:hAnsi="Arial" w:cs="Arial"/>
          <w:sz w:val="20"/>
          <w:szCs w:val="20"/>
          <w:lang w:val="en-US" w:eastAsia="zh-CN"/>
        </w:rPr>
        <w:t xml:space="preserve">Revised WID on </w:t>
      </w:r>
      <w:bookmarkStart w:id="10" w:name="OLE_LINK17"/>
      <w:r w:rsidRPr="00DD13F8">
        <w:rPr>
          <w:rFonts w:ascii="Arial" w:eastAsia="Times New Roman" w:hAnsi="Arial" w:cs="Arial"/>
          <w:sz w:val="20"/>
          <w:szCs w:val="20"/>
          <w:lang w:val="en-US" w:eastAsia="zh-CN"/>
        </w:rPr>
        <w:t xml:space="preserve">Non-Terrestrial Networks (NTN) for </w:t>
      </w:r>
      <w:r w:rsidR="00217FC6">
        <w:rPr>
          <w:rFonts w:ascii="Arial" w:eastAsia="Times New Roman" w:hAnsi="Arial" w:cs="Arial"/>
          <w:sz w:val="20"/>
          <w:szCs w:val="20"/>
          <w:lang w:val="en-US" w:eastAsia="zh-CN"/>
        </w:rPr>
        <w:t>NR-NTN</w:t>
      </w:r>
      <w:r w:rsidRPr="00DD13F8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Phase 3</w:t>
      </w:r>
      <w:bookmarkEnd w:id="9"/>
      <w:bookmarkEnd w:id="10"/>
    </w:p>
    <w:p w14:paraId="06DD2B06" w14:textId="7A7E3BE4" w:rsidR="00DD13F8" w:rsidRPr="00F26A3E" w:rsidRDefault="00F26A3E" w:rsidP="00F26A3E">
      <w:pPr>
        <w:tabs>
          <w:tab w:val="left" w:pos="426"/>
          <w:tab w:val="left" w:pos="1560"/>
        </w:tabs>
        <w:spacing w:after="120" w:line="240" w:lineRule="auto"/>
        <w:rPr>
          <w:rFonts w:ascii="Arial" w:eastAsia="MS Mincho" w:hAnsi="Arial" w:cs="Arial"/>
          <w:sz w:val="20"/>
          <w:szCs w:val="20"/>
          <w:lang w:val="en-US" w:eastAsia="ja-JP"/>
        </w:rPr>
      </w:pPr>
      <w:r w:rsidRPr="00F26A3E">
        <w:rPr>
          <w:rFonts w:ascii="Arial" w:eastAsia="MS Mincho" w:hAnsi="Arial" w:cs="Arial"/>
          <w:sz w:val="20"/>
          <w:szCs w:val="20"/>
          <w:lang w:val="en-US" w:eastAsia="ja-JP"/>
        </w:rPr>
        <w:t>[2]</w:t>
      </w:r>
      <w:r>
        <w:rPr>
          <w:rFonts w:ascii="Arial" w:eastAsia="MS Mincho" w:hAnsi="Arial" w:cs="Arial"/>
          <w:sz w:val="20"/>
          <w:szCs w:val="20"/>
          <w:lang w:val="en-US" w:eastAsia="ja-JP"/>
        </w:rPr>
        <w:tab/>
      </w:r>
      <w:r w:rsidR="00F63823" w:rsidRPr="00F63823">
        <w:rPr>
          <w:rFonts w:ascii="Arial" w:eastAsia="MS Mincho" w:hAnsi="Arial" w:cs="Arial"/>
          <w:sz w:val="20"/>
          <w:szCs w:val="20"/>
          <w:lang w:val="en-US" w:eastAsia="ja-JP"/>
        </w:rPr>
        <w:t>R2-126 NR-NTN-IoT-NTN (Sergio) EOM</w:t>
      </w:r>
      <w:r w:rsidR="00F63823">
        <w:rPr>
          <w:rFonts w:ascii="Arial" w:eastAsia="MS Mincho" w:hAnsi="Arial" w:cs="Arial"/>
          <w:sz w:val="20"/>
          <w:szCs w:val="20"/>
          <w:lang w:val="en-US" w:eastAsia="ja-JP"/>
        </w:rPr>
        <w:t>.docx</w:t>
      </w:r>
    </w:p>
    <w:sectPr w:rsidR="00DD13F8" w:rsidRPr="00F26A3E" w:rsidSect="0047014B">
      <w:pgSz w:w="11906" w:h="16838"/>
      <w:pgMar w:top="1361" w:right="1361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C3EEA" w14:textId="77777777" w:rsidR="00DA1870" w:rsidRDefault="00DA1870" w:rsidP="00754396">
      <w:pPr>
        <w:spacing w:after="0" w:line="240" w:lineRule="auto"/>
      </w:pPr>
      <w:r>
        <w:separator/>
      </w:r>
    </w:p>
  </w:endnote>
  <w:endnote w:type="continuationSeparator" w:id="0">
    <w:p w14:paraId="42196AF9" w14:textId="77777777" w:rsidR="00DA1870" w:rsidRDefault="00DA1870" w:rsidP="0075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A40A5" w14:textId="77777777" w:rsidR="00DA1870" w:rsidRDefault="00DA1870" w:rsidP="00754396">
      <w:pPr>
        <w:spacing w:after="0" w:line="240" w:lineRule="auto"/>
      </w:pPr>
      <w:r>
        <w:separator/>
      </w:r>
    </w:p>
  </w:footnote>
  <w:footnote w:type="continuationSeparator" w:id="0">
    <w:p w14:paraId="60A53111" w14:textId="77777777" w:rsidR="00DA1870" w:rsidRDefault="00DA1870" w:rsidP="00754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hybridMultilevel"/>
    <w:tmpl w:val="3F3AF4DC"/>
    <w:lvl w:ilvl="0" w:tplc="24505CAC">
      <w:start w:val="1"/>
      <w:numFmt w:val="decimal"/>
      <w:lvlText w:val="[%1]"/>
      <w:lvlJc w:val="left"/>
      <w:pPr>
        <w:ind w:left="6249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6669" w:hanging="420"/>
      </w:pPr>
    </w:lvl>
    <w:lvl w:ilvl="2" w:tplc="0409001B">
      <w:start w:val="1"/>
      <w:numFmt w:val="lowerRoman"/>
      <w:lvlText w:val="%3."/>
      <w:lvlJc w:val="right"/>
      <w:pPr>
        <w:ind w:left="7089" w:hanging="420"/>
      </w:pPr>
    </w:lvl>
    <w:lvl w:ilvl="3" w:tplc="0409000F">
      <w:start w:val="1"/>
      <w:numFmt w:val="decimal"/>
      <w:lvlText w:val="%4."/>
      <w:lvlJc w:val="left"/>
      <w:pPr>
        <w:ind w:left="7509" w:hanging="420"/>
      </w:pPr>
    </w:lvl>
    <w:lvl w:ilvl="4" w:tplc="04090019">
      <w:start w:val="1"/>
      <w:numFmt w:val="lowerLetter"/>
      <w:lvlText w:val="%5)"/>
      <w:lvlJc w:val="left"/>
      <w:pPr>
        <w:ind w:left="7929" w:hanging="420"/>
      </w:pPr>
    </w:lvl>
    <w:lvl w:ilvl="5" w:tplc="0409001B">
      <w:start w:val="1"/>
      <w:numFmt w:val="lowerRoman"/>
      <w:lvlText w:val="%6."/>
      <w:lvlJc w:val="right"/>
      <w:pPr>
        <w:ind w:left="8349" w:hanging="420"/>
      </w:pPr>
    </w:lvl>
    <w:lvl w:ilvl="6" w:tplc="0409000F">
      <w:start w:val="1"/>
      <w:numFmt w:val="decimal"/>
      <w:lvlText w:val="%7."/>
      <w:lvlJc w:val="left"/>
      <w:pPr>
        <w:ind w:left="8769" w:hanging="420"/>
      </w:pPr>
    </w:lvl>
    <w:lvl w:ilvl="7" w:tplc="04090019">
      <w:start w:val="1"/>
      <w:numFmt w:val="lowerLetter"/>
      <w:lvlText w:val="%8)"/>
      <w:lvlJc w:val="left"/>
      <w:pPr>
        <w:ind w:left="9189" w:hanging="420"/>
      </w:pPr>
    </w:lvl>
    <w:lvl w:ilvl="8" w:tplc="0409001B">
      <w:start w:val="1"/>
      <w:numFmt w:val="lowerRoman"/>
      <w:lvlText w:val="%9."/>
      <w:lvlJc w:val="right"/>
      <w:pPr>
        <w:ind w:left="9609" w:hanging="420"/>
      </w:pPr>
    </w:lvl>
  </w:abstractNum>
  <w:abstractNum w:abstractNumId="1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40D0564"/>
    <w:multiLevelType w:val="multilevel"/>
    <w:tmpl w:val="CFEE62EA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38" w:hanging="53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28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788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148" w:hanging="1440"/>
      </w:pPr>
      <w:rPr>
        <w:rFonts w:hint="default"/>
        <w:sz w:val="32"/>
      </w:rPr>
    </w:lvl>
  </w:abstractNum>
  <w:abstractNum w:abstractNumId="3" w15:restartNumberingAfterBreak="0">
    <w:nsid w:val="04211CAE"/>
    <w:multiLevelType w:val="hybridMultilevel"/>
    <w:tmpl w:val="B0F43244"/>
    <w:lvl w:ilvl="0" w:tplc="B6FEB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63ED8"/>
    <w:multiLevelType w:val="multilevel"/>
    <w:tmpl w:val="0B863E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C643C"/>
    <w:multiLevelType w:val="hybridMultilevel"/>
    <w:tmpl w:val="1940FFB6"/>
    <w:lvl w:ilvl="0" w:tplc="F2EE1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C056A"/>
    <w:multiLevelType w:val="multilevel"/>
    <w:tmpl w:val="616AA77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38" w:hanging="53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28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788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148" w:hanging="1440"/>
      </w:pPr>
      <w:rPr>
        <w:rFonts w:hint="default"/>
        <w:sz w:val="32"/>
      </w:rPr>
    </w:lvl>
  </w:abstractNum>
  <w:abstractNum w:abstractNumId="7" w15:restartNumberingAfterBreak="0">
    <w:nsid w:val="12310E25"/>
    <w:multiLevelType w:val="hybridMultilevel"/>
    <w:tmpl w:val="C25862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85C71"/>
    <w:multiLevelType w:val="hybridMultilevel"/>
    <w:tmpl w:val="AD1A3062"/>
    <w:lvl w:ilvl="0" w:tplc="FFFFFFF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B065A00"/>
    <w:multiLevelType w:val="hybridMultilevel"/>
    <w:tmpl w:val="D2B61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B0ECC"/>
    <w:multiLevelType w:val="hybridMultilevel"/>
    <w:tmpl w:val="A500728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4F61"/>
    <w:multiLevelType w:val="hybridMultilevel"/>
    <w:tmpl w:val="42C86F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919E0"/>
    <w:multiLevelType w:val="hybridMultilevel"/>
    <w:tmpl w:val="AD1A3062"/>
    <w:lvl w:ilvl="0" w:tplc="FFFFFFF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89C309E"/>
    <w:multiLevelType w:val="hybridMultilevel"/>
    <w:tmpl w:val="9ECA3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53AA0"/>
    <w:multiLevelType w:val="hybridMultilevel"/>
    <w:tmpl w:val="B47C87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57F5C"/>
    <w:multiLevelType w:val="hybridMultilevel"/>
    <w:tmpl w:val="D0A6F2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35B88"/>
    <w:multiLevelType w:val="hybridMultilevel"/>
    <w:tmpl w:val="FF5062D6"/>
    <w:lvl w:ilvl="0" w:tplc="187CC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9836E5"/>
    <w:multiLevelType w:val="hybridMultilevel"/>
    <w:tmpl w:val="70529A16"/>
    <w:lvl w:ilvl="0" w:tplc="7BD03DF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3382E29"/>
    <w:multiLevelType w:val="hybridMultilevel"/>
    <w:tmpl w:val="10DAE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34B99"/>
    <w:multiLevelType w:val="hybridMultilevel"/>
    <w:tmpl w:val="31D8A3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E47CF"/>
    <w:multiLevelType w:val="hybridMultilevel"/>
    <w:tmpl w:val="371EED0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C362A"/>
    <w:multiLevelType w:val="hybridMultilevel"/>
    <w:tmpl w:val="FF5062D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366E90"/>
    <w:multiLevelType w:val="hybridMultilevel"/>
    <w:tmpl w:val="253AA464"/>
    <w:lvl w:ilvl="0" w:tplc="2D6AC22E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422B2107"/>
    <w:multiLevelType w:val="hybridMultilevel"/>
    <w:tmpl w:val="7E341414"/>
    <w:lvl w:ilvl="0" w:tplc="0407000F">
      <w:start w:val="1"/>
      <w:numFmt w:val="decimal"/>
      <w:lvlText w:val="%1."/>
      <w:lvlJc w:val="left"/>
      <w:pPr>
        <w:ind w:left="1003" w:hanging="360"/>
      </w:p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4C8D104B"/>
    <w:multiLevelType w:val="hybridMultilevel"/>
    <w:tmpl w:val="66EA7A76"/>
    <w:lvl w:ilvl="0" w:tplc="654CA7B0">
      <w:start w:val="1"/>
      <w:numFmt w:val="bullet"/>
      <w:lvlText w:val="•"/>
      <w:lvlJc w:val="left"/>
      <w:pPr>
        <w:tabs>
          <w:tab w:val="num" w:pos="-474"/>
        </w:tabs>
        <w:ind w:left="-474" w:hanging="360"/>
      </w:pPr>
      <w:rPr>
        <w:rFonts w:ascii="Times New Roman" w:hAnsi="Times New Roman" w:hint="default"/>
      </w:rPr>
    </w:lvl>
    <w:lvl w:ilvl="1" w:tplc="96E2DDE0" w:tentative="1">
      <w:start w:val="1"/>
      <w:numFmt w:val="bullet"/>
      <w:lvlText w:val="•"/>
      <w:lvlJc w:val="left"/>
      <w:pPr>
        <w:tabs>
          <w:tab w:val="num" w:pos="246"/>
        </w:tabs>
        <w:ind w:left="246" w:hanging="360"/>
      </w:pPr>
      <w:rPr>
        <w:rFonts w:ascii="Times New Roman" w:hAnsi="Times New Roman" w:hint="default"/>
      </w:rPr>
    </w:lvl>
    <w:lvl w:ilvl="2" w:tplc="6A8A9D8E" w:tentative="1">
      <w:start w:val="1"/>
      <w:numFmt w:val="bullet"/>
      <w:lvlText w:val="•"/>
      <w:lvlJc w:val="left"/>
      <w:pPr>
        <w:tabs>
          <w:tab w:val="num" w:pos="966"/>
        </w:tabs>
        <w:ind w:left="966" w:hanging="360"/>
      </w:pPr>
      <w:rPr>
        <w:rFonts w:ascii="Times New Roman" w:hAnsi="Times New Roman" w:hint="default"/>
      </w:rPr>
    </w:lvl>
    <w:lvl w:ilvl="3" w:tplc="EDD6C23C">
      <w:start w:val="1"/>
      <w:numFmt w:val="bullet"/>
      <w:lvlText w:val="•"/>
      <w:lvlJc w:val="left"/>
      <w:pPr>
        <w:tabs>
          <w:tab w:val="num" w:pos="1686"/>
        </w:tabs>
        <w:ind w:left="1686" w:hanging="360"/>
      </w:pPr>
      <w:rPr>
        <w:rFonts w:ascii="Times New Roman" w:hAnsi="Times New Roman" w:hint="default"/>
      </w:rPr>
    </w:lvl>
    <w:lvl w:ilvl="4" w:tplc="1F80BE9C">
      <w:numFmt w:val="bullet"/>
      <w:lvlText w:val="»"/>
      <w:lvlJc w:val="left"/>
      <w:pPr>
        <w:tabs>
          <w:tab w:val="num" w:pos="2406"/>
        </w:tabs>
        <w:ind w:left="2406" w:hanging="360"/>
      </w:pPr>
      <w:rPr>
        <w:rFonts w:ascii="Times New Roman" w:hAnsi="Times New Roman" w:hint="default"/>
      </w:rPr>
    </w:lvl>
    <w:lvl w:ilvl="5" w:tplc="07F82648" w:tentative="1">
      <w:start w:val="1"/>
      <w:numFmt w:val="bullet"/>
      <w:lvlText w:val="•"/>
      <w:lvlJc w:val="left"/>
      <w:pPr>
        <w:tabs>
          <w:tab w:val="num" w:pos="3126"/>
        </w:tabs>
        <w:ind w:left="3126" w:hanging="360"/>
      </w:pPr>
      <w:rPr>
        <w:rFonts w:ascii="Times New Roman" w:hAnsi="Times New Roman" w:hint="default"/>
      </w:rPr>
    </w:lvl>
    <w:lvl w:ilvl="6" w:tplc="0046BFD0" w:tentative="1">
      <w:start w:val="1"/>
      <w:numFmt w:val="bullet"/>
      <w:lvlText w:val="•"/>
      <w:lvlJc w:val="left"/>
      <w:pPr>
        <w:tabs>
          <w:tab w:val="num" w:pos="3846"/>
        </w:tabs>
        <w:ind w:left="3846" w:hanging="360"/>
      </w:pPr>
      <w:rPr>
        <w:rFonts w:ascii="Times New Roman" w:hAnsi="Times New Roman" w:hint="default"/>
      </w:rPr>
    </w:lvl>
    <w:lvl w:ilvl="7" w:tplc="127ED94A" w:tentative="1">
      <w:start w:val="1"/>
      <w:numFmt w:val="bullet"/>
      <w:lvlText w:val="•"/>
      <w:lvlJc w:val="left"/>
      <w:pPr>
        <w:tabs>
          <w:tab w:val="num" w:pos="4566"/>
        </w:tabs>
        <w:ind w:left="4566" w:hanging="360"/>
      </w:pPr>
      <w:rPr>
        <w:rFonts w:ascii="Times New Roman" w:hAnsi="Times New Roman" w:hint="default"/>
      </w:rPr>
    </w:lvl>
    <w:lvl w:ilvl="8" w:tplc="8642016A" w:tentative="1">
      <w:start w:val="1"/>
      <w:numFmt w:val="bullet"/>
      <w:lvlText w:val="•"/>
      <w:lvlJc w:val="left"/>
      <w:pPr>
        <w:tabs>
          <w:tab w:val="num" w:pos="5286"/>
        </w:tabs>
        <w:ind w:left="5286" w:hanging="360"/>
      </w:pPr>
      <w:rPr>
        <w:rFonts w:ascii="Times New Roman" w:hAnsi="Times New Roman" w:hint="default"/>
      </w:rPr>
    </w:lvl>
  </w:abstractNum>
  <w:abstractNum w:abstractNumId="27" w15:restartNumberingAfterBreak="0">
    <w:nsid w:val="5106101A"/>
    <w:multiLevelType w:val="hybridMultilevel"/>
    <w:tmpl w:val="E6165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2476A"/>
    <w:multiLevelType w:val="hybridMultilevel"/>
    <w:tmpl w:val="F77E50EC"/>
    <w:lvl w:ilvl="0" w:tplc="33FEE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648A2"/>
    <w:multiLevelType w:val="hybridMultilevel"/>
    <w:tmpl w:val="73FCF8AA"/>
    <w:lvl w:ilvl="0" w:tplc="0407000F">
      <w:start w:val="1"/>
      <w:numFmt w:val="decimal"/>
      <w:lvlText w:val="%1."/>
      <w:lvlJc w:val="left"/>
      <w:pPr>
        <w:ind w:left="-351" w:hanging="360"/>
      </w:pPr>
    </w:lvl>
    <w:lvl w:ilvl="1" w:tplc="04070019" w:tentative="1">
      <w:start w:val="1"/>
      <w:numFmt w:val="lowerLetter"/>
      <w:lvlText w:val="%2."/>
      <w:lvlJc w:val="left"/>
      <w:pPr>
        <w:ind w:left="369" w:hanging="360"/>
      </w:pPr>
    </w:lvl>
    <w:lvl w:ilvl="2" w:tplc="0407001B" w:tentative="1">
      <w:start w:val="1"/>
      <w:numFmt w:val="lowerRoman"/>
      <w:lvlText w:val="%3."/>
      <w:lvlJc w:val="right"/>
      <w:pPr>
        <w:ind w:left="1089" w:hanging="180"/>
      </w:pPr>
    </w:lvl>
    <w:lvl w:ilvl="3" w:tplc="0407000F" w:tentative="1">
      <w:start w:val="1"/>
      <w:numFmt w:val="decimal"/>
      <w:lvlText w:val="%4."/>
      <w:lvlJc w:val="left"/>
      <w:pPr>
        <w:ind w:left="1809" w:hanging="360"/>
      </w:pPr>
    </w:lvl>
    <w:lvl w:ilvl="4" w:tplc="04070019" w:tentative="1">
      <w:start w:val="1"/>
      <w:numFmt w:val="lowerLetter"/>
      <w:lvlText w:val="%5."/>
      <w:lvlJc w:val="left"/>
      <w:pPr>
        <w:ind w:left="2529" w:hanging="360"/>
      </w:pPr>
    </w:lvl>
    <w:lvl w:ilvl="5" w:tplc="0407001B" w:tentative="1">
      <w:start w:val="1"/>
      <w:numFmt w:val="lowerRoman"/>
      <w:lvlText w:val="%6."/>
      <w:lvlJc w:val="right"/>
      <w:pPr>
        <w:ind w:left="3249" w:hanging="180"/>
      </w:pPr>
    </w:lvl>
    <w:lvl w:ilvl="6" w:tplc="0407000F" w:tentative="1">
      <w:start w:val="1"/>
      <w:numFmt w:val="decimal"/>
      <w:lvlText w:val="%7."/>
      <w:lvlJc w:val="left"/>
      <w:pPr>
        <w:ind w:left="3969" w:hanging="360"/>
      </w:pPr>
    </w:lvl>
    <w:lvl w:ilvl="7" w:tplc="04070019" w:tentative="1">
      <w:start w:val="1"/>
      <w:numFmt w:val="lowerLetter"/>
      <w:lvlText w:val="%8."/>
      <w:lvlJc w:val="left"/>
      <w:pPr>
        <w:ind w:left="4689" w:hanging="360"/>
      </w:pPr>
    </w:lvl>
    <w:lvl w:ilvl="8" w:tplc="0407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0" w15:restartNumberingAfterBreak="0">
    <w:nsid w:val="566A571E"/>
    <w:multiLevelType w:val="multilevel"/>
    <w:tmpl w:val="B8C8888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32"/>
      </w:rPr>
    </w:lvl>
    <w:lvl w:ilvl="2">
      <w:start w:val="2"/>
      <w:numFmt w:val="decimal"/>
      <w:lvlText w:val="%1.%2.%3"/>
      <w:lvlJc w:val="left"/>
      <w:pPr>
        <w:ind w:left="1080" w:hanging="10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  <w:sz w:val="32"/>
      </w:rPr>
    </w:lvl>
  </w:abstractNum>
  <w:abstractNum w:abstractNumId="31" w15:restartNumberingAfterBreak="0">
    <w:nsid w:val="56ED0A94"/>
    <w:multiLevelType w:val="hybridMultilevel"/>
    <w:tmpl w:val="4D18EF62"/>
    <w:lvl w:ilvl="0" w:tplc="FFFFFFF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99E2DB0"/>
    <w:multiLevelType w:val="hybridMultilevel"/>
    <w:tmpl w:val="C750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96B26"/>
    <w:multiLevelType w:val="hybridMultilevel"/>
    <w:tmpl w:val="C53E4E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67CD1"/>
    <w:multiLevelType w:val="hybridMultilevel"/>
    <w:tmpl w:val="463E34B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B73EB"/>
    <w:multiLevelType w:val="hybridMultilevel"/>
    <w:tmpl w:val="78FA8988"/>
    <w:lvl w:ilvl="0" w:tplc="8772B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65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6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47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C2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2E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A7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EA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BA3701"/>
    <w:multiLevelType w:val="hybridMultilevel"/>
    <w:tmpl w:val="A7D068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710F2"/>
    <w:multiLevelType w:val="hybridMultilevel"/>
    <w:tmpl w:val="8FCC17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10D7D"/>
    <w:multiLevelType w:val="hybridMultilevel"/>
    <w:tmpl w:val="EEFE3062"/>
    <w:lvl w:ilvl="0" w:tplc="EF90EE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6085E8E"/>
    <w:multiLevelType w:val="hybridMultilevel"/>
    <w:tmpl w:val="D0BA30C2"/>
    <w:lvl w:ilvl="0" w:tplc="03589FFA">
      <w:start w:val="4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2" w15:restartNumberingAfterBreak="0">
    <w:nsid w:val="7B3C771F"/>
    <w:multiLevelType w:val="hybridMultilevel"/>
    <w:tmpl w:val="FF5062D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A908F8"/>
    <w:multiLevelType w:val="hybridMultilevel"/>
    <w:tmpl w:val="1B72634C"/>
    <w:lvl w:ilvl="0" w:tplc="4E78D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548841">
    <w:abstractNumId w:val="19"/>
  </w:num>
  <w:num w:numId="2" w16cid:durableId="518928034">
    <w:abstractNumId w:val="15"/>
  </w:num>
  <w:num w:numId="3" w16cid:durableId="556353272">
    <w:abstractNumId w:val="35"/>
  </w:num>
  <w:num w:numId="4" w16cid:durableId="1610046547">
    <w:abstractNumId w:val="20"/>
  </w:num>
  <w:num w:numId="5" w16cid:durableId="1724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637566">
    <w:abstractNumId w:val="41"/>
  </w:num>
  <w:num w:numId="7" w16cid:durableId="17581572">
    <w:abstractNumId w:val="44"/>
  </w:num>
  <w:num w:numId="8" w16cid:durableId="469791388">
    <w:abstractNumId w:val="12"/>
  </w:num>
  <w:num w:numId="9" w16cid:durableId="1432237222">
    <w:abstractNumId w:val="26"/>
  </w:num>
  <w:num w:numId="10" w16cid:durableId="1731032345">
    <w:abstractNumId w:val="10"/>
  </w:num>
  <w:num w:numId="11" w16cid:durableId="1920629357">
    <w:abstractNumId w:val="5"/>
  </w:num>
  <w:num w:numId="12" w16cid:durableId="724573278">
    <w:abstractNumId w:val="34"/>
  </w:num>
  <w:num w:numId="13" w16cid:durableId="602417307">
    <w:abstractNumId w:val="1"/>
  </w:num>
  <w:num w:numId="14" w16cid:durableId="121769016">
    <w:abstractNumId w:val="16"/>
  </w:num>
  <w:num w:numId="15" w16cid:durableId="842866318">
    <w:abstractNumId w:val="9"/>
  </w:num>
  <w:num w:numId="16" w16cid:durableId="759719897">
    <w:abstractNumId w:val="23"/>
  </w:num>
  <w:num w:numId="17" w16cid:durableId="287398822">
    <w:abstractNumId w:val="37"/>
  </w:num>
  <w:num w:numId="18" w16cid:durableId="1879583434">
    <w:abstractNumId w:val="25"/>
  </w:num>
  <w:num w:numId="19" w16cid:durableId="803502846">
    <w:abstractNumId w:val="18"/>
  </w:num>
  <w:num w:numId="20" w16cid:durableId="120075185">
    <w:abstractNumId w:val="27"/>
  </w:num>
  <w:num w:numId="21" w16cid:durableId="1750468834">
    <w:abstractNumId w:val="38"/>
  </w:num>
  <w:num w:numId="22" w16cid:durableId="361170090">
    <w:abstractNumId w:val="43"/>
  </w:num>
  <w:num w:numId="23" w16cid:durableId="829642994">
    <w:abstractNumId w:val="17"/>
  </w:num>
  <w:num w:numId="24" w16cid:durableId="918321970">
    <w:abstractNumId w:val="42"/>
  </w:num>
  <w:num w:numId="25" w16cid:durableId="495807004">
    <w:abstractNumId w:val="22"/>
  </w:num>
  <w:num w:numId="26" w16cid:durableId="781917469">
    <w:abstractNumId w:val="6"/>
  </w:num>
  <w:num w:numId="27" w16cid:durableId="120924893">
    <w:abstractNumId w:val="31"/>
  </w:num>
  <w:num w:numId="28" w16cid:durableId="616715528">
    <w:abstractNumId w:val="40"/>
  </w:num>
  <w:num w:numId="29" w16cid:durableId="864706929">
    <w:abstractNumId w:val="8"/>
  </w:num>
  <w:num w:numId="30" w16cid:durableId="1462726615">
    <w:abstractNumId w:val="13"/>
  </w:num>
  <w:num w:numId="31" w16cid:durableId="729231180">
    <w:abstractNumId w:val="7"/>
  </w:num>
  <w:num w:numId="32" w16cid:durableId="592935754">
    <w:abstractNumId w:val="28"/>
  </w:num>
  <w:num w:numId="33" w16cid:durableId="1404836824">
    <w:abstractNumId w:val="3"/>
  </w:num>
  <w:num w:numId="34" w16cid:durableId="1942102200">
    <w:abstractNumId w:val="39"/>
  </w:num>
  <w:num w:numId="35" w16cid:durableId="269243550">
    <w:abstractNumId w:val="2"/>
  </w:num>
  <w:num w:numId="36" w16cid:durableId="920260490">
    <w:abstractNumId w:val="24"/>
  </w:num>
  <w:num w:numId="37" w16cid:durableId="503325064">
    <w:abstractNumId w:val="4"/>
  </w:num>
  <w:num w:numId="38" w16cid:durableId="1069888137">
    <w:abstractNumId w:val="32"/>
  </w:num>
  <w:num w:numId="39" w16cid:durableId="210000069">
    <w:abstractNumId w:val="29"/>
  </w:num>
  <w:num w:numId="40" w16cid:durableId="401221028">
    <w:abstractNumId w:val="33"/>
  </w:num>
  <w:num w:numId="41" w16cid:durableId="1148865017">
    <w:abstractNumId w:val="14"/>
  </w:num>
  <w:num w:numId="42" w16cid:durableId="455830339">
    <w:abstractNumId w:val="21"/>
  </w:num>
  <w:num w:numId="43" w16cid:durableId="1947958196">
    <w:abstractNumId w:val="36"/>
  </w:num>
  <w:num w:numId="44" w16cid:durableId="409232344">
    <w:abstractNumId w:val="11"/>
  </w:num>
  <w:num w:numId="45" w16cid:durableId="65930856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DC"/>
    <w:rsid w:val="00001874"/>
    <w:rsid w:val="000063B6"/>
    <w:rsid w:val="0001459E"/>
    <w:rsid w:val="000145A2"/>
    <w:rsid w:val="00015BF3"/>
    <w:rsid w:val="00020111"/>
    <w:rsid w:val="0002250A"/>
    <w:rsid w:val="00022DC0"/>
    <w:rsid w:val="00023731"/>
    <w:rsid w:val="00026494"/>
    <w:rsid w:val="000277E7"/>
    <w:rsid w:val="000279C5"/>
    <w:rsid w:val="0003213E"/>
    <w:rsid w:val="00040571"/>
    <w:rsid w:val="000433BF"/>
    <w:rsid w:val="000440D0"/>
    <w:rsid w:val="000445A1"/>
    <w:rsid w:val="00046890"/>
    <w:rsid w:val="000758E4"/>
    <w:rsid w:val="00084292"/>
    <w:rsid w:val="00090019"/>
    <w:rsid w:val="0009272B"/>
    <w:rsid w:val="000B4188"/>
    <w:rsid w:val="000C1E25"/>
    <w:rsid w:val="000C373D"/>
    <w:rsid w:val="000C3953"/>
    <w:rsid w:val="000C62EB"/>
    <w:rsid w:val="000E3188"/>
    <w:rsid w:val="000E451B"/>
    <w:rsid w:val="000F2641"/>
    <w:rsid w:val="000F3907"/>
    <w:rsid w:val="000F7219"/>
    <w:rsid w:val="0010110D"/>
    <w:rsid w:val="00104397"/>
    <w:rsid w:val="00104459"/>
    <w:rsid w:val="00122131"/>
    <w:rsid w:val="00135E4C"/>
    <w:rsid w:val="001372AB"/>
    <w:rsid w:val="00137CDF"/>
    <w:rsid w:val="001455E0"/>
    <w:rsid w:val="00156C21"/>
    <w:rsid w:val="0015731B"/>
    <w:rsid w:val="00160097"/>
    <w:rsid w:val="001719BC"/>
    <w:rsid w:val="00171F3A"/>
    <w:rsid w:val="00174DA7"/>
    <w:rsid w:val="001750A0"/>
    <w:rsid w:val="00193C3D"/>
    <w:rsid w:val="00196C45"/>
    <w:rsid w:val="001A2AD0"/>
    <w:rsid w:val="001A31C4"/>
    <w:rsid w:val="001B0DC9"/>
    <w:rsid w:val="001B2B1B"/>
    <w:rsid w:val="001C09D1"/>
    <w:rsid w:val="001C1547"/>
    <w:rsid w:val="001C4817"/>
    <w:rsid w:val="001D00D7"/>
    <w:rsid w:val="001E140D"/>
    <w:rsid w:val="001E2C30"/>
    <w:rsid w:val="001E337B"/>
    <w:rsid w:val="001E3A6B"/>
    <w:rsid w:val="001E4D62"/>
    <w:rsid w:val="001E6886"/>
    <w:rsid w:val="001F2486"/>
    <w:rsid w:val="00203838"/>
    <w:rsid w:val="00203866"/>
    <w:rsid w:val="00206E80"/>
    <w:rsid w:val="00207B90"/>
    <w:rsid w:val="00211A74"/>
    <w:rsid w:val="002128D9"/>
    <w:rsid w:val="002154EA"/>
    <w:rsid w:val="00215908"/>
    <w:rsid w:val="00217FC6"/>
    <w:rsid w:val="00220909"/>
    <w:rsid w:val="00221467"/>
    <w:rsid w:val="002256E4"/>
    <w:rsid w:val="00226749"/>
    <w:rsid w:val="0023656B"/>
    <w:rsid w:val="00236841"/>
    <w:rsid w:val="0024064A"/>
    <w:rsid w:val="002478EA"/>
    <w:rsid w:val="002553AE"/>
    <w:rsid w:val="00265B43"/>
    <w:rsid w:val="00267431"/>
    <w:rsid w:val="00267F38"/>
    <w:rsid w:val="00271D9F"/>
    <w:rsid w:val="00272514"/>
    <w:rsid w:val="00274329"/>
    <w:rsid w:val="0027475F"/>
    <w:rsid w:val="002772A9"/>
    <w:rsid w:val="002814DC"/>
    <w:rsid w:val="00290640"/>
    <w:rsid w:val="00293559"/>
    <w:rsid w:val="00293C08"/>
    <w:rsid w:val="002944F4"/>
    <w:rsid w:val="00295D9F"/>
    <w:rsid w:val="002A30F6"/>
    <w:rsid w:val="002A367F"/>
    <w:rsid w:val="002A4789"/>
    <w:rsid w:val="002A5544"/>
    <w:rsid w:val="002B13C8"/>
    <w:rsid w:val="002B283F"/>
    <w:rsid w:val="002B2D86"/>
    <w:rsid w:val="002B454C"/>
    <w:rsid w:val="002B4783"/>
    <w:rsid w:val="002B7331"/>
    <w:rsid w:val="002C14CD"/>
    <w:rsid w:val="002D067B"/>
    <w:rsid w:val="002D489F"/>
    <w:rsid w:val="002E1F0A"/>
    <w:rsid w:val="002E29CD"/>
    <w:rsid w:val="002E3512"/>
    <w:rsid w:val="002F09CD"/>
    <w:rsid w:val="002F0EE6"/>
    <w:rsid w:val="002F53CF"/>
    <w:rsid w:val="002F599C"/>
    <w:rsid w:val="002F63A3"/>
    <w:rsid w:val="002F713D"/>
    <w:rsid w:val="00301528"/>
    <w:rsid w:val="00307CE5"/>
    <w:rsid w:val="00310CD7"/>
    <w:rsid w:val="00310DF8"/>
    <w:rsid w:val="003136B2"/>
    <w:rsid w:val="00320811"/>
    <w:rsid w:val="00320E8E"/>
    <w:rsid w:val="00325CD1"/>
    <w:rsid w:val="00327250"/>
    <w:rsid w:val="00331E7E"/>
    <w:rsid w:val="00333827"/>
    <w:rsid w:val="003358F0"/>
    <w:rsid w:val="00340269"/>
    <w:rsid w:val="003416BF"/>
    <w:rsid w:val="003419F2"/>
    <w:rsid w:val="00344259"/>
    <w:rsid w:val="003462BC"/>
    <w:rsid w:val="0035479F"/>
    <w:rsid w:val="00360B3B"/>
    <w:rsid w:val="00367777"/>
    <w:rsid w:val="00373A8E"/>
    <w:rsid w:val="00383DDC"/>
    <w:rsid w:val="0039209F"/>
    <w:rsid w:val="003A1A46"/>
    <w:rsid w:val="003A405E"/>
    <w:rsid w:val="003A7EBB"/>
    <w:rsid w:val="003B0212"/>
    <w:rsid w:val="003B7503"/>
    <w:rsid w:val="003C44A0"/>
    <w:rsid w:val="003C5BC6"/>
    <w:rsid w:val="003D023D"/>
    <w:rsid w:val="003D516B"/>
    <w:rsid w:val="003E0CD6"/>
    <w:rsid w:val="003E24AF"/>
    <w:rsid w:val="003E589A"/>
    <w:rsid w:val="003F3746"/>
    <w:rsid w:val="003F5CE8"/>
    <w:rsid w:val="0040142F"/>
    <w:rsid w:val="00405396"/>
    <w:rsid w:val="0041396C"/>
    <w:rsid w:val="00413D6E"/>
    <w:rsid w:val="0041416D"/>
    <w:rsid w:val="004155DE"/>
    <w:rsid w:val="004160E1"/>
    <w:rsid w:val="00416E72"/>
    <w:rsid w:val="00420F9E"/>
    <w:rsid w:val="004218BB"/>
    <w:rsid w:val="0042648F"/>
    <w:rsid w:val="0044199B"/>
    <w:rsid w:val="0044315D"/>
    <w:rsid w:val="004525FA"/>
    <w:rsid w:val="0046560A"/>
    <w:rsid w:val="0047014B"/>
    <w:rsid w:val="004724E8"/>
    <w:rsid w:val="00473FBB"/>
    <w:rsid w:val="00477E61"/>
    <w:rsid w:val="00477EE0"/>
    <w:rsid w:val="00495452"/>
    <w:rsid w:val="00496192"/>
    <w:rsid w:val="00496B6B"/>
    <w:rsid w:val="004A41A5"/>
    <w:rsid w:val="004A7FF4"/>
    <w:rsid w:val="004B1E4D"/>
    <w:rsid w:val="004C06A9"/>
    <w:rsid w:val="004C3A88"/>
    <w:rsid w:val="004C7FF3"/>
    <w:rsid w:val="004D123D"/>
    <w:rsid w:val="004D1BAD"/>
    <w:rsid w:val="004D3021"/>
    <w:rsid w:val="004D6701"/>
    <w:rsid w:val="004D686B"/>
    <w:rsid w:val="004F2CF9"/>
    <w:rsid w:val="004F4BCC"/>
    <w:rsid w:val="004F4E86"/>
    <w:rsid w:val="005001B8"/>
    <w:rsid w:val="005011A0"/>
    <w:rsid w:val="005061E6"/>
    <w:rsid w:val="005075CD"/>
    <w:rsid w:val="005076A8"/>
    <w:rsid w:val="00510F7C"/>
    <w:rsid w:val="00511B2E"/>
    <w:rsid w:val="00517FD0"/>
    <w:rsid w:val="0052651C"/>
    <w:rsid w:val="00530A57"/>
    <w:rsid w:val="0054079A"/>
    <w:rsid w:val="005459A2"/>
    <w:rsid w:val="00556178"/>
    <w:rsid w:val="00556671"/>
    <w:rsid w:val="005645EA"/>
    <w:rsid w:val="0056579F"/>
    <w:rsid w:val="00565BDF"/>
    <w:rsid w:val="00570322"/>
    <w:rsid w:val="00575108"/>
    <w:rsid w:val="0057739B"/>
    <w:rsid w:val="005832CF"/>
    <w:rsid w:val="00583AAF"/>
    <w:rsid w:val="005909A2"/>
    <w:rsid w:val="00592E15"/>
    <w:rsid w:val="00593215"/>
    <w:rsid w:val="0059451C"/>
    <w:rsid w:val="0059555C"/>
    <w:rsid w:val="005A1773"/>
    <w:rsid w:val="005A520E"/>
    <w:rsid w:val="005A58BC"/>
    <w:rsid w:val="005B0F41"/>
    <w:rsid w:val="005B3371"/>
    <w:rsid w:val="005C65F1"/>
    <w:rsid w:val="005D015B"/>
    <w:rsid w:val="005D2993"/>
    <w:rsid w:val="005D2DC7"/>
    <w:rsid w:val="005E0485"/>
    <w:rsid w:val="005E15FE"/>
    <w:rsid w:val="005E1DD5"/>
    <w:rsid w:val="005E2A40"/>
    <w:rsid w:val="005E6629"/>
    <w:rsid w:val="005F3B6C"/>
    <w:rsid w:val="005F651C"/>
    <w:rsid w:val="006003CA"/>
    <w:rsid w:val="00603BAA"/>
    <w:rsid w:val="00605A5D"/>
    <w:rsid w:val="00612463"/>
    <w:rsid w:val="00613B2E"/>
    <w:rsid w:val="0061520F"/>
    <w:rsid w:val="00615510"/>
    <w:rsid w:val="0061683B"/>
    <w:rsid w:val="006173E4"/>
    <w:rsid w:val="00617E9B"/>
    <w:rsid w:val="00620B38"/>
    <w:rsid w:val="006314F9"/>
    <w:rsid w:val="006335B5"/>
    <w:rsid w:val="00636793"/>
    <w:rsid w:val="00644B53"/>
    <w:rsid w:val="00651813"/>
    <w:rsid w:val="0065565F"/>
    <w:rsid w:val="00661645"/>
    <w:rsid w:val="00662483"/>
    <w:rsid w:val="00662BA6"/>
    <w:rsid w:val="0067578C"/>
    <w:rsid w:val="006810FB"/>
    <w:rsid w:val="00682BF8"/>
    <w:rsid w:val="00691A92"/>
    <w:rsid w:val="006955B3"/>
    <w:rsid w:val="006A1D5D"/>
    <w:rsid w:val="006A2B59"/>
    <w:rsid w:val="006A3FBE"/>
    <w:rsid w:val="006A70C5"/>
    <w:rsid w:val="006B01FF"/>
    <w:rsid w:val="006B4430"/>
    <w:rsid w:val="006C24D2"/>
    <w:rsid w:val="006C4F0A"/>
    <w:rsid w:val="006C7DEB"/>
    <w:rsid w:val="006D01A5"/>
    <w:rsid w:val="006D5B3D"/>
    <w:rsid w:val="006E32D4"/>
    <w:rsid w:val="006E3DE8"/>
    <w:rsid w:val="006E78F3"/>
    <w:rsid w:val="006E7A39"/>
    <w:rsid w:val="006F7675"/>
    <w:rsid w:val="00704B25"/>
    <w:rsid w:val="0070765D"/>
    <w:rsid w:val="007146B1"/>
    <w:rsid w:val="007166F9"/>
    <w:rsid w:val="00717177"/>
    <w:rsid w:val="00717252"/>
    <w:rsid w:val="007178E9"/>
    <w:rsid w:val="00720E39"/>
    <w:rsid w:val="00720EC1"/>
    <w:rsid w:val="00721088"/>
    <w:rsid w:val="00722FF3"/>
    <w:rsid w:val="007277DC"/>
    <w:rsid w:val="0073188C"/>
    <w:rsid w:val="00733167"/>
    <w:rsid w:val="00745847"/>
    <w:rsid w:val="007509FF"/>
    <w:rsid w:val="00750D1D"/>
    <w:rsid w:val="0075375F"/>
    <w:rsid w:val="00754396"/>
    <w:rsid w:val="007566C9"/>
    <w:rsid w:val="0076525B"/>
    <w:rsid w:val="00780145"/>
    <w:rsid w:val="007802E0"/>
    <w:rsid w:val="00780672"/>
    <w:rsid w:val="00780B44"/>
    <w:rsid w:val="007834A8"/>
    <w:rsid w:val="007838A4"/>
    <w:rsid w:val="007940D8"/>
    <w:rsid w:val="007A2351"/>
    <w:rsid w:val="007A4834"/>
    <w:rsid w:val="007A7241"/>
    <w:rsid w:val="007A7B9A"/>
    <w:rsid w:val="007B012F"/>
    <w:rsid w:val="007B129E"/>
    <w:rsid w:val="007B2192"/>
    <w:rsid w:val="007B6B52"/>
    <w:rsid w:val="007C0600"/>
    <w:rsid w:val="007C4CB2"/>
    <w:rsid w:val="007D12E6"/>
    <w:rsid w:val="007D1B5E"/>
    <w:rsid w:val="007D2A5F"/>
    <w:rsid w:val="007D78EE"/>
    <w:rsid w:val="007E2961"/>
    <w:rsid w:val="0080287F"/>
    <w:rsid w:val="0080454E"/>
    <w:rsid w:val="008054E5"/>
    <w:rsid w:val="00810464"/>
    <w:rsid w:val="0081122B"/>
    <w:rsid w:val="00815AF8"/>
    <w:rsid w:val="00820325"/>
    <w:rsid w:val="0082586C"/>
    <w:rsid w:val="00826D98"/>
    <w:rsid w:val="00830C38"/>
    <w:rsid w:val="008318EE"/>
    <w:rsid w:val="0084258E"/>
    <w:rsid w:val="00846D55"/>
    <w:rsid w:val="008475C7"/>
    <w:rsid w:val="0084791F"/>
    <w:rsid w:val="00851224"/>
    <w:rsid w:val="008567C2"/>
    <w:rsid w:val="00870CAE"/>
    <w:rsid w:val="00880D4D"/>
    <w:rsid w:val="00881377"/>
    <w:rsid w:val="00886ED0"/>
    <w:rsid w:val="008A072E"/>
    <w:rsid w:val="008A0AD7"/>
    <w:rsid w:val="008A7464"/>
    <w:rsid w:val="008B027B"/>
    <w:rsid w:val="008B0384"/>
    <w:rsid w:val="008B2C52"/>
    <w:rsid w:val="008C1ABE"/>
    <w:rsid w:val="008C4291"/>
    <w:rsid w:val="008C6B15"/>
    <w:rsid w:val="008D4CD0"/>
    <w:rsid w:val="008D4D98"/>
    <w:rsid w:val="008F05F8"/>
    <w:rsid w:val="00910774"/>
    <w:rsid w:val="00910E16"/>
    <w:rsid w:val="00921D8A"/>
    <w:rsid w:val="009243FB"/>
    <w:rsid w:val="00932C0A"/>
    <w:rsid w:val="00933A7D"/>
    <w:rsid w:val="00933DBE"/>
    <w:rsid w:val="009405FC"/>
    <w:rsid w:val="00941A15"/>
    <w:rsid w:val="00941A7B"/>
    <w:rsid w:val="009437AA"/>
    <w:rsid w:val="00943EC1"/>
    <w:rsid w:val="00945A63"/>
    <w:rsid w:val="0094659E"/>
    <w:rsid w:val="009514C3"/>
    <w:rsid w:val="00962508"/>
    <w:rsid w:val="009642B8"/>
    <w:rsid w:val="009668E4"/>
    <w:rsid w:val="0096748F"/>
    <w:rsid w:val="00975501"/>
    <w:rsid w:val="00980DC4"/>
    <w:rsid w:val="00982C23"/>
    <w:rsid w:val="00986A1E"/>
    <w:rsid w:val="009940E7"/>
    <w:rsid w:val="00994129"/>
    <w:rsid w:val="009962C3"/>
    <w:rsid w:val="009B0BA9"/>
    <w:rsid w:val="009B106C"/>
    <w:rsid w:val="009B2C7E"/>
    <w:rsid w:val="009C1BE3"/>
    <w:rsid w:val="009C1D63"/>
    <w:rsid w:val="009C2ABC"/>
    <w:rsid w:val="009C35FC"/>
    <w:rsid w:val="009C3AD3"/>
    <w:rsid w:val="009C71FA"/>
    <w:rsid w:val="009C7948"/>
    <w:rsid w:val="009D23D2"/>
    <w:rsid w:val="009D4CD6"/>
    <w:rsid w:val="009D5F16"/>
    <w:rsid w:val="009E2E03"/>
    <w:rsid w:val="009E417C"/>
    <w:rsid w:val="009E7E59"/>
    <w:rsid w:val="009F2972"/>
    <w:rsid w:val="009F4DB8"/>
    <w:rsid w:val="00A00473"/>
    <w:rsid w:val="00A026D3"/>
    <w:rsid w:val="00A0480A"/>
    <w:rsid w:val="00A11DA5"/>
    <w:rsid w:val="00A14FF7"/>
    <w:rsid w:val="00A164D4"/>
    <w:rsid w:val="00A236BF"/>
    <w:rsid w:val="00A25C28"/>
    <w:rsid w:val="00A33C18"/>
    <w:rsid w:val="00A365D6"/>
    <w:rsid w:val="00A401A2"/>
    <w:rsid w:val="00A4112C"/>
    <w:rsid w:val="00A4249E"/>
    <w:rsid w:val="00A478A4"/>
    <w:rsid w:val="00A50737"/>
    <w:rsid w:val="00A5405C"/>
    <w:rsid w:val="00A55380"/>
    <w:rsid w:val="00A63A37"/>
    <w:rsid w:val="00A66056"/>
    <w:rsid w:val="00A73B11"/>
    <w:rsid w:val="00A73C99"/>
    <w:rsid w:val="00A810B3"/>
    <w:rsid w:val="00A819BC"/>
    <w:rsid w:val="00A82CC5"/>
    <w:rsid w:val="00A85015"/>
    <w:rsid w:val="00A8520E"/>
    <w:rsid w:val="00A865DE"/>
    <w:rsid w:val="00A93758"/>
    <w:rsid w:val="00A93B8E"/>
    <w:rsid w:val="00A959D8"/>
    <w:rsid w:val="00A96721"/>
    <w:rsid w:val="00A96EAA"/>
    <w:rsid w:val="00AA59B2"/>
    <w:rsid w:val="00AB31FB"/>
    <w:rsid w:val="00AC49FB"/>
    <w:rsid w:val="00AC5322"/>
    <w:rsid w:val="00AD07EE"/>
    <w:rsid w:val="00AD3E4C"/>
    <w:rsid w:val="00AD710C"/>
    <w:rsid w:val="00AE26DA"/>
    <w:rsid w:val="00AF08AC"/>
    <w:rsid w:val="00AF4846"/>
    <w:rsid w:val="00AF6546"/>
    <w:rsid w:val="00B02601"/>
    <w:rsid w:val="00B042FA"/>
    <w:rsid w:val="00B10DB2"/>
    <w:rsid w:val="00B119A7"/>
    <w:rsid w:val="00B1751B"/>
    <w:rsid w:val="00B205B8"/>
    <w:rsid w:val="00B32D7A"/>
    <w:rsid w:val="00B34886"/>
    <w:rsid w:val="00B4326C"/>
    <w:rsid w:val="00B44D13"/>
    <w:rsid w:val="00B55C9B"/>
    <w:rsid w:val="00B63695"/>
    <w:rsid w:val="00B6590C"/>
    <w:rsid w:val="00B72033"/>
    <w:rsid w:val="00B7272B"/>
    <w:rsid w:val="00B829E3"/>
    <w:rsid w:val="00B87EB3"/>
    <w:rsid w:val="00B91DCA"/>
    <w:rsid w:val="00B93A3B"/>
    <w:rsid w:val="00B97F59"/>
    <w:rsid w:val="00BA41F4"/>
    <w:rsid w:val="00BB1E45"/>
    <w:rsid w:val="00BB2CA2"/>
    <w:rsid w:val="00BC3024"/>
    <w:rsid w:val="00BC40AF"/>
    <w:rsid w:val="00BC4D65"/>
    <w:rsid w:val="00BC5E6C"/>
    <w:rsid w:val="00BD5EF2"/>
    <w:rsid w:val="00BE1E6E"/>
    <w:rsid w:val="00BE3B14"/>
    <w:rsid w:val="00BF03E1"/>
    <w:rsid w:val="00C1223A"/>
    <w:rsid w:val="00C14BC0"/>
    <w:rsid w:val="00C17B53"/>
    <w:rsid w:val="00C17E80"/>
    <w:rsid w:val="00C2415C"/>
    <w:rsid w:val="00C27A27"/>
    <w:rsid w:val="00C31D87"/>
    <w:rsid w:val="00C35673"/>
    <w:rsid w:val="00C36D77"/>
    <w:rsid w:val="00C4135A"/>
    <w:rsid w:val="00C43D96"/>
    <w:rsid w:val="00C53549"/>
    <w:rsid w:val="00C53783"/>
    <w:rsid w:val="00C575C7"/>
    <w:rsid w:val="00C6732D"/>
    <w:rsid w:val="00C67B6F"/>
    <w:rsid w:val="00C67F39"/>
    <w:rsid w:val="00C7018E"/>
    <w:rsid w:val="00C74B76"/>
    <w:rsid w:val="00C75630"/>
    <w:rsid w:val="00C86116"/>
    <w:rsid w:val="00C867B9"/>
    <w:rsid w:val="00C87378"/>
    <w:rsid w:val="00C87C8B"/>
    <w:rsid w:val="00C9010C"/>
    <w:rsid w:val="00C93D8D"/>
    <w:rsid w:val="00C940D4"/>
    <w:rsid w:val="00C940DA"/>
    <w:rsid w:val="00C9503D"/>
    <w:rsid w:val="00C952D8"/>
    <w:rsid w:val="00C9584A"/>
    <w:rsid w:val="00C964DC"/>
    <w:rsid w:val="00C96E30"/>
    <w:rsid w:val="00C96EEE"/>
    <w:rsid w:val="00C97E96"/>
    <w:rsid w:val="00CA186D"/>
    <w:rsid w:val="00CA7441"/>
    <w:rsid w:val="00CA79C1"/>
    <w:rsid w:val="00CA7D82"/>
    <w:rsid w:val="00CB4BBE"/>
    <w:rsid w:val="00CB58F6"/>
    <w:rsid w:val="00CC2AFA"/>
    <w:rsid w:val="00CC5945"/>
    <w:rsid w:val="00CD2DCC"/>
    <w:rsid w:val="00CD37D5"/>
    <w:rsid w:val="00CD505D"/>
    <w:rsid w:val="00CD50C3"/>
    <w:rsid w:val="00CD6A99"/>
    <w:rsid w:val="00CE3D29"/>
    <w:rsid w:val="00CE3F77"/>
    <w:rsid w:val="00CE4653"/>
    <w:rsid w:val="00CE68EC"/>
    <w:rsid w:val="00CE7BFF"/>
    <w:rsid w:val="00CF01DE"/>
    <w:rsid w:val="00CF3379"/>
    <w:rsid w:val="00CF3A48"/>
    <w:rsid w:val="00CF501E"/>
    <w:rsid w:val="00CF57E9"/>
    <w:rsid w:val="00CF5B8D"/>
    <w:rsid w:val="00D0173E"/>
    <w:rsid w:val="00D06A36"/>
    <w:rsid w:val="00D10067"/>
    <w:rsid w:val="00D10A6C"/>
    <w:rsid w:val="00D149EB"/>
    <w:rsid w:val="00D158DE"/>
    <w:rsid w:val="00D2341B"/>
    <w:rsid w:val="00D2796C"/>
    <w:rsid w:val="00D3434F"/>
    <w:rsid w:val="00D34DE8"/>
    <w:rsid w:val="00D37578"/>
    <w:rsid w:val="00D51720"/>
    <w:rsid w:val="00D669E4"/>
    <w:rsid w:val="00D739C3"/>
    <w:rsid w:val="00D74373"/>
    <w:rsid w:val="00D92212"/>
    <w:rsid w:val="00D967F8"/>
    <w:rsid w:val="00DA1870"/>
    <w:rsid w:val="00DA428F"/>
    <w:rsid w:val="00DB24FB"/>
    <w:rsid w:val="00DB546A"/>
    <w:rsid w:val="00DC6266"/>
    <w:rsid w:val="00DD0BED"/>
    <w:rsid w:val="00DD13F8"/>
    <w:rsid w:val="00DD1A14"/>
    <w:rsid w:val="00DE0B6F"/>
    <w:rsid w:val="00DE4C48"/>
    <w:rsid w:val="00DE54CC"/>
    <w:rsid w:val="00DE72E5"/>
    <w:rsid w:val="00DF3CE2"/>
    <w:rsid w:val="00DF42F6"/>
    <w:rsid w:val="00DF6373"/>
    <w:rsid w:val="00E017FB"/>
    <w:rsid w:val="00E0263C"/>
    <w:rsid w:val="00E07878"/>
    <w:rsid w:val="00E11E16"/>
    <w:rsid w:val="00E12F49"/>
    <w:rsid w:val="00E1721A"/>
    <w:rsid w:val="00E221DD"/>
    <w:rsid w:val="00E27270"/>
    <w:rsid w:val="00E32ACF"/>
    <w:rsid w:val="00E33BFC"/>
    <w:rsid w:val="00E40DEB"/>
    <w:rsid w:val="00E419B5"/>
    <w:rsid w:val="00E42E1E"/>
    <w:rsid w:val="00E431DB"/>
    <w:rsid w:val="00E472B0"/>
    <w:rsid w:val="00E5370E"/>
    <w:rsid w:val="00E63AB1"/>
    <w:rsid w:val="00E63F46"/>
    <w:rsid w:val="00E664F2"/>
    <w:rsid w:val="00E67D25"/>
    <w:rsid w:val="00E70DA1"/>
    <w:rsid w:val="00E72B67"/>
    <w:rsid w:val="00E7386E"/>
    <w:rsid w:val="00E73E30"/>
    <w:rsid w:val="00E76E12"/>
    <w:rsid w:val="00E850E5"/>
    <w:rsid w:val="00E913DB"/>
    <w:rsid w:val="00E93A1E"/>
    <w:rsid w:val="00EA1663"/>
    <w:rsid w:val="00EA511D"/>
    <w:rsid w:val="00EB2299"/>
    <w:rsid w:val="00EB37E1"/>
    <w:rsid w:val="00EC4A35"/>
    <w:rsid w:val="00ED4A05"/>
    <w:rsid w:val="00ED7D2A"/>
    <w:rsid w:val="00EE0885"/>
    <w:rsid w:val="00EE7515"/>
    <w:rsid w:val="00EF1017"/>
    <w:rsid w:val="00EF2E26"/>
    <w:rsid w:val="00F027FC"/>
    <w:rsid w:val="00F11346"/>
    <w:rsid w:val="00F12F42"/>
    <w:rsid w:val="00F14C4E"/>
    <w:rsid w:val="00F152BB"/>
    <w:rsid w:val="00F157B0"/>
    <w:rsid w:val="00F17AC7"/>
    <w:rsid w:val="00F22405"/>
    <w:rsid w:val="00F22CE6"/>
    <w:rsid w:val="00F26A3E"/>
    <w:rsid w:val="00F305E7"/>
    <w:rsid w:val="00F37925"/>
    <w:rsid w:val="00F500CC"/>
    <w:rsid w:val="00F54B54"/>
    <w:rsid w:val="00F608CA"/>
    <w:rsid w:val="00F63823"/>
    <w:rsid w:val="00F66E44"/>
    <w:rsid w:val="00F70186"/>
    <w:rsid w:val="00F70EC2"/>
    <w:rsid w:val="00F739DC"/>
    <w:rsid w:val="00F76503"/>
    <w:rsid w:val="00F80258"/>
    <w:rsid w:val="00F862D5"/>
    <w:rsid w:val="00F948A0"/>
    <w:rsid w:val="00F9788A"/>
    <w:rsid w:val="00FA24A6"/>
    <w:rsid w:val="00FA290C"/>
    <w:rsid w:val="00FB5792"/>
    <w:rsid w:val="00FC0EE8"/>
    <w:rsid w:val="00FC3710"/>
    <w:rsid w:val="00FC39E4"/>
    <w:rsid w:val="00FC3E45"/>
    <w:rsid w:val="00FC7569"/>
    <w:rsid w:val="00FD535B"/>
    <w:rsid w:val="00FD78AC"/>
    <w:rsid w:val="00FF0A7E"/>
    <w:rsid w:val="00FF3C68"/>
    <w:rsid w:val="00FF5682"/>
    <w:rsid w:val="00FF679F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150C2D3"/>
  <w15:chartTrackingRefBased/>
  <w15:docId w15:val="{F6236CEA-4C10-465A-A5BB-572CCBD5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A05"/>
  </w:style>
  <w:style w:type="paragraph" w:styleId="Heading1">
    <w:name w:val="heading 1"/>
    <w:basedOn w:val="Normal"/>
    <w:next w:val="Normal"/>
    <w:link w:val="Heading1Char"/>
    <w:uiPriority w:val="9"/>
    <w:qFormat/>
    <w:rsid w:val="00662BA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BA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4DC"/>
    <w:pPr>
      <w:ind w:left="720"/>
      <w:contextualSpacing/>
    </w:pPr>
  </w:style>
  <w:style w:type="table" w:styleId="TableGrid">
    <w:name w:val="Table Grid"/>
    <w:basedOn w:val="TableNormal"/>
    <w:rsid w:val="00D669E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5A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E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E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028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54396"/>
  </w:style>
  <w:style w:type="paragraph" w:styleId="Footer">
    <w:name w:val="footer"/>
    <w:basedOn w:val="Normal"/>
    <w:link w:val="Foot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54396"/>
  </w:style>
  <w:style w:type="paragraph" w:customStyle="1" w:styleId="Doc-text2">
    <w:name w:val="Doc-text2"/>
    <w:basedOn w:val="Normal"/>
    <w:link w:val="Doc-text2Char"/>
    <w:qFormat/>
    <w:rsid w:val="00754396"/>
    <w:pPr>
      <w:tabs>
        <w:tab w:val="left" w:pos="1622"/>
      </w:tabs>
      <w:spacing w:after="0"/>
      <w:ind w:left="1622" w:hanging="363"/>
    </w:pPr>
    <w:rPr>
      <w:rFonts w:ascii="Arial" w:eastAsia="SimSun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54396"/>
    <w:rPr>
      <w:rFonts w:ascii="Arial" w:eastAsia="SimSun" w:hAnsi="Arial" w:cs="Times New Roman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2F53CF"/>
    <w:rPr>
      <w:b/>
      <w:bCs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662BA6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9"/>
    <w:rsid w:val="00662BA6"/>
    <w:rPr>
      <w:rFonts w:asciiTheme="majorHAnsi" w:eastAsiaTheme="majorEastAsia" w:hAnsiTheme="majorHAnsi" w:cstheme="maj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2BF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82BF8"/>
  </w:style>
  <w:style w:type="character" w:customStyle="1" w:styleId="CommentTextChar">
    <w:name w:val="Comment Text Char"/>
    <w:basedOn w:val="DefaultParagraphFont"/>
    <w:link w:val="CommentText"/>
    <w:uiPriority w:val="99"/>
    <w:rsid w:val="00682BF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B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B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6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34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94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62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51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792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2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9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3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17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93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13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24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276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5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013046-717f-4449-8614-b21769059c69">
      <UserInfo>
        <DisplayName>Palte メンバー</DisplayName>
        <AccountId>7</AccountId>
        <AccountType/>
      </UserInfo>
    </SharedWithUsers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50B32-7CE5-471C-B18D-FB75D4DA93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CF48F-6907-4359-A5EA-EA563B4B28FB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9BA2225A-189F-4A3D-BC09-911E703782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67E345-45B0-42D5-8418-7FB2AAE1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1588</Words>
  <Characters>10009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Frank</dc:creator>
  <cp:keywords/>
  <dc:description/>
  <cp:lastModifiedBy>Herrmann, Frank</cp:lastModifiedBy>
  <cp:revision>10</cp:revision>
  <cp:lastPrinted>2024-08-08T13:10:00Z</cp:lastPrinted>
  <dcterms:created xsi:type="dcterms:W3CDTF">2024-08-09T08:00:00Z</dcterms:created>
  <dcterms:modified xsi:type="dcterms:W3CDTF">2024-08-09T08:28:00Z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