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78713C5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A2222">
        <w:rPr>
          <w:bCs/>
          <w:noProof w:val="0"/>
          <w:sz w:val="24"/>
          <w:szCs w:val="24"/>
        </w:rPr>
        <w:t>7</w:t>
      </w:r>
      <w:r w:rsidRPr="00B266B0">
        <w:rPr>
          <w:bCs/>
          <w:noProof w:val="0"/>
          <w:sz w:val="24"/>
          <w:szCs w:val="24"/>
        </w:rPr>
        <w:tab/>
      </w:r>
      <w:bookmarkStart w:id="0" w:name="_GoBack"/>
      <w:r w:rsidR="00B50369">
        <w:rPr>
          <w:bCs/>
          <w:noProof w:val="0"/>
          <w:sz w:val="24"/>
          <w:szCs w:val="24"/>
        </w:rPr>
        <w:t>R2-2</w:t>
      </w:r>
      <w:r w:rsidR="00F74086">
        <w:rPr>
          <w:bCs/>
          <w:noProof w:val="0"/>
          <w:sz w:val="24"/>
          <w:szCs w:val="24"/>
        </w:rPr>
        <w:t>4</w:t>
      </w:r>
      <w:r w:rsidR="00646509">
        <w:rPr>
          <w:bCs/>
          <w:noProof w:val="0"/>
          <w:sz w:val="24"/>
          <w:szCs w:val="24"/>
        </w:rPr>
        <w:t>0</w:t>
      </w:r>
      <w:r w:rsidR="001D5E77">
        <w:rPr>
          <w:bCs/>
          <w:noProof w:val="0"/>
          <w:sz w:val="24"/>
          <w:szCs w:val="24"/>
        </w:rPr>
        <w:t>6490</w:t>
      </w:r>
      <w:bookmarkEnd w:id="0"/>
    </w:p>
    <w:p w14:paraId="11776FA6" w14:textId="46CADFAF" w:rsidR="00A209D6" w:rsidRPr="00465587" w:rsidRDefault="00CA2222" w:rsidP="00A209D6">
      <w:pPr>
        <w:pStyle w:val="Header"/>
        <w:tabs>
          <w:tab w:val="right" w:pos="9639"/>
        </w:tabs>
        <w:rPr>
          <w:bCs/>
          <w:sz w:val="24"/>
          <w:szCs w:val="24"/>
          <w:lang w:eastAsia="zh-CN"/>
        </w:rPr>
      </w:pPr>
      <w:r>
        <w:rPr>
          <w:rFonts w:eastAsia="Malgun Gothic"/>
          <w:sz w:val="24"/>
          <w:lang w:eastAsia="en-US"/>
        </w:rPr>
        <w:t>Maastricht, Netherlands, August 19</w:t>
      </w:r>
      <w:r w:rsidRPr="007359B3">
        <w:rPr>
          <w:rFonts w:eastAsia="Malgun Gothic"/>
          <w:sz w:val="24"/>
          <w:vertAlign w:val="superscript"/>
          <w:lang w:eastAsia="en-US"/>
        </w:rPr>
        <w:t>th</w:t>
      </w:r>
      <w:r>
        <w:rPr>
          <w:rFonts w:eastAsia="Malgun Gothic"/>
          <w:sz w:val="24"/>
          <w:lang w:eastAsia="en-US"/>
        </w:rPr>
        <w:t xml:space="preserve"> – 23</w:t>
      </w:r>
      <w:r w:rsidRPr="007359B3">
        <w:rPr>
          <w:rFonts w:eastAsia="Malgun Gothic"/>
          <w:sz w:val="24"/>
          <w:vertAlign w:val="superscript"/>
          <w:lang w:eastAsia="en-US"/>
        </w:rPr>
        <w:t>rd</w:t>
      </w:r>
      <w:r>
        <w:rPr>
          <w:rFonts w:eastAsia="Malgun Gothic"/>
          <w:sz w:val="24"/>
          <w:lang w:eastAsia="en-US"/>
        </w:rPr>
        <w:t>,</w:t>
      </w:r>
      <w:r w:rsidR="006666DA" w:rsidRPr="000F10B8">
        <w:rPr>
          <w:rFonts w:eastAsia="MS Mincho" w:cs="Arial"/>
          <w:noProof w:val="0"/>
          <w:sz w:val="24"/>
          <w:lang w:eastAsia="en-US"/>
        </w:rPr>
        <w:t xml:space="preserve">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96EE6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D82F4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95DEC8A" w:rsidR="00F61EF6" w:rsidRDefault="003A1069" w:rsidP="00F61EF6">
      <w:r>
        <w:t>For Rel-19</w:t>
      </w:r>
      <w:r w:rsidR="008E3090">
        <w:t xml:space="preserve"> NR</w:t>
      </w:r>
      <w:r>
        <w:t xml:space="preserve"> NTN, </w:t>
      </w:r>
      <w:r w:rsidR="008E3090">
        <w:t>the objective of DL coverage enhancement has been updated in the last RAN plenary meeting</w:t>
      </w:r>
      <w:r w:rsidR="008F446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13C8C7B7" w14:textId="77777777" w:rsidR="008E3090" w:rsidRPr="008E3090" w:rsidRDefault="008E3090" w:rsidP="008E3090">
            <w:pPr>
              <w:widowControl w:val="0"/>
              <w:spacing w:after="120" w:line="276" w:lineRule="auto"/>
              <w:jc w:val="both"/>
              <w:rPr>
                <w:rFonts w:ascii="Times New Roman" w:eastAsia="SimSun" w:hAnsi="Times New Roman" w:cs="Times New Roman"/>
                <w:bCs/>
                <w:szCs w:val="20"/>
              </w:rPr>
            </w:pPr>
            <w:r w:rsidRPr="008E3090">
              <w:rPr>
                <w:rFonts w:ascii="Times New Roman" w:eastAsia="SimSun" w:hAnsi="Times New Roman" w:cs="Times New Roman"/>
                <w:bCs/>
                <w:szCs w:val="20"/>
              </w:rPr>
              <w:t>Study and specify if beneficial downlink coverage enhancements targeting support for additional reference satellite payload parameters covering both GSO and NGSO constellations operating in FR1-NTN or FR2-NTN [RAN1, RAN2, RAN4]</w:t>
            </w:r>
          </w:p>
          <w:p w14:paraId="18A27A8B" w14:textId="77777777" w:rsidR="008E3090" w:rsidRPr="008E3090" w:rsidRDefault="008E3090" w:rsidP="008E3090">
            <w:pPr>
              <w:widowControl w:val="0"/>
              <w:numPr>
                <w:ilvl w:val="0"/>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C43EFC7" w14:textId="77777777" w:rsidR="008E3090" w:rsidRPr="008E3090" w:rsidRDefault="008E3090" w:rsidP="008E3090">
            <w:pPr>
              <w:widowControl w:val="0"/>
              <w:numPr>
                <w:ilvl w:val="0"/>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552717F" w14:textId="77777777" w:rsidR="008E3090" w:rsidRPr="008E3090" w:rsidRDefault="008E3090" w:rsidP="008E3090">
            <w:pPr>
              <w:widowControl w:val="0"/>
              <w:numPr>
                <w:ilvl w:val="0"/>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6D8E491"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to report at the latest by RAN#106 with the list of targeted physical channels/signals for link level enhancements (if any), and with the targeted system-level enhancements (if any)</w:t>
            </w:r>
          </w:p>
          <w:p w14:paraId="49C53078"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report on impact to backward compatibility, if any, for potential extension of the SSB periodicity at the latest by RAN#106, in conjunction with the targeted system-level enhancements.</w:t>
            </w:r>
          </w:p>
          <w:p w14:paraId="2CE1425D" w14:textId="77777777" w:rsidR="008E3090" w:rsidRPr="008E3090" w:rsidRDefault="008E3090" w:rsidP="008E3090">
            <w:pPr>
              <w:widowControl w:val="0"/>
              <w:numPr>
                <w:ilvl w:val="0"/>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Notes for this objective:</w:t>
            </w:r>
          </w:p>
          <w:p w14:paraId="58BBAA4C"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SSB channel enhancement other than SSB periodicity extension is not considered</w:t>
            </w:r>
          </w:p>
          <w:p w14:paraId="32810E83" w14:textId="77777777" w:rsidR="008E3090" w:rsidRPr="008E3090" w:rsidRDefault="008E3090" w:rsidP="008E3090">
            <w:pPr>
              <w:widowControl w:val="0"/>
              <w:numPr>
                <w:ilvl w:val="2"/>
                <w:numId w:val="11"/>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consider issues such as UE’s cell search complexity and impact to initial cell selection, latency and success rate, for the above extension</w:t>
            </w:r>
          </w:p>
          <w:p w14:paraId="1C167675"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The SSB periodicity enhancements potentially defined in this WID only apply to NTN operation</w:t>
            </w:r>
          </w:p>
          <w:p w14:paraId="24CB2931"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Antenna gain of UE shall be assumed to be -5.5dBi in case of smartphone in FR1-NTN, the UE is assumed to be a full duplex UE, and at least 2Rx are considered at the UE</w:t>
            </w:r>
          </w:p>
          <w:p w14:paraId="20F8099B" w14:textId="77777777" w:rsidR="008E3090"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NGSO to be considered in priority: LEO Set-1 @ 600 km</w:t>
            </w:r>
          </w:p>
          <w:p w14:paraId="3F5AE005" w14:textId="2E1EBF30" w:rsidR="008F4466" w:rsidRPr="008E3090" w:rsidRDefault="008E3090" w:rsidP="008E3090">
            <w:pPr>
              <w:widowControl w:val="0"/>
              <w:numPr>
                <w:ilvl w:val="1"/>
                <w:numId w:val="11"/>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Rel-18 network energy saving techniques should be considered as baseline in the system level study</w:t>
            </w:r>
          </w:p>
        </w:tc>
      </w:tr>
    </w:tbl>
    <w:p w14:paraId="66CEE32F" w14:textId="447C1B16" w:rsidR="00F00A10" w:rsidRPr="00F97E01" w:rsidRDefault="00C702D5" w:rsidP="00DB3A55">
      <w:pPr>
        <w:spacing w:before="240"/>
        <w:rPr>
          <w:lang w:eastAsia="ko-KR"/>
        </w:rPr>
      </w:pPr>
      <w:r>
        <w:t xml:space="preserve">In this contribution, we </w:t>
      </w:r>
      <w:r w:rsidR="00026A05">
        <w:t xml:space="preserve">continue to </w:t>
      </w:r>
      <w:r w:rsidR="0049282E">
        <w:t>share</w:t>
      </w:r>
      <w:r>
        <w:t xml:space="preserve"> our views on </w:t>
      </w:r>
      <w:r w:rsidR="000C367F">
        <w:t>the potential enhancements from RAN2 perspective</w:t>
      </w:r>
      <w:r>
        <w:t xml:space="preserve">. </w:t>
      </w:r>
    </w:p>
    <w:p w14:paraId="51ABF603" w14:textId="0AB9DEFD" w:rsidR="00DC6A61" w:rsidRDefault="00DC6A61" w:rsidP="00B7538C">
      <w:pPr>
        <w:pStyle w:val="Heading1"/>
      </w:pPr>
      <w:r>
        <w:lastRenderedPageBreak/>
        <w:t>Discussion</w:t>
      </w:r>
    </w:p>
    <w:p w14:paraId="46610A5F" w14:textId="2B022786" w:rsidR="007C1028" w:rsidRDefault="00565769" w:rsidP="007C1028">
      <w:pPr>
        <w:pStyle w:val="Heading2"/>
      </w:pPr>
      <w:r>
        <w:t xml:space="preserve">Cell barring </w:t>
      </w:r>
    </w:p>
    <w:p w14:paraId="13835EC2" w14:textId="4A562D44" w:rsidR="00127762" w:rsidRDefault="009513CE" w:rsidP="00974218">
      <w:pPr>
        <w:rPr>
          <w:lang w:eastAsia="en-US"/>
        </w:rPr>
      </w:pPr>
      <w:r>
        <w:rPr>
          <w:lang w:eastAsia="en-US"/>
        </w:rPr>
        <w:t>According to the updated WID, SSB periodicity extension for Rel-19 NR NTN would be considered for DL coverage enhancement.</w:t>
      </w:r>
      <w:r w:rsidR="005810BF">
        <w:rPr>
          <w:lang w:eastAsia="en-US"/>
        </w:rPr>
        <w:t xml:space="preserve"> </w:t>
      </w:r>
      <w:r>
        <w:rPr>
          <w:lang w:eastAsia="en-US"/>
        </w:rPr>
        <w:t xml:space="preserve">However, such enhancement would cause backward compatibility issue, for which RAN1 is required to analyze. </w:t>
      </w:r>
    </w:p>
    <w:p w14:paraId="6E804E3B" w14:textId="563D6E57" w:rsidR="00250573" w:rsidRDefault="009513CE" w:rsidP="00974218">
      <w:pPr>
        <w:rPr>
          <w:lang w:eastAsia="en-US"/>
        </w:rPr>
      </w:pPr>
      <w:r>
        <w:rPr>
          <w:lang w:eastAsia="en-US"/>
        </w:rPr>
        <w:t>In the last meeting, RAN2 has also agreed to further discuss the impact to legacy UEs. In our view, if DL coverage enhancement</w:t>
      </w:r>
      <w:r w:rsidR="00565769">
        <w:rPr>
          <w:lang w:eastAsia="en-US"/>
        </w:rPr>
        <w:t xml:space="preserve"> (</w:t>
      </w:r>
      <w:r>
        <w:rPr>
          <w:lang w:eastAsia="en-US"/>
        </w:rPr>
        <w:t>including potential SSB periodicity extension</w:t>
      </w:r>
      <w:r w:rsidR="00565769">
        <w:rPr>
          <w:lang w:eastAsia="en-US"/>
        </w:rPr>
        <w:t>)</w:t>
      </w:r>
      <w:r>
        <w:rPr>
          <w:lang w:eastAsia="en-US"/>
        </w:rPr>
        <w:t xml:space="preserve"> has any impacts to legacy UE’s operation,</w:t>
      </w:r>
      <w:r w:rsidR="00127762">
        <w:rPr>
          <w:lang w:eastAsia="en-US"/>
        </w:rPr>
        <w:t xml:space="preserve"> to ensure normal operation for legacy UE it can be isolated </w:t>
      </w:r>
      <w:r w:rsidR="00473319">
        <w:rPr>
          <w:lang w:eastAsia="en-US"/>
        </w:rPr>
        <w:t>in</w:t>
      </w:r>
      <w:r w:rsidR="00127762">
        <w:rPr>
          <w:lang w:eastAsia="en-US"/>
        </w:rPr>
        <w:t xml:space="preserve"> legacy cells. A</w:t>
      </w:r>
      <w:r>
        <w:rPr>
          <w:lang w:eastAsia="en-US"/>
        </w:rPr>
        <w:t xml:space="preserve">ccording to the current NTN cell barring procedure, by using the legacy NTN bar bit UE can be barred </w:t>
      </w:r>
      <w:r w:rsidR="00D04CD1">
        <w:rPr>
          <w:lang w:eastAsia="en-US"/>
        </w:rPr>
        <w:t xml:space="preserve">from </w:t>
      </w:r>
      <w:r>
        <w:rPr>
          <w:lang w:eastAsia="en-US"/>
        </w:rPr>
        <w:t xml:space="preserve">accessing a cell operating with such enhancement. </w:t>
      </w:r>
    </w:p>
    <w:p w14:paraId="68CE40E1" w14:textId="638560C9" w:rsidR="009513CE" w:rsidRDefault="009513CE" w:rsidP="00974218">
      <w:pPr>
        <w:rPr>
          <w:lang w:eastAsia="en-US"/>
        </w:rPr>
      </w:pPr>
      <w:r w:rsidRPr="009513CE">
        <w:rPr>
          <w:noProof/>
          <w:lang w:eastAsia="en-US"/>
        </w:rPr>
        <w:drawing>
          <wp:inline distT="0" distB="0" distL="0" distR="0" wp14:anchorId="0EDEF6E8" wp14:editId="766DA3C2">
            <wp:extent cx="4671391" cy="277347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3447" cy="2786566"/>
                    </a:xfrm>
                    <a:prstGeom prst="rect">
                      <a:avLst/>
                    </a:prstGeom>
                  </pic:spPr>
                </pic:pic>
              </a:graphicData>
            </a:graphic>
          </wp:inline>
        </w:drawing>
      </w:r>
    </w:p>
    <w:p w14:paraId="750DD6EA" w14:textId="03323772" w:rsidR="005810BF" w:rsidRPr="00605CF7" w:rsidRDefault="005810BF" w:rsidP="00974218">
      <w:pPr>
        <w:rPr>
          <w:b/>
          <w:lang w:eastAsia="en-US"/>
        </w:rPr>
      </w:pPr>
      <w:r w:rsidRPr="00605CF7">
        <w:rPr>
          <w:b/>
          <w:lang w:eastAsia="en-US"/>
        </w:rPr>
        <w:t>Proposal 1:</w:t>
      </w:r>
      <w:r w:rsidR="009513CE">
        <w:rPr>
          <w:b/>
          <w:lang w:eastAsia="en-US"/>
        </w:rPr>
        <w:t xml:space="preserve"> </w:t>
      </w:r>
      <w:r w:rsidR="00D04CD1">
        <w:rPr>
          <w:b/>
          <w:lang w:eastAsia="en-US"/>
        </w:rPr>
        <w:t>T</w:t>
      </w:r>
      <w:r w:rsidR="00565769">
        <w:rPr>
          <w:b/>
          <w:lang w:eastAsia="en-US"/>
        </w:rPr>
        <w:t>h</w:t>
      </w:r>
      <w:r w:rsidR="009513CE">
        <w:rPr>
          <w:b/>
          <w:lang w:eastAsia="en-US"/>
        </w:rPr>
        <w:t>e existing</w:t>
      </w:r>
      <w:r w:rsidR="009513CE" w:rsidRPr="009513CE">
        <w:rPr>
          <w:b/>
          <w:lang w:eastAsia="en-US"/>
        </w:rPr>
        <w:t xml:space="preserve"> NTN bar bit</w:t>
      </w:r>
      <w:r w:rsidR="009513CE">
        <w:rPr>
          <w:b/>
          <w:lang w:eastAsia="en-US"/>
        </w:rPr>
        <w:t xml:space="preserve"> </w:t>
      </w:r>
      <w:r w:rsidR="00D04CD1">
        <w:rPr>
          <w:b/>
          <w:lang w:eastAsia="en-US"/>
        </w:rPr>
        <w:t>can be</w:t>
      </w:r>
      <w:r w:rsidR="009513CE">
        <w:rPr>
          <w:b/>
          <w:lang w:eastAsia="en-US"/>
        </w:rPr>
        <w:t xml:space="preserve"> used to bar legacy UE </w:t>
      </w:r>
      <w:r w:rsidR="00D04CD1">
        <w:rPr>
          <w:b/>
          <w:lang w:eastAsia="en-US"/>
        </w:rPr>
        <w:t xml:space="preserve">from </w:t>
      </w:r>
      <w:r w:rsidR="009513CE">
        <w:rPr>
          <w:b/>
          <w:lang w:eastAsia="en-US"/>
        </w:rPr>
        <w:t xml:space="preserve">accessing </w:t>
      </w:r>
      <w:r w:rsidR="009513CE" w:rsidRPr="009513CE">
        <w:rPr>
          <w:b/>
          <w:lang w:eastAsia="en-US"/>
        </w:rPr>
        <w:t xml:space="preserve">a cell operating with </w:t>
      </w:r>
      <w:r w:rsidR="009513CE">
        <w:rPr>
          <w:b/>
          <w:lang w:eastAsia="en-US"/>
        </w:rPr>
        <w:t>DL coverage</w:t>
      </w:r>
      <w:r w:rsidR="009513CE" w:rsidRPr="009513CE">
        <w:rPr>
          <w:b/>
          <w:lang w:eastAsia="en-US"/>
        </w:rPr>
        <w:t xml:space="preserve"> enhancement</w:t>
      </w:r>
      <w:r w:rsidR="005933DF" w:rsidRPr="00605CF7">
        <w:rPr>
          <w:b/>
          <w:lang w:eastAsia="en-US"/>
        </w:rPr>
        <w:t xml:space="preserve">. </w:t>
      </w:r>
    </w:p>
    <w:p w14:paraId="5AC64D07" w14:textId="6248B5E1" w:rsidR="00A87B08" w:rsidRPr="00565769" w:rsidRDefault="00565769" w:rsidP="00744626">
      <w:pPr>
        <w:rPr>
          <w:lang w:eastAsia="en-US"/>
        </w:rPr>
      </w:pPr>
      <w:r>
        <w:rPr>
          <w:lang w:eastAsia="en-US"/>
        </w:rPr>
        <w:t>For a cell operating with DL coverage enhancement, the existing bar bit is used to bar legacy UEs, and a new bar bit is needed to indicate the barring for a UE supporting DL coverage enhancement. UE supporting DL coverage enhancement reads the new bar bit to determine if an NTN cell is barred or not.</w:t>
      </w:r>
    </w:p>
    <w:p w14:paraId="1617359D" w14:textId="0EBE25E0" w:rsidR="00744626" w:rsidRDefault="005810BF" w:rsidP="00744626">
      <w:pPr>
        <w:rPr>
          <w:b/>
          <w:lang w:eastAsia="en-US"/>
        </w:rPr>
      </w:pPr>
      <w:r w:rsidRPr="00605CF7">
        <w:rPr>
          <w:b/>
          <w:lang w:eastAsia="en-US"/>
        </w:rPr>
        <w:t xml:space="preserve">Proposal 2: </w:t>
      </w:r>
      <w:r w:rsidR="00D04CD1">
        <w:rPr>
          <w:b/>
          <w:lang w:eastAsia="en-US"/>
        </w:rPr>
        <w:t xml:space="preserve">Consider to </w:t>
      </w:r>
      <w:r w:rsidR="00565769">
        <w:rPr>
          <w:b/>
          <w:lang w:eastAsia="en-US"/>
        </w:rPr>
        <w:t xml:space="preserve">introduce a new bar bit </w:t>
      </w:r>
      <w:r w:rsidR="00565769" w:rsidRPr="00565769">
        <w:rPr>
          <w:b/>
          <w:lang w:eastAsia="en-US"/>
        </w:rPr>
        <w:t xml:space="preserve">indicate the barring </w:t>
      </w:r>
      <w:r w:rsidR="00565769">
        <w:rPr>
          <w:b/>
          <w:lang w:eastAsia="en-US"/>
        </w:rPr>
        <w:t>for UE supporting DL coverage enhancement</w:t>
      </w:r>
      <w:r w:rsidR="00605CF7" w:rsidRPr="00605CF7">
        <w:rPr>
          <w:b/>
          <w:lang w:eastAsia="en-US"/>
        </w:rPr>
        <w:t>.</w:t>
      </w:r>
    </w:p>
    <w:p w14:paraId="1796ED6C" w14:textId="0068D8CD" w:rsidR="00FE7FA8" w:rsidRDefault="00FE7FA8" w:rsidP="00FE7FA8">
      <w:pPr>
        <w:pStyle w:val="Heading2"/>
      </w:pPr>
      <w:r>
        <w:t>DTX/DRX</w:t>
      </w:r>
    </w:p>
    <w:p w14:paraId="1493B48A" w14:textId="497A4B15" w:rsidR="00D57528" w:rsidRDefault="00D57528" w:rsidP="00D57528">
      <w:pPr>
        <w:rPr>
          <w:szCs w:val="20"/>
          <w:lang w:eastAsia="en-US"/>
        </w:rPr>
      </w:pPr>
      <w:r>
        <w:rPr>
          <w:szCs w:val="20"/>
          <w:lang w:eastAsia="en-US"/>
        </w:rPr>
        <w:t xml:space="preserve">Based on the WID, Rel-19 DL coverage enhancement considers the scenario of beam hopping where only a limited number of satellite beams are illuminated </w:t>
      </w:r>
      <w:r w:rsidR="00F66C9D">
        <w:rPr>
          <w:szCs w:val="20"/>
          <w:lang w:eastAsia="en-US"/>
        </w:rPr>
        <w:t xml:space="preserve">at a certain time </w:t>
      </w:r>
      <w:r>
        <w:rPr>
          <w:szCs w:val="20"/>
          <w:lang w:eastAsia="en-US"/>
        </w:rPr>
        <w:t>due to power sharing. B</w:t>
      </w:r>
      <w:proofErr w:type="spellStart"/>
      <w:r>
        <w:rPr>
          <w:lang w:val="en-GB" w:eastAsia="en-US"/>
        </w:rPr>
        <w:t>eams</w:t>
      </w:r>
      <w:proofErr w:type="spellEnd"/>
      <w:r>
        <w:rPr>
          <w:lang w:val="en-GB" w:eastAsia="en-US"/>
        </w:rPr>
        <w:t xml:space="preserve"> of different states (e.g., active beam, inactive beam</w:t>
      </w:r>
      <w:r w:rsidR="00504FCC">
        <w:rPr>
          <w:lang w:val="en-GB" w:eastAsia="en-US"/>
        </w:rPr>
        <w:t>, etc.</w:t>
      </w:r>
      <w:r>
        <w:rPr>
          <w:lang w:val="en-GB" w:eastAsia="en-US"/>
        </w:rPr>
        <w:t xml:space="preserve">) </w:t>
      </w:r>
      <w:r>
        <w:rPr>
          <w:szCs w:val="20"/>
          <w:lang w:eastAsia="en-US"/>
        </w:rPr>
        <w:t xml:space="preserve">are considered in terms of time and coverage area. </w:t>
      </w:r>
      <w:r>
        <w:rPr>
          <w:lang w:val="en-GB" w:eastAsia="en-US"/>
        </w:rPr>
        <w:t>In the last meeting, we have sent a LS to RAN1 asking whether different</w:t>
      </w:r>
      <w:r w:rsidR="00F66C9D">
        <w:rPr>
          <w:lang w:val="en-GB" w:eastAsia="en-US"/>
        </w:rPr>
        <w:t xml:space="preserve"> NR</w:t>
      </w:r>
      <w:r>
        <w:rPr>
          <w:lang w:val="en-GB" w:eastAsia="en-US"/>
        </w:rPr>
        <w:t xml:space="preserve"> beams in a cell can be in the same state or different states at a certain time.</w:t>
      </w:r>
    </w:p>
    <w:p w14:paraId="2495D719" w14:textId="488D294F" w:rsidR="000403C6" w:rsidRDefault="00955EC6" w:rsidP="00FE7FA8">
      <w:pPr>
        <w:rPr>
          <w:lang w:val="en-GB" w:eastAsia="en-US"/>
        </w:rPr>
      </w:pPr>
      <w:r>
        <w:rPr>
          <w:szCs w:val="20"/>
          <w:lang w:eastAsia="en-US"/>
        </w:rPr>
        <w:t>For power saving purpose</w:t>
      </w:r>
      <w:r w:rsidR="00D57528">
        <w:rPr>
          <w:szCs w:val="20"/>
          <w:lang w:eastAsia="en-US"/>
        </w:rPr>
        <w:t xml:space="preserve">, it </w:t>
      </w:r>
      <w:r w:rsidR="00AF5FF0">
        <w:rPr>
          <w:szCs w:val="20"/>
          <w:lang w:eastAsia="en-US"/>
        </w:rPr>
        <w:t>is</w:t>
      </w:r>
      <w:r w:rsidR="00D57528">
        <w:rPr>
          <w:szCs w:val="20"/>
          <w:lang w:eastAsia="en-US"/>
        </w:rPr>
        <w:t xml:space="preserve"> be beneficial to inform UE the </w:t>
      </w:r>
      <w:r>
        <w:rPr>
          <w:szCs w:val="20"/>
          <w:lang w:eastAsia="en-US"/>
        </w:rPr>
        <w:t xml:space="preserve">beam </w:t>
      </w:r>
      <w:r w:rsidR="00D57528">
        <w:rPr>
          <w:szCs w:val="20"/>
          <w:lang w:eastAsia="en-US"/>
        </w:rPr>
        <w:t xml:space="preserve">pattern and </w:t>
      </w:r>
      <w:r>
        <w:rPr>
          <w:szCs w:val="20"/>
          <w:lang w:eastAsia="en-US"/>
        </w:rPr>
        <w:t>specify</w:t>
      </w:r>
      <w:r w:rsidR="00D57528">
        <w:rPr>
          <w:szCs w:val="20"/>
          <w:lang w:eastAsia="en-US"/>
        </w:rPr>
        <w:t xml:space="preserve"> UE behavior </w:t>
      </w:r>
      <w:r w:rsidR="00F66C9D">
        <w:rPr>
          <w:szCs w:val="20"/>
          <w:lang w:eastAsia="en-US"/>
        </w:rPr>
        <w:t>for</w:t>
      </w:r>
      <w:r w:rsidR="00D57528">
        <w:rPr>
          <w:szCs w:val="20"/>
          <w:lang w:eastAsia="en-US"/>
        </w:rPr>
        <w:t xml:space="preserve"> different </w:t>
      </w:r>
      <w:r>
        <w:rPr>
          <w:szCs w:val="20"/>
          <w:lang w:eastAsia="en-US"/>
        </w:rPr>
        <w:t xml:space="preserve">beam </w:t>
      </w:r>
      <w:r w:rsidR="00D57528">
        <w:rPr>
          <w:szCs w:val="20"/>
          <w:lang w:eastAsia="en-US"/>
        </w:rPr>
        <w:t xml:space="preserve">states. </w:t>
      </w:r>
      <w:r w:rsidR="00D57528">
        <w:rPr>
          <w:lang w:val="en-GB" w:eastAsia="en-US"/>
        </w:rPr>
        <w:t>If all beams in a cell are in the same state</w:t>
      </w:r>
      <w:r>
        <w:rPr>
          <w:lang w:val="en-GB" w:eastAsia="en-US"/>
        </w:rPr>
        <w:t xml:space="preserve"> at any time</w:t>
      </w:r>
      <w:r w:rsidR="00D57528">
        <w:rPr>
          <w:lang w:val="en-GB" w:eastAsia="en-US"/>
        </w:rPr>
        <w:t xml:space="preserve">, </w:t>
      </w:r>
      <w:r>
        <w:rPr>
          <w:lang w:val="en-GB" w:eastAsia="en-US"/>
        </w:rPr>
        <w:t xml:space="preserve">cell-level DTX/DRX pattern can be considered with Rel-18 NES cell DTX/DRX as a baseline. If beams in a cell can be in different states at </w:t>
      </w:r>
      <w:r w:rsidR="000403C6">
        <w:rPr>
          <w:lang w:val="en-GB" w:eastAsia="en-US"/>
        </w:rPr>
        <w:t>any</w:t>
      </w:r>
      <w:r>
        <w:rPr>
          <w:lang w:val="en-GB" w:eastAsia="en-US"/>
        </w:rPr>
        <w:t xml:space="preserve"> time</w:t>
      </w:r>
      <w:r w:rsidR="000403C6">
        <w:rPr>
          <w:lang w:val="en-GB" w:eastAsia="en-US"/>
        </w:rPr>
        <w:t xml:space="preserve"> (as shown in Figure below)</w:t>
      </w:r>
      <w:r>
        <w:rPr>
          <w:lang w:val="en-GB" w:eastAsia="en-US"/>
        </w:rPr>
        <w:t xml:space="preserve">, UEs under </w:t>
      </w:r>
      <w:r w:rsidR="000403C6">
        <w:rPr>
          <w:lang w:val="en-GB" w:eastAsia="en-US"/>
        </w:rPr>
        <w:t xml:space="preserve">different </w:t>
      </w:r>
      <w:r>
        <w:rPr>
          <w:lang w:val="en-GB" w:eastAsia="en-US"/>
        </w:rPr>
        <w:t>beam</w:t>
      </w:r>
      <w:r w:rsidR="000403C6">
        <w:rPr>
          <w:lang w:val="en-GB" w:eastAsia="en-US"/>
        </w:rPr>
        <w:t xml:space="preserve"> states</w:t>
      </w:r>
      <w:r>
        <w:rPr>
          <w:lang w:val="en-GB" w:eastAsia="en-US"/>
        </w:rPr>
        <w:t xml:space="preserve"> </w:t>
      </w:r>
      <w:r w:rsidR="000403C6">
        <w:rPr>
          <w:lang w:val="en-GB" w:eastAsia="en-US"/>
        </w:rPr>
        <w:t>can perform</w:t>
      </w:r>
      <w:r>
        <w:rPr>
          <w:lang w:val="en-GB" w:eastAsia="en-US"/>
        </w:rPr>
        <w:t xml:space="preserve"> different operations. </w:t>
      </w:r>
    </w:p>
    <w:p w14:paraId="46530C6B" w14:textId="7B1049B9" w:rsidR="000403C6" w:rsidRDefault="000403C6" w:rsidP="000403C6">
      <w:pPr>
        <w:jc w:val="center"/>
        <w:rPr>
          <w:lang w:val="en-GB" w:eastAsia="en-US"/>
        </w:rPr>
      </w:pPr>
      <w:r>
        <w:rPr>
          <w:noProof/>
          <w:szCs w:val="20"/>
          <w:lang w:eastAsia="en-US"/>
        </w:rPr>
        <w:lastRenderedPageBreak/>
        <w:drawing>
          <wp:inline distT="0" distB="0" distL="0" distR="0" wp14:anchorId="3AE92AC7" wp14:editId="059DA4D1">
            <wp:extent cx="3194463" cy="157216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0238" cy="1584848"/>
                    </a:xfrm>
                    <a:prstGeom prst="rect">
                      <a:avLst/>
                    </a:prstGeom>
                    <a:noFill/>
                  </pic:spPr>
                </pic:pic>
              </a:graphicData>
            </a:graphic>
          </wp:inline>
        </w:drawing>
      </w:r>
    </w:p>
    <w:p w14:paraId="5151D317" w14:textId="30F6E90E" w:rsidR="00FE7FA8" w:rsidRDefault="000403C6" w:rsidP="00FE7FA8">
      <w:pPr>
        <w:rPr>
          <w:lang w:val="en-GB" w:eastAsia="en-US"/>
        </w:rPr>
      </w:pPr>
      <w:r>
        <w:rPr>
          <w:lang w:val="en-GB" w:eastAsia="en-US"/>
        </w:rPr>
        <w:t>In this scenario</w:t>
      </w:r>
      <w:r w:rsidR="00955EC6">
        <w:rPr>
          <w:lang w:val="en-GB" w:eastAsia="en-US"/>
        </w:rPr>
        <w:t>, beam-level DTX/DRX pattern can be considered. UE can be configured with multiple DTX/DRX patterns and dynamically activated with a pattern by NW indication.</w:t>
      </w:r>
    </w:p>
    <w:p w14:paraId="2727316D" w14:textId="297578CF" w:rsidR="00955EC6" w:rsidRPr="00955EC6" w:rsidRDefault="00955EC6" w:rsidP="00FE7FA8">
      <w:pPr>
        <w:rPr>
          <w:b/>
          <w:lang w:val="en-GB" w:eastAsia="en-US"/>
        </w:rPr>
      </w:pPr>
      <w:r w:rsidRPr="00955EC6">
        <w:rPr>
          <w:b/>
          <w:lang w:val="en-GB" w:eastAsia="en-US"/>
        </w:rPr>
        <w:t>Proposal 3: If beams in a cell are in the same state at any time, cell DTX/DRX pattern can be considered</w:t>
      </w:r>
      <w:r w:rsidR="000403C6">
        <w:rPr>
          <w:b/>
          <w:lang w:val="en-GB" w:eastAsia="en-US"/>
        </w:rPr>
        <w:t>,</w:t>
      </w:r>
      <w:r w:rsidRPr="00955EC6">
        <w:rPr>
          <w:b/>
          <w:lang w:val="en-GB" w:eastAsia="en-US"/>
        </w:rPr>
        <w:t xml:space="preserve"> with Rel-18 NES cell DTX/DRX as a baseline.</w:t>
      </w:r>
    </w:p>
    <w:p w14:paraId="243E937B" w14:textId="3BB3493C" w:rsidR="00955EC6" w:rsidRPr="00955EC6" w:rsidRDefault="00955EC6" w:rsidP="00FE7FA8">
      <w:pPr>
        <w:rPr>
          <w:b/>
          <w:lang w:val="en-GB" w:eastAsia="en-US"/>
        </w:rPr>
      </w:pPr>
      <w:r w:rsidRPr="00955EC6">
        <w:rPr>
          <w:b/>
          <w:lang w:val="en-GB" w:eastAsia="en-US"/>
        </w:rPr>
        <w:t xml:space="preserve">Proposal 4: If beams in a cell can be in different states at </w:t>
      </w:r>
      <w:r w:rsidR="000403C6">
        <w:rPr>
          <w:b/>
          <w:lang w:val="en-GB" w:eastAsia="en-US"/>
        </w:rPr>
        <w:t>any</w:t>
      </w:r>
      <w:r w:rsidRPr="00955EC6">
        <w:rPr>
          <w:b/>
          <w:lang w:val="en-GB" w:eastAsia="en-US"/>
        </w:rPr>
        <w:t xml:space="preserve"> time, </w:t>
      </w:r>
      <w:r w:rsidR="000B42F0">
        <w:rPr>
          <w:b/>
          <w:lang w:val="en-GB" w:eastAsia="en-US"/>
        </w:rPr>
        <w:t xml:space="preserve">consider to support configuration of </w:t>
      </w:r>
      <w:r w:rsidRPr="00955EC6">
        <w:rPr>
          <w:b/>
          <w:lang w:val="en-GB" w:eastAsia="en-US"/>
        </w:rPr>
        <w:t>multiple DTX/DRX pattern</w:t>
      </w:r>
      <w:r w:rsidR="000B42F0">
        <w:rPr>
          <w:b/>
          <w:lang w:val="en-GB" w:eastAsia="en-US"/>
        </w:rPr>
        <w:t xml:space="preserve">s </w:t>
      </w:r>
      <w:r w:rsidRPr="00955EC6">
        <w:rPr>
          <w:b/>
          <w:lang w:val="en-GB" w:eastAsia="en-US"/>
        </w:rPr>
        <w:t>and dynamical activat</w:t>
      </w:r>
      <w:r>
        <w:rPr>
          <w:b/>
          <w:lang w:val="en-GB" w:eastAsia="en-US"/>
        </w:rPr>
        <w:t>ion</w:t>
      </w:r>
      <w:r w:rsidR="000B42F0">
        <w:rPr>
          <w:b/>
          <w:lang w:val="en-GB" w:eastAsia="en-US"/>
        </w:rPr>
        <w:t xml:space="preserve"> by </w:t>
      </w:r>
      <w:r w:rsidR="000403C6">
        <w:rPr>
          <w:b/>
          <w:lang w:val="en-GB" w:eastAsia="en-US"/>
        </w:rPr>
        <w:t>NW indication</w:t>
      </w:r>
      <w:r w:rsidRPr="00955EC6">
        <w:rPr>
          <w:b/>
          <w:lang w:val="en-GB" w:eastAsia="en-US"/>
        </w:rPr>
        <w:t>.</w:t>
      </w:r>
    </w:p>
    <w:p w14:paraId="07043572" w14:textId="77777777" w:rsidR="00955EC6" w:rsidRPr="00FE7FA8" w:rsidRDefault="00955EC6" w:rsidP="00FE7FA8">
      <w:pPr>
        <w:rPr>
          <w:lang w:val="en-GB" w:eastAsia="en-US"/>
        </w:rPr>
      </w:pPr>
    </w:p>
    <w:p w14:paraId="5FF2457F" w14:textId="72E1A9E3" w:rsidR="00A209D6" w:rsidRPr="006E13D1" w:rsidRDefault="008C3057" w:rsidP="003F11FC">
      <w:pPr>
        <w:pStyle w:val="Heading1"/>
        <w:jc w:val="both"/>
      </w:pPr>
      <w:r>
        <w:t>Conclusion</w:t>
      </w:r>
    </w:p>
    <w:p w14:paraId="6B206649" w14:textId="2EE71C8E"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1636F30E" w14:textId="10166454" w:rsidR="000B42F0" w:rsidRDefault="00AF5FF0" w:rsidP="00155053">
      <w:pPr>
        <w:jc w:val="both"/>
        <w:rPr>
          <w:b/>
          <w:lang w:eastAsia="en-US"/>
        </w:rPr>
      </w:pPr>
      <w:r w:rsidRPr="00605CF7">
        <w:rPr>
          <w:b/>
          <w:lang w:eastAsia="en-US"/>
        </w:rPr>
        <w:t>Proposal 1:</w:t>
      </w:r>
      <w:r>
        <w:rPr>
          <w:b/>
          <w:lang w:eastAsia="en-US"/>
        </w:rPr>
        <w:t xml:space="preserve"> The existing</w:t>
      </w:r>
      <w:r w:rsidRPr="009513CE">
        <w:rPr>
          <w:b/>
          <w:lang w:eastAsia="en-US"/>
        </w:rPr>
        <w:t xml:space="preserve"> NTN bar bit</w:t>
      </w:r>
      <w:r>
        <w:rPr>
          <w:b/>
          <w:lang w:eastAsia="en-US"/>
        </w:rPr>
        <w:t xml:space="preserve"> can be used to bar legacy UE from accessing </w:t>
      </w:r>
      <w:r w:rsidRPr="009513CE">
        <w:rPr>
          <w:b/>
          <w:lang w:eastAsia="en-US"/>
        </w:rPr>
        <w:t xml:space="preserve">a cell operating with </w:t>
      </w:r>
      <w:r>
        <w:rPr>
          <w:b/>
          <w:lang w:eastAsia="en-US"/>
        </w:rPr>
        <w:t>DL coverage</w:t>
      </w:r>
      <w:r w:rsidRPr="009513CE">
        <w:rPr>
          <w:b/>
          <w:lang w:eastAsia="en-US"/>
        </w:rPr>
        <w:t xml:space="preserve"> enhancement</w:t>
      </w:r>
      <w:r w:rsidRPr="00605CF7">
        <w:rPr>
          <w:b/>
          <w:lang w:eastAsia="en-US"/>
        </w:rPr>
        <w:t>.</w:t>
      </w:r>
    </w:p>
    <w:p w14:paraId="4613A3FC" w14:textId="5BEFAA74" w:rsidR="00AF5FF0" w:rsidRDefault="00AF5FF0" w:rsidP="00155053">
      <w:pPr>
        <w:jc w:val="both"/>
        <w:rPr>
          <w:b/>
          <w:lang w:eastAsia="en-US"/>
        </w:rPr>
      </w:pPr>
      <w:r w:rsidRPr="00605CF7">
        <w:rPr>
          <w:b/>
          <w:lang w:eastAsia="en-US"/>
        </w:rPr>
        <w:t xml:space="preserve">Proposal 2: </w:t>
      </w:r>
      <w:r>
        <w:rPr>
          <w:b/>
          <w:lang w:eastAsia="en-US"/>
        </w:rPr>
        <w:t xml:space="preserve">Consider to introduce a new bar bit </w:t>
      </w:r>
      <w:r w:rsidRPr="00565769">
        <w:rPr>
          <w:b/>
          <w:lang w:eastAsia="en-US"/>
        </w:rPr>
        <w:t xml:space="preserve">indicate the barring </w:t>
      </w:r>
      <w:r>
        <w:rPr>
          <w:b/>
          <w:lang w:eastAsia="en-US"/>
        </w:rPr>
        <w:t>for UE supporting DL coverage enhancement</w:t>
      </w:r>
      <w:r w:rsidRPr="00605CF7">
        <w:rPr>
          <w:b/>
          <w:lang w:eastAsia="en-US"/>
        </w:rPr>
        <w:t>.</w:t>
      </w:r>
    </w:p>
    <w:p w14:paraId="146B1390" w14:textId="11B2CFC3" w:rsidR="00AF5FF0" w:rsidRDefault="00AF5FF0" w:rsidP="00155053">
      <w:pPr>
        <w:jc w:val="both"/>
        <w:rPr>
          <w:b/>
          <w:lang w:val="en-GB" w:eastAsia="en-US"/>
        </w:rPr>
      </w:pPr>
      <w:r w:rsidRPr="00955EC6">
        <w:rPr>
          <w:b/>
          <w:lang w:val="en-GB" w:eastAsia="en-US"/>
        </w:rPr>
        <w:t>Proposal 3: If beams in a cell are in the same state at any time, cell DTX/DRX pattern can be considered</w:t>
      </w:r>
      <w:r>
        <w:rPr>
          <w:b/>
          <w:lang w:val="en-GB" w:eastAsia="en-US"/>
        </w:rPr>
        <w:t>,</w:t>
      </w:r>
      <w:r w:rsidRPr="00955EC6">
        <w:rPr>
          <w:b/>
          <w:lang w:val="en-GB" w:eastAsia="en-US"/>
        </w:rPr>
        <w:t xml:space="preserve"> with Rel-18 NES cell DTX/DRX as a baseline.</w:t>
      </w:r>
    </w:p>
    <w:p w14:paraId="13D91953" w14:textId="1973C1FF" w:rsidR="00AF5FF0" w:rsidRDefault="00AF5FF0" w:rsidP="00155053">
      <w:pPr>
        <w:jc w:val="both"/>
        <w:rPr>
          <w:b/>
        </w:rPr>
      </w:pPr>
      <w:r w:rsidRPr="00955EC6">
        <w:rPr>
          <w:b/>
          <w:lang w:val="en-GB" w:eastAsia="en-US"/>
        </w:rPr>
        <w:t xml:space="preserve">Proposal 4: If beams in a cell can be in different states at </w:t>
      </w:r>
      <w:r>
        <w:rPr>
          <w:b/>
          <w:lang w:val="en-GB" w:eastAsia="en-US"/>
        </w:rPr>
        <w:t>any</w:t>
      </w:r>
      <w:r w:rsidRPr="00955EC6">
        <w:rPr>
          <w:b/>
          <w:lang w:val="en-GB" w:eastAsia="en-US"/>
        </w:rPr>
        <w:t xml:space="preserve"> time, </w:t>
      </w:r>
      <w:r>
        <w:rPr>
          <w:b/>
          <w:lang w:val="en-GB" w:eastAsia="en-US"/>
        </w:rPr>
        <w:t xml:space="preserve">consider to support configuration of </w:t>
      </w:r>
      <w:r w:rsidRPr="00955EC6">
        <w:rPr>
          <w:b/>
          <w:lang w:val="en-GB" w:eastAsia="en-US"/>
        </w:rPr>
        <w:t>multiple DTX/DRX pattern</w:t>
      </w:r>
      <w:r>
        <w:rPr>
          <w:b/>
          <w:lang w:val="en-GB" w:eastAsia="en-US"/>
        </w:rPr>
        <w:t xml:space="preserve">s </w:t>
      </w:r>
      <w:r w:rsidRPr="00955EC6">
        <w:rPr>
          <w:b/>
          <w:lang w:val="en-GB" w:eastAsia="en-US"/>
        </w:rPr>
        <w:t>and dynamical activat</w:t>
      </w:r>
      <w:r>
        <w:rPr>
          <w:b/>
          <w:lang w:val="en-GB" w:eastAsia="en-US"/>
        </w:rPr>
        <w:t>ion by NW indication</w:t>
      </w:r>
      <w:r w:rsidRPr="00955EC6">
        <w:rPr>
          <w:b/>
          <w:lang w:val="en-GB" w:eastAsia="en-US"/>
        </w:rPr>
        <w:t>.</w:t>
      </w:r>
    </w:p>
    <w:p w14:paraId="6408D72B" w14:textId="59651DF4" w:rsidR="0083484D" w:rsidRPr="00FF7C4E" w:rsidRDefault="00051DF8" w:rsidP="0083484D">
      <w:pPr>
        <w:pStyle w:val="Heading1"/>
      </w:pPr>
      <w:r>
        <w:t>Reference</w:t>
      </w:r>
      <w:r w:rsidR="0083484D" w:rsidRPr="00001886">
        <w:t xml:space="preserve"> </w:t>
      </w:r>
    </w:p>
    <w:p w14:paraId="69C535A8" w14:textId="1FFD44F1" w:rsidR="00D32165" w:rsidRPr="0043796F" w:rsidRDefault="00A749AA" w:rsidP="0043796F">
      <w:pPr>
        <w:pStyle w:val="references"/>
        <w:spacing w:line="240" w:lineRule="auto"/>
        <w:rPr>
          <w:rFonts w:ascii="Arial" w:hAnsi="Arial" w:cs="Arial"/>
          <w:szCs w:val="20"/>
        </w:rPr>
      </w:pPr>
      <w:r w:rsidRPr="00A749AA">
        <w:rPr>
          <w:rFonts w:ascii="Arial" w:hAnsi="Arial" w:cs="Arial"/>
          <w:szCs w:val="20"/>
        </w:rPr>
        <w:t>RP-241667</w:t>
      </w:r>
      <w:r w:rsidR="00D32165">
        <w:rPr>
          <w:rFonts w:ascii="Arial" w:hAnsi="Arial" w:cs="Arial"/>
          <w:szCs w:val="20"/>
        </w:rPr>
        <w:t xml:space="preserve">, </w:t>
      </w:r>
      <w:r w:rsidR="0043796F" w:rsidRPr="0043796F">
        <w:rPr>
          <w:rFonts w:ascii="Arial" w:hAnsi="Arial" w:cs="Arial"/>
          <w:szCs w:val="20"/>
        </w:rPr>
        <w:t>Revised WID: Non-Terrestrial Networks (NTN) for NR Phase 3</w:t>
      </w:r>
    </w:p>
    <w:p w14:paraId="7DE0901A" w14:textId="0FB5F107" w:rsidR="009607A6" w:rsidRPr="006E22C3" w:rsidRDefault="00844DD5" w:rsidP="00844DD5">
      <w:pPr>
        <w:pStyle w:val="references"/>
        <w:rPr>
          <w:szCs w:val="20"/>
        </w:rPr>
      </w:pPr>
      <w:r w:rsidRPr="00844DD5">
        <w:rPr>
          <w:rFonts w:ascii="Arial" w:hAnsi="Arial" w:cs="Arial"/>
          <w:szCs w:val="20"/>
        </w:rPr>
        <w:t>3GPP, TS 38.331 v1</w:t>
      </w:r>
      <w:r>
        <w:rPr>
          <w:rFonts w:ascii="Arial" w:hAnsi="Arial" w:cs="Arial"/>
          <w:szCs w:val="20"/>
        </w:rPr>
        <w:t>8</w:t>
      </w:r>
      <w:r w:rsidRPr="00844DD5">
        <w:rPr>
          <w:rFonts w:ascii="Arial" w:hAnsi="Arial" w:cs="Arial"/>
          <w:szCs w:val="20"/>
        </w:rPr>
        <w:t>.</w:t>
      </w:r>
      <w:r w:rsidR="00A749AA">
        <w:rPr>
          <w:rFonts w:ascii="Arial" w:hAnsi="Arial" w:cs="Arial"/>
          <w:szCs w:val="20"/>
        </w:rPr>
        <w:t>2</w:t>
      </w:r>
      <w:r w:rsidRPr="00844DD5">
        <w:rPr>
          <w:rFonts w:ascii="Arial" w:hAnsi="Arial" w:cs="Arial"/>
          <w:szCs w:val="20"/>
        </w:rPr>
        <w:t>.0; Radio Resource Control (RRC); Protocol specification</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3E2A7" w14:textId="77777777" w:rsidR="00241F0D" w:rsidRDefault="00241F0D" w:rsidP="00051DF8">
      <w:r>
        <w:separator/>
      </w:r>
    </w:p>
  </w:endnote>
  <w:endnote w:type="continuationSeparator" w:id="0">
    <w:p w14:paraId="30EEC7F0" w14:textId="77777777" w:rsidR="00241F0D" w:rsidRDefault="00241F0D" w:rsidP="00051DF8">
      <w:r>
        <w:continuationSeparator/>
      </w:r>
    </w:p>
  </w:endnote>
  <w:endnote w:type="continuationNotice" w:id="1">
    <w:p w14:paraId="6463B62F" w14:textId="77777777" w:rsidR="00241F0D" w:rsidRDefault="00241F0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35180" w14:textId="77777777" w:rsidR="00241F0D" w:rsidRDefault="00241F0D" w:rsidP="00051DF8">
      <w:r>
        <w:separator/>
      </w:r>
    </w:p>
  </w:footnote>
  <w:footnote w:type="continuationSeparator" w:id="0">
    <w:p w14:paraId="239C7970" w14:textId="77777777" w:rsidR="00241F0D" w:rsidRDefault="00241F0D" w:rsidP="00051DF8">
      <w:r>
        <w:continuationSeparator/>
      </w:r>
    </w:p>
  </w:footnote>
  <w:footnote w:type="continuationNotice" w:id="1">
    <w:p w14:paraId="18557EF1" w14:textId="77777777" w:rsidR="00241F0D" w:rsidRDefault="00241F0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9"/>
  </w:num>
  <w:num w:numId="6">
    <w:abstractNumId w:val="2"/>
  </w:num>
  <w:num w:numId="7">
    <w:abstractNumId w:val="6"/>
  </w:num>
  <w:num w:numId="8">
    <w:abstractNumId w:val="3"/>
  </w:num>
  <w:num w:numId="9">
    <w:abstractNumId w:val="0"/>
  </w:num>
  <w:num w:numId="10">
    <w:abstractNumId w:val="4"/>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2D2"/>
    <w:rsid w:val="00025377"/>
    <w:rsid w:val="00025423"/>
    <w:rsid w:val="00026A05"/>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377B7"/>
    <w:rsid w:val="00040095"/>
    <w:rsid w:val="000403C6"/>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68"/>
    <w:rsid w:val="00094C6B"/>
    <w:rsid w:val="00095044"/>
    <w:rsid w:val="000974E6"/>
    <w:rsid w:val="000A4C20"/>
    <w:rsid w:val="000A60C3"/>
    <w:rsid w:val="000A627A"/>
    <w:rsid w:val="000B0115"/>
    <w:rsid w:val="000B02F8"/>
    <w:rsid w:val="000B0B40"/>
    <w:rsid w:val="000B0BF3"/>
    <w:rsid w:val="000B0EF0"/>
    <w:rsid w:val="000B1752"/>
    <w:rsid w:val="000B40D8"/>
    <w:rsid w:val="000B42F0"/>
    <w:rsid w:val="000B4877"/>
    <w:rsid w:val="000B6398"/>
    <w:rsid w:val="000B7BCF"/>
    <w:rsid w:val="000C18FE"/>
    <w:rsid w:val="000C259D"/>
    <w:rsid w:val="000C2B2C"/>
    <w:rsid w:val="000C367F"/>
    <w:rsid w:val="000C522B"/>
    <w:rsid w:val="000C5340"/>
    <w:rsid w:val="000D2E51"/>
    <w:rsid w:val="000D3336"/>
    <w:rsid w:val="000D4B95"/>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331E"/>
    <w:rsid w:val="00116E36"/>
    <w:rsid w:val="00117C7C"/>
    <w:rsid w:val="0012049E"/>
    <w:rsid w:val="001209F8"/>
    <w:rsid w:val="0012122E"/>
    <w:rsid w:val="001226A2"/>
    <w:rsid w:val="00123AC6"/>
    <w:rsid w:val="00124DD4"/>
    <w:rsid w:val="0012502C"/>
    <w:rsid w:val="00126400"/>
    <w:rsid w:val="00127762"/>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3E85"/>
    <w:rsid w:val="001A63A7"/>
    <w:rsid w:val="001A6EB8"/>
    <w:rsid w:val="001A7110"/>
    <w:rsid w:val="001A7CD4"/>
    <w:rsid w:val="001B1BDE"/>
    <w:rsid w:val="001B1DB9"/>
    <w:rsid w:val="001B1E91"/>
    <w:rsid w:val="001B1FA7"/>
    <w:rsid w:val="001B3311"/>
    <w:rsid w:val="001B349E"/>
    <w:rsid w:val="001B49C9"/>
    <w:rsid w:val="001B5A48"/>
    <w:rsid w:val="001B63EB"/>
    <w:rsid w:val="001C01FD"/>
    <w:rsid w:val="001C23F4"/>
    <w:rsid w:val="001C3543"/>
    <w:rsid w:val="001C4AC4"/>
    <w:rsid w:val="001C4CEA"/>
    <w:rsid w:val="001C4F79"/>
    <w:rsid w:val="001C77C4"/>
    <w:rsid w:val="001D0C63"/>
    <w:rsid w:val="001D1DAA"/>
    <w:rsid w:val="001D2844"/>
    <w:rsid w:val="001D5E77"/>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1F0D"/>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F0D22"/>
    <w:rsid w:val="002F12A5"/>
    <w:rsid w:val="002F15AA"/>
    <w:rsid w:val="002F244D"/>
    <w:rsid w:val="002F3B06"/>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21A"/>
    <w:rsid w:val="00311B17"/>
    <w:rsid w:val="003133F1"/>
    <w:rsid w:val="00313BD2"/>
    <w:rsid w:val="003172DC"/>
    <w:rsid w:val="003176F1"/>
    <w:rsid w:val="0032086B"/>
    <w:rsid w:val="00320C3A"/>
    <w:rsid w:val="003211D6"/>
    <w:rsid w:val="00323D2C"/>
    <w:rsid w:val="003243BA"/>
    <w:rsid w:val="00324E66"/>
    <w:rsid w:val="00324F4D"/>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3F7E71"/>
    <w:rsid w:val="004006E8"/>
    <w:rsid w:val="00401855"/>
    <w:rsid w:val="0040228D"/>
    <w:rsid w:val="0040451F"/>
    <w:rsid w:val="0040702D"/>
    <w:rsid w:val="004107D7"/>
    <w:rsid w:val="0041304C"/>
    <w:rsid w:val="00413B92"/>
    <w:rsid w:val="00413F2F"/>
    <w:rsid w:val="00414017"/>
    <w:rsid w:val="004141BB"/>
    <w:rsid w:val="0041434A"/>
    <w:rsid w:val="004174EF"/>
    <w:rsid w:val="00417846"/>
    <w:rsid w:val="004202DC"/>
    <w:rsid w:val="004202E2"/>
    <w:rsid w:val="00421DF5"/>
    <w:rsid w:val="0042219C"/>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41ED"/>
    <w:rsid w:val="00454BAD"/>
    <w:rsid w:val="00457432"/>
    <w:rsid w:val="00460A99"/>
    <w:rsid w:val="00461101"/>
    <w:rsid w:val="004624C7"/>
    <w:rsid w:val="00463D4C"/>
    <w:rsid w:val="00465587"/>
    <w:rsid w:val="004657C7"/>
    <w:rsid w:val="00465C07"/>
    <w:rsid w:val="00466E1F"/>
    <w:rsid w:val="0046720C"/>
    <w:rsid w:val="00467A97"/>
    <w:rsid w:val="0047086C"/>
    <w:rsid w:val="00473319"/>
    <w:rsid w:val="00473C72"/>
    <w:rsid w:val="0047489A"/>
    <w:rsid w:val="00474B04"/>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ADA"/>
    <w:rsid w:val="004F4540"/>
    <w:rsid w:val="004F73A7"/>
    <w:rsid w:val="004F7C51"/>
    <w:rsid w:val="004F7EB5"/>
    <w:rsid w:val="00500F69"/>
    <w:rsid w:val="00501D49"/>
    <w:rsid w:val="00502E8D"/>
    <w:rsid w:val="00503171"/>
    <w:rsid w:val="00503CB5"/>
    <w:rsid w:val="00504FCC"/>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25DD"/>
    <w:rsid w:val="005642A1"/>
    <w:rsid w:val="00565087"/>
    <w:rsid w:val="0056573F"/>
    <w:rsid w:val="00565769"/>
    <w:rsid w:val="0056656C"/>
    <w:rsid w:val="00571279"/>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AAB"/>
    <w:rsid w:val="00596097"/>
    <w:rsid w:val="00596B5D"/>
    <w:rsid w:val="0059778B"/>
    <w:rsid w:val="005A1953"/>
    <w:rsid w:val="005A36F1"/>
    <w:rsid w:val="005A4665"/>
    <w:rsid w:val="005A49C6"/>
    <w:rsid w:val="005A4D6D"/>
    <w:rsid w:val="005A68D5"/>
    <w:rsid w:val="005A6CA2"/>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E33C7"/>
    <w:rsid w:val="005F0D6D"/>
    <w:rsid w:val="005F2403"/>
    <w:rsid w:val="005F2F16"/>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054"/>
    <w:rsid w:val="00624813"/>
    <w:rsid w:val="00624C07"/>
    <w:rsid w:val="0062582C"/>
    <w:rsid w:val="00625B0A"/>
    <w:rsid w:val="00626C75"/>
    <w:rsid w:val="00630079"/>
    <w:rsid w:val="006303D8"/>
    <w:rsid w:val="00632396"/>
    <w:rsid w:val="006326D4"/>
    <w:rsid w:val="00632C20"/>
    <w:rsid w:val="006337B1"/>
    <w:rsid w:val="006353F3"/>
    <w:rsid w:val="00635845"/>
    <w:rsid w:val="006366DF"/>
    <w:rsid w:val="00640307"/>
    <w:rsid w:val="00640FCE"/>
    <w:rsid w:val="006416D5"/>
    <w:rsid w:val="00643067"/>
    <w:rsid w:val="00643114"/>
    <w:rsid w:val="0064334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C22"/>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4F59"/>
    <w:rsid w:val="00695261"/>
    <w:rsid w:val="00696821"/>
    <w:rsid w:val="006A1108"/>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6F7E17"/>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AC8"/>
    <w:rsid w:val="007469FD"/>
    <w:rsid w:val="00746A9C"/>
    <w:rsid w:val="00747B6B"/>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8A1"/>
    <w:rsid w:val="007B09F5"/>
    <w:rsid w:val="007B18D8"/>
    <w:rsid w:val="007B20AA"/>
    <w:rsid w:val="007B2202"/>
    <w:rsid w:val="007B2A65"/>
    <w:rsid w:val="007B32DC"/>
    <w:rsid w:val="007B3C9A"/>
    <w:rsid w:val="007B57DE"/>
    <w:rsid w:val="007B7100"/>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ACC"/>
    <w:rsid w:val="007E1392"/>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15CCD"/>
    <w:rsid w:val="00820098"/>
    <w:rsid w:val="00822D7B"/>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4DE1"/>
    <w:rsid w:val="00865EDE"/>
    <w:rsid w:val="00866A0C"/>
    <w:rsid w:val="00870055"/>
    <w:rsid w:val="00870576"/>
    <w:rsid w:val="00870772"/>
    <w:rsid w:val="008732D6"/>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1D6"/>
    <w:rsid w:val="008D6817"/>
    <w:rsid w:val="008E0988"/>
    <w:rsid w:val="008E198F"/>
    <w:rsid w:val="008E1D3C"/>
    <w:rsid w:val="008E3090"/>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3CE"/>
    <w:rsid w:val="0095144D"/>
    <w:rsid w:val="00951780"/>
    <w:rsid w:val="00952941"/>
    <w:rsid w:val="00952D55"/>
    <w:rsid w:val="0095343C"/>
    <w:rsid w:val="00955E64"/>
    <w:rsid w:val="00955EC6"/>
    <w:rsid w:val="00955FB6"/>
    <w:rsid w:val="0095778B"/>
    <w:rsid w:val="009607A6"/>
    <w:rsid w:val="00961525"/>
    <w:rsid w:val="00961B32"/>
    <w:rsid w:val="00962455"/>
    <w:rsid w:val="00962509"/>
    <w:rsid w:val="00965E6D"/>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666"/>
    <w:rsid w:val="00986B60"/>
    <w:rsid w:val="00986FD2"/>
    <w:rsid w:val="0099153D"/>
    <w:rsid w:val="009928A9"/>
    <w:rsid w:val="009932BF"/>
    <w:rsid w:val="00995D8C"/>
    <w:rsid w:val="0099772A"/>
    <w:rsid w:val="00997882"/>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0942"/>
    <w:rsid w:val="009D34DE"/>
    <w:rsid w:val="009D3B87"/>
    <w:rsid w:val="009D5198"/>
    <w:rsid w:val="009D5A5D"/>
    <w:rsid w:val="009D7467"/>
    <w:rsid w:val="009D74A6"/>
    <w:rsid w:val="009E0B98"/>
    <w:rsid w:val="009E0E87"/>
    <w:rsid w:val="009E10EF"/>
    <w:rsid w:val="009E2DC5"/>
    <w:rsid w:val="009E2F4E"/>
    <w:rsid w:val="009E5449"/>
    <w:rsid w:val="009E55AC"/>
    <w:rsid w:val="009E6FD1"/>
    <w:rsid w:val="009E709B"/>
    <w:rsid w:val="009E7EC4"/>
    <w:rsid w:val="009F2CB9"/>
    <w:rsid w:val="009F3043"/>
    <w:rsid w:val="009F445F"/>
    <w:rsid w:val="009F4AE1"/>
    <w:rsid w:val="009F5224"/>
    <w:rsid w:val="00A00170"/>
    <w:rsid w:val="00A0066E"/>
    <w:rsid w:val="00A027CA"/>
    <w:rsid w:val="00A03496"/>
    <w:rsid w:val="00A10516"/>
    <w:rsid w:val="00A10F02"/>
    <w:rsid w:val="00A10F2C"/>
    <w:rsid w:val="00A12E91"/>
    <w:rsid w:val="00A1322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49AA"/>
    <w:rsid w:val="00A75A4F"/>
    <w:rsid w:val="00A76932"/>
    <w:rsid w:val="00A82346"/>
    <w:rsid w:val="00A82C04"/>
    <w:rsid w:val="00A85727"/>
    <w:rsid w:val="00A860CF"/>
    <w:rsid w:val="00A87B08"/>
    <w:rsid w:val="00A90727"/>
    <w:rsid w:val="00A910F5"/>
    <w:rsid w:val="00A91596"/>
    <w:rsid w:val="00A949C3"/>
    <w:rsid w:val="00A9671C"/>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D3082"/>
    <w:rsid w:val="00AE4095"/>
    <w:rsid w:val="00AE4140"/>
    <w:rsid w:val="00AE48B4"/>
    <w:rsid w:val="00AE59C8"/>
    <w:rsid w:val="00AE5D2D"/>
    <w:rsid w:val="00AF0458"/>
    <w:rsid w:val="00AF1733"/>
    <w:rsid w:val="00AF1776"/>
    <w:rsid w:val="00AF371E"/>
    <w:rsid w:val="00AF4DB9"/>
    <w:rsid w:val="00AF5CA0"/>
    <w:rsid w:val="00AF5FF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6762A"/>
    <w:rsid w:val="00B710DA"/>
    <w:rsid w:val="00B726D8"/>
    <w:rsid w:val="00B72962"/>
    <w:rsid w:val="00B73674"/>
    <w:rsid w:val="00B7538C"/>
    <w:rsid w:val="00B76953"/>
    <w:rsid w:val="00B8075F"/>
    <w:rsid w:val="00B826CB"/>
    <w:rsid w:val="00B84B49"/>
    <w:rsid w:val="00B84DB2"/>
    <w:rsid w:val="00B873FD"/>
    <w:rsid w:val="00B92655"/>
    <w:rsid w:val="00B94E32"/>
    <w:rsid w:val="00B965D1"/>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337"/>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2222"/>
    <w:rsid w:val="00CA358C"/>
    <w:rsid w:val="00CA390E"/>
    <w:rsid w:val="00CA3D0C"/>
    <w:rsid w:val="00CA4156"/>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55DB"/>
    <w:rsid w:val="00CF73D9"/>
    <w:rsid w:val="00D00226"/>
    <w:rsid w:val="00D011CA"/>
    <w:rsid w:val="00D019F7"/>
    <w:rsid w:val="00D01A1A"/>
    <w:rsid w:val="00D01FB2"/>
    <w:rsid w:val="00D020FC"/>
    <w:rsid w:val="00D0327C"/>
    <w:rsid w:val="00D038C1"/>
    <w:rsid w:val="00D04CD1"/>
    <w:rsid w:val="00D05639"/>
    <w:rsid w:val="00D06125"/>
    <w:rsid w:val="00D06188"/>
    <w:rsid w:val="00D12DDB"/>
    <w:rsid w:val="00D1769D"/>
    <w:rsid w:val="00D20EF6"/>
    <w:rsid w:val="00D24051"/>
    <w:rsid w:val="00D24C0D"/>
    <w:rsid w:val="00D30635"/>
    <w:rsid w:val="00D30C9E"/>
    <w:rsid w:val="00D32165"/>
    <w:rsid w:val="00D32F85"/>
    <w:rsid w:val="00D33400"/>
    <w:rsid w:val="00D33BE3"/>
    <w:rsid w:val="00D33CDF"/>
    <w:rsid w:val="00D3498F"/>
    <w:rsid w:val="00D34DD0"/>
    <w:rsid w:val="00D35DEB"/>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528"/>
    <w:rsid w:val="00D57D7D"/>
    <w:rsid w:val="00D60C67"/>
    <w:rsid w:val="00D62E19"/>
    <w:rsid w:val="00D62E33"/>
    <w:rsid w:val="00D64B1C"/>
    <w:rsid w:val="00D6517A"/>
    <w:rsid w:val="00D67CD1"/>
    <w:rsid w:val="00D7022F"/>
    <w:rsid w:val="00D7257F"/>
    <w:rsid w:val="00D727AF"/>
    <w:rsid w:val="00D727BD"/>
    <w:rsid w:val="00D72C64"/>
    <w:rsid w:val="00D738D6"/>
    <w:rsid w:val="00D74DB2"/>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6B12"/>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658"/>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66C9D"/>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332A"/>
    <w:rsid w:val="00F83C4F"/>
    <w:rsid w:val="00F84D86"/>
    <w:rsid w:val="00F857DA"/>
    <w:rsid w:val="00F86E4A"/>
    <w:rsid w:val="00F941DF"/>
    <w:rsid w:val="00F975E4"/>
    <w:rsid w:val="00FA1266"/>
    <w:rsid w:val="00FA1714"/>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102E"/>
    <w:rsid w:val="00FD2C9E"/>
    <w:rsid w:val="00FD385D"/>
    <w:rsid w:val="00FD5D04"/>
    <w:rsid w:val="00FD6EDB"/>
    <w:rsid w:val="00FD70B9"/>
    <w:rsid w:val="00FE106D"/>
    <w:rsid w:val="00FE1C0F"/>
    <w:rsid w:val="00FE251B"/>
    <w:rsid w:val="00FE520E"/>
    <w:rsid w:val="00FE6612"/>
    <w:rsid w:val="00FE68AA"/>
    <w:rsid w:val="00FE7FA8"/>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F12A-7F16-4359-B344-F0279684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2024-08-09T03:13:00Z</dcterms:created>
  <dcterms:modified xsi:type="dcterms:W3CDTF">2024-08-09T03:13:00Z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